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</w:p>
    <w:p>
      <w:pPr>
        <w:jc w:val="center"/>
      </w:pPr>
      <w:r>
        <w:rPr>
          <w:b/>
          <w:color w:val="1F6A24"/>
          <w:sz w:val="30"/>
        </w:rPr>
        <w:t>AGROGESTÃO</w:t>
      </w:r>
      <w:r>
        <w:rPr>
          <w:b/>
          <w:color w:val="B4780F"/>
          <w:sz w:val="30"/>
        </w:rPr>
        <w:t xml:space="preserve"> PRO</w:t>
      </w:r>
    </w:p>
    <w:p>
      <w:pPr>
        <w:pStyle w:val="Title"/>
        <w:jc w:val="center"/>
      </w:pPr>
      <w:r>
        <w:t>Documentação Técnica,</w:t>
        <w:br/>
        <w:t>Estratégica e Plano de Evolução</w:t>
      </w:r>
    </w:p>
    <w:p>
      <w:pPr>
        <w:pStyle w:val="Subtitle"/>
        <w:jc w:val="center"/>
      </w:pPr>
      <w:r>
        <w:t>Aplicativo Android offline-first para gestão rural de produtores familiares e pequenas propriedades</w:t>
      </w:r>
    </w:p>
    <w:p>
      <w:pPr>
        <w:spacing w:after="760"/>
      </w:pPr>
    </w:p>
    <w:tbl>
      <w:tblPr>
        <w:tblW w:type="dxa" w:w="9676"/>
        <w:jc w:val="center"/>
        <w:tblLayout w:type="fixed"/>
        <w:tblLook w:firstColumn="1" w:firstRow="1" w:lastColumn="0" w:lastRow="0" w:noHBand="0" w:noVBand="1" w:val="04A0"/>
      </w:tblPr>
      <w:tblGrid>
        <w:gridCol w:w="9676"/>
      </w:tblGrid>
      <w:tr>
        <w:tc>
          <w:tcPr>
            <w:tcW w:type="dxa" w:w="96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5EB"/>
          </w:tcPr>
          <w:p>
            <w:pPr>
              <w:spacing w:after="20"/>
            </w:pPr>
            <w:r>
              <w:rPr>
                <w:b/>
                <w:color w:val="123D1A"/>
                <w:sz w:val="18"/>
              </w:rPr>
              <w:t xml:space="preserve">FONTE PRINCIPAL  </w:t>
            </w:r>
            <w:r>
              <w:rPr>
                <w:color w:val="18231C"/>
                <w:sz w:val="20"/>
              </w:rPr>
              <w:t>Repositório OtavioNotFound/AgrogestaoProMobile, commit 16378c6 de 4 de agosto de 2026. Os arquivos HTML são referências de design; não representam sozinhos a implementação real.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b/>
          <w:color w:val="123D1A"/>
        </w:rPr>
        <w:t>Versão documental 3.0 • Estado do app: 1.1.0-beta8 / versionCode 9</w:t>
      </w:r>
    </w:p>
    <w:p>
      <w:r>
        <w:br w:type="page"/>
      </w:r>
    </w:p>
    <w:p>
      <w:pPr>
        <w:pStyle w:val="Heading1"/>
      </w:pPr>
      <w:r>
        <w:t>1. Correção de escopo e hierarquia das fontes</w:t>
      </w:r>
    </w:p>
    <w:p>
      <w:r>
        <w:t>As versões documentais anteriores atribuíram peso excessivo aos protótipos HTML. A análise do repositório demonstra que o AgroGestão Pro é um aplicativo Android nativo funcional em fase beta, e não apenas um modelo web de validação. Esta versão substitui essa interpretação.</w:t>
      </w:r>
    </w:p>
    <w:tbl>
      <w:tblPr>
        <w:tblStyle w:val="TableGrid"/>
        <w:tblW w:type="dxa" w:w="9676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5400"/>
        <w:gridCol w:w="2044"/>
      </w:tblGrid>
      <w:tr>
        <w:trPr>
          <w:tblHeader w:val="true"/>
          <w:cantSplit/>
        </w:trPr>
        <w:tc>
          <w:tcPr>
            <w:tcW w:type="dxa" w:w="2232"/>
            <w:shd w:fill="123D1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Artefato</w:t>
            </w:r>
          </w:p>
        </w:tc>
        <w:tc>
          <w:tcPr>
            <w:tcW w:type="dxa" w:w="5400"/>
            <w:shd w:fill="123D1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Papel correto</w:t>
            </w:r>
          </w:p>
        </w:tc>
        <w:tc>
          <w:tcPr>
            <w:tcW w:type="dxa" w:w="2044"/>
            <w:shd w:fill="123D1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Autoridade sobre o estado atual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Repositório Android</w:t>
            </w:r>
          </w:p>
        </w:tc>
        <w:tc>
          <w:tcPr>
            <w:tcW w:type="dxa" w:w="5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Código Kotlin, banco, sincronização, autenticação, segurança, relatórios e testes.</w:t>
            </w:r>
          </w:p>
        </w:tc>
        <w:tc>
          <w:tcPr>
            <w:tcW w:type="dxa" w:w="20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Fonte técnica principal</w:t>
            </w:r>
          </w:p>
        </w:tc>
      </w:tr>
      <w:tr>
        <w:trPr>
          <w:cantSplit/>
        </w:trPr>
        <w:tc>
          <w:tcPr>
            <w:tcW w:type="dxa" w:w="2232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README e planos do repositório</w:t>
            </w:r>
          </w:p>
        </w:tc>
        <w:tc>
          <w:tcPr>
            <w:tcW w:type="dxa" w:w="5400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Documentam estado, limites, validações registradas e próximos ciclos.</w:t>
            </w:r>
          </w:p>
        </w:tc>
        <w:tc>
          <w:tcPr>
            <w:tcW w:type="dxa" w:w="2044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Fonte complementar, conferida contra o código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HTML completo e Modo Simples</w:t>
            </w:r>
          </w:p>
        </w:tc>
        <w:tc>
          <w:tcPr>
            <w:tcW w:type="dxa" w:w="5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Referência visual e de experiência para evolução da interface.</w:t>
            </w:r>
          </w:p>
        </w:tc>
        <w:tc>
          <w:tcPr>
            <w:tcW w:type="dxa" w:w="20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Design; não comprova backend ou paridade funcional</w:t>
            </w:r>
          </w:p>
        </w:tc>
      </w:tr>
      <w:tr>
        <w:trPr>
          <w:cantSplit/>
        </w:trPr>
        <w:tc>
          <w:tcPr>
            <w:tcW w:type="dxa" w:w="2232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PDF conceitual antigo</w:t>
            </w:r>
          </w:p>
        </w:tc>
        <w:tc>
          <w:tcPr>
            <w:tcW w:type="dxa" w:w="5400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Registro histórico de uma fase anterior.</w:t>
            </w:r>
          </w:p>
        </w:tc>
        <w:tc>
          <w:tcPr>
            <w:tcW w:type="dxa" w:w="2044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Não deve descrever a beta atual</w:t>
            </w:r>
          </w:p>
        </w:tc>
      </w:tr>
    </w:tbl>
    <w:p>
      <w:pPr>
        <w:spacing w:after="20"/>
      </w:pPr>
    </w:p>
    <w:tbl>
      <w:tblPr>
        <w:tblW w:type="dxa" w:w="9676"/>
        <w:jc w:val="center"/>
        <w:tblLayout w:type="fixed"/>
        <w:tblLook w:firstColumn="1" w:firstRow="1" w:lastColumn="0" w:lastRow="0" w:noHBand="0" w:noVBand="1" w:val="04A0"/>
      </w:tblPr>
      <w:tblGrid>
        <w:gridCol w:w="9676"/>
      </w:tblGrid>
      <w:tr>
        <w:tc>
          <w:tcPr>
            <w:tcW w:type="dxa" w:w="96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4FA"/>
          </w:tcPr>
          <w:p>
            <w:pPr>
              <w:spacing w:after="20"/>
            </w:pPr>
            <w:r>
              <w:rPr>
                <w:b/>
                <w:color w:val="236A92"/>
                <w:sz w:val="18"/>
              </w:rPr>
              <w:t xml:space="preserve">CLASSIFICAÇÃO CORRETA  </w:t>
            </w:r>
            <w:r>
              <w:rPr>
                <w:color w:val="18231C"/>
                <w:sz w:val="20"/>
              </w:rPr>
              <w:t>Beta funcional Android com base técnica relevante, ainda não pronta para operação crítica ou lançamento comercial amplo sem estabilização, segurança operacional, publicação e validação de campo.</w:t>
            </w:r>
          </w:p>
        </w:tc>
      </w:tr>
    </w:tbl>
    <w:p>
      <w:pPr>
        <w:spacing w:after="20"/>
      </w:pPr>
    </w:p>
    <w:p>
      <w:pPr>
        <w:pStyle w:val="Heading1"/>
      </w:pPr>
      <w:r>
        <w:t>2. Resumo executivo</w:t>
      </w:r>
    </w:p>
    <w:p>
      <w:r>
        <w:t>O AgroGestão Pro é um aplicativo Android nativo voltado principalmente a produtores familiares e pequenas propriedades. O produto organiza perfil da propriedade, talhões/safras, tarefas, lembretes e fluxo de caixa, gerando um relatório informativo de crédito rural. A operação principal usa o banco local Room e continua disponível sem conexão; uma conta Supabase permite sincronização bidirecional opcional.</w:t>
      </w:r>
    </w:p>
    <w:p>
      <w:r>
        <w:t>A base atual é significativamente mais madura que um protótipo visual: inclui migrations Room, UUIDs permanentes, tombstones, Row Level Security, renovação de sessão, Keystore, backup criptografado, PDFs com hash e consentimento versionado. Ao mesmo tempo, ainda há lacunas de recuperação de senha, colaboração, multiplataforma, segurança operacional, modularidade, publicação, métricas e pesquisa com produtores.</w:t>
      </w:r>
    </w:p>
    <w:tbl>
      <w:tblPr>
        <w:tblW w:type="dxa" w:w="9676"/>
        <w:jc w:val="center"/>
        <w:tblLayout w:type="fixed"/>
        <w:tblLook w:firstColumn="1" w:firstRow="1" w:lastColumn="0" w:lastRow="0" w:noHBand="0" w:noVBand="1" w:val="04A0"/>
      </w:tblPr>
      <w:tblGrid>
        <w:gridCol w:w="9676"/>
      </w:tblGrid>
      <w:tr>
        <w:tc>
          <w:tcPr>
            <w:tcW w:type="dxa" w:w="96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5EB"/>
          </w:tcPr>
          <w:p>
            <w:pPr>
              <w:spacing w:after="20"/>
            </w:pPr>
            <w:r>
              <w:rPr>
                <w:b/>
                <w:color w:val="123D1A"/>
                <w:sz w:val="18"/>
              </w:rPr>
              <w:t xml:space="preserve">POSICIONAMENTO HONESTO  </w:t>
            </w:r>
            <w:r>
              <w:rPr>
                <w:color w:val="18231C"/>
                <w:sz w:val="20"/>
              </w:rPr>
              <w:t>O projeto está entre planilhas adaptadas e ERPs agrícolas completos: oferece fluxos dirigidos e offline real com menor escopo, mas não substitui soluções maduras quando a fazenda precisa de fiscal, estoque, máquinas, mapas, equipe e suporte comercial.</w:t>
            </w:r>
          </w:p>
        </w:tc>
      </w:tr>
    </w:tbl>
    <w:p>
      <w:pPr>
        <w:spacing w:after="20"/>
      </w:pPr>
    </w:p>
    <w:p>
      <w:pPr>
        <w:pStyle w:val="Heading1"/>
      </w:pPr>
      <w:r>
        <w:t>3. Estado verificado do repositório</w:t>
      </w:r>
    </w:p>
    <w:tbl>
      <w:tblPr>
        <w:tblStyle w:val="TableGrid"/>
        <w:tblW w:type="dxa" w:w="9676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456"/>
        <w:gridCol w:w="4132"/>
      </w:tblGrid>
      <w:tr>
        <w:trPr>
          <w:tblHeader w:val="true"/>
          <w:cantSplit/>
        </w:trPr>
        <w:tc>
          <w:tcPr>
            <w:tcW w:type="dxa" w:w="2088"/>
            <w:shd w:fill="123D1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3456"/>
            <w:shd w:fill="123D1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Valor observado</w:t>
            </w:r>
          </w:p>
        </w:tc>
        <w:tc>
          <w:tcPr>
            <w:tcW w:type="dxa" w:w="4132"/>
            <w:shd w:fill="123D1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Interpretação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Versão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1.1.0-beta8; versionCode 9</w:t>
            </w:r>
          </w:p>
        </w:tc>
        <w:tc>
          <w:tcPr>
            <w:tcW w:type="dxa" w:w="41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Beta identificada no build.gradle.kts</w:t>
            </w:r>
          </w:p>
        </w:tc>
      </w:tr>
      <w:tr>
        <w:trPr>
          <w:cantSplit/>
        </w:trPr>
        <w:tc>
          <w:tcPr>
            <w:tcW w:type="dxa" w:w="2088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Plataforma</w:t>
            </w:r>
          </w:p>
        </w:tc>
        <w:tc>
          <w:tcPr>
            <w:tcW w:type="dxa" w:w="3456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Android 7.0/API 24 ou superior</w:t>
            </w:r>
          </w:p>
        </w:tc>
        <w:tc>
          <w:tcPr>
            <w:tcW w:type="dxa" w:w="4132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Sem cliente iOS, web operacional ou desktop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Código Kotlin principal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aprox. 11.157 linhas</w:t>
            </w:r>
          </w:p>
        </w:tc>
        <w:tc>
          <w:tcPr>
            <w:tcW w:type="dxa" w:w="41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Produto relevante, mas com concentração em arquivos grandes</w:t>
            </w:r>
          </w:p>
        </w:tc>
      </w:tr>
      <w:tr>
        <w:trPr>
          <w:cantSplit/>
        </w:trPr>
        <w:tc>
          <w:tcPr>
            <w:tcW w:type="dxa" w:w="2088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Banco local</w:t>
            </w:r>
          </w:p>
        </w:tc>
        <w:tc>
          <w:tcPr>
            <w:tcW w:type="dxa" w:w="3456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Room schema versão 9; seis entidades</w:t>
            </w:r>
          </w:p>
        </w:tc>
        <w:tc>
          <w:tcPr>
            <w:tcW w:type="dxa" w:w="4132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Persistência estruturada e migrations 2→9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Testes no código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64 métodos: 34 unitários e 30 instrumentados, conforme README e contagem do repositório</w:t>
            </w:r>
          </w:p>
        </w:tc>
        <w:tc>
          <w:tcPr>
            <w:tcW w:type="dxa" w:w="41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Cobertura funcional ampla para uma beta</w:t>
            </w:r>
          </w:p>
        </w:tc>
      </w:tr>
      <w:tr>
        <w:trPr>
          <w:cantSplit/>
        </w:trPr>
        <w:tc>
          <w:tcPr>
            <w:tcW w:type="dxa" w:w="2088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Backend</w:t>
            </w:r>
          </w:p>
        </w:tc>
        <w:tc>
          <w:tcPr>
            <w:tcW w:type="dxa" w:w="3456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Supabase Auth + Postgres/PostgREST + RLS</w:t>
            </w:r>
          </w:p>
        </w:tc>
        <w:tc>
          <w:tcPr>
            <w:tcW w:type="dxa" w:w="4132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Opcional; modo local permanece disponível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Commit analisado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16378c60ebccf9915f978924c0394e9e25fc4ea9</w:t>
            </w:r>
          </w:p>
        </w:tc>
        <w:tc>
          <w:tcPr>
            <w:tcW w:type="dxa" w:w="41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Snapshot da análise em 04/08/2026</w:t>
            </w:r>
          </w:p>
        </w:tc>
      </w:tr>
    </w:tbl>
    <w:p>
      <w:pPr>
        <w:spacing w:after="20"/>
      </w:pPr>
    </w:p>
    <w:tbl>
      <w:tblPr>
        <w:tblW w:type="dxa" w:w="9676"/>
        <w:jc w:val="center"/>
        <w:tblLayout w:type="fixed"/>
        <w:tblLook w:firstColumn="1" w:firstRow="1" w:lastColumn="0" w:lastRow="0" w:noHBand="0" w:noVBand="1" w:val="04A0"/>
      </w:tblPr>
      <w:tblGrid>
        <w:gridCol w:w="9676"/>
      </w:tblGrid>
      <w:tr>
        <w:tc>
          <w:tcPr>
            <w:tcW w:type="dxa" w:w="96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5DA"/>
          </w:tcPr>
          <w:p>
            <w:pPr>
              <w:spacing w:after="20"/>
            </w:pPr>
            <w:r>
              <w:rPr>
                <w:b/>
                <w:color w:val="B4780F"/>
                <w:sz w:val="18"/>
              </w:rPr>
              <w:t xml:space="preserve">LIMITE DESTA REVISÃO  </w:t>
            </w:r>
            <w:r>
              <w:rPr>
                <w:color w:val="18231C"/>
                <w:sz w:val="20"/>
              </w:rPr>
              <w:t>O código e os testes foram inspecionados. A recompilação independente não foi concluída neste ambiente porque o Gradle Wrapper precisava baixar a distribuição e a rede de execução bloqueou esse domínio. O README registra build e 34 testes locais aprovados em 4 de agosto; isso é evidência do projeto, não uma reprodução independente nesta revisão.</w:t>
            </w:r>
          </w:p>
        </w:tc>
      </w:tr>
    </w:tbl>
    <w:p>
      <w:pPr>
        <w:spacing w:after="20"/>
      </w:pPr>
    </w:p>
    <w:p>
      <w:pPr>
        <w:pStyle w:val="Heading1"/>
      </w:pPr>
      <w:r>
        <w:t>4. Funcionalidades realmente implementadas</w:t>
      </w:r>
    </w:p>
    <w:tbl>
      <w:tblPr>
        <w:tblStyle w:val="TableGrid"/>
        <w:tblW w:type="dxa" w:w="9676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544"/>
        <w:gridCol w:w="2620"/>
      </w:tblGrid>
      <w:tr>
        <w:trPr>
          <w:tblHeader w:val="true"/>
          <w:cantSplit/>
        </w:trPr>
        <w:tc>
          <w:tcPr>
            <w:tcW w:type="dxa" w:w="1512"/>
            <w:shd w:fill="123D1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Área</w:t>
            </w:r>
          </w:p>
        </w:tc>
        <w:tc>
          <w:tcPr>
            <w:tcW w:type="dxa" w:w="5544"/>
            <w:shd w:fill="123D1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Implementação encontrada</w:t>
            </w:r>
          </w:p>
        </w:tc>
        <w:tc>
          <w:tcPr>
            <w:tcW w:type="dxa" w:w="2620"/>
            <w:shd w:fill="123D1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Limite atual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5"/>
              </w:rPr>
              <w:t>Conta</w:t>
            </w:r>
          </w:p>
        </w:tc>
        <w:tc>
          <w:tcPr>
            <w:tcW w:type="dxa" w:w="55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5"/>
              </w:rPr>
              <w:t>Cadastro, login, confirmação por deep link, reenvio, renovação de sessão e logout.</w:t>
            </w:r>
          </w:p>
        </w:tc>
        <w:tc>
          <w:tcPr>
            <w:tcW w:type="dxa" w:w="26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5"/>
              </w:rPr>
              <w:t>Sem recuperação e troca de senha.</w:t>
            </w:r>
          </w:p>
        </w:tc>
      </w:tr>
      <w:tr>
        <w:trPr>
          <w:cantSplit/>
        </w:trPr>
        <w:tc>
          <w:tcPr>
            <w:tcW w:type="dxa" w:w="1512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5"/>
              </w:rPr>
              <w:t>Modo local</w:t>
            </w:r>
          </w:p>
        </w:tc>
        <w:tc>
          <w:tcPr>
            <w:tcW w:type="dxa" w:w="5544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5"/>
              </w:rPr>
              <w:t>Perfil e dados locais sem Supabase configurado.</w:t>
            </w:r>
          </w:p>
        </w:tc>
        <w:tc>
          <w:tcPr>
            <w:tcW w:type="dxa" w:w="2620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5"/>
              </w:rPr>
              <w:t>Sem nuvem, conta remota ou sincronização.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5"/>
              </w:rPr>
              <w:t>Dashboard</w:t>
            </w:r>
          </w:p>
        </w:tc>
        <w:tc>
          <w:tcPr>
            <w:tcW w:type="dxa" w:w="55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5"/>
              </w:rPr>
              <w:t>Entradas, saídas, saldo, talhões e tarefas pendentes via StateFlow.</w:t>
            </w:r>
          </w:p>
        </w:tc>
        <w:tc>
          <w:tcPr>
            <w:tcW w:type="dxa" w:w="26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5"/>
              </w:rPr>
              <w:t>Sem clima real neste ciclo.</w:t>
            </w:r>
          </w:p>
        </w:tc>
      </w:tr>
      <w:tr>
        <w:trPr>
          <w:cantSplit/>
        </w:trPr>
        <w:tc>
          <w:tcPr>
            <w:tcW w:type="dxa" w:w="1512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5"/>
              </w:rPr>
              <w:t>Talhões/safras</w:t>
            </w:r>
          </w:p>
        </w:tc>
        <w:tc>
          <w:tcPr>
            <w:tcW w:type="dxa" w:w="5544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5"/>
              </w:rPr>
              <w:t>CRUD, área, datas, progresso, manejo e associação com tarefas/financeiro.</w:t>
            </w:r>
          </w:p>
        </w:tc>
        <w:tc>
          <w:tcPr>
            <w:tcW w:type="dxa" w:w="2620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5"/>
              </w:rPr>
              <w:t>Modelo ainda mistura conceitos de talhão e ciclo de safra.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5"/>
              </w:rPr>
              <w:t>Tarefas</w:t>
            </w:r>
          </w:p>
        </w:tc>
        <w:tc>
          <w:tcPr>
            <w:tcW w:type="dxa" w:w="55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5"/>
              </w:rPr>
              <w:t>Lista/Kanban, três estados, filtros, edição, prazo, categoria, safra e lembretes.</w:t>
            </w:r>
          </w:p>
        </w:tc>
        <w:tc>
          <w:tcPr>
            <w:tcW w:type="dxa" w:w="26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5"/>
              </w:rPr>
              <w:t>Sem equipe, aprovação ou responsáveis múltiplos.</w:t>
            </w:r>
          </w:p>
        </w:tc>
      </w:tr>
      <w:tr>
        <w:trPr>
          <w:cantSplit/>
        </w:trPr>
        <w:tc>
          <w:tcPr>
            <w:tcW w:type="dxa" w:w="1512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5"/>
              </w:rPr>
              <w:t>Financeiro</w:t>
            </w:r>
          </w:p>
        </w:tc>
        <w:tc>
          <w:tcPr>
            <w:tcW w:type="dxa" w:w="5544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5"/>
              </w:rPr>
              <w:t>Receitas, despesas, filtros, saldo e vínculo com safra.</w:t>
            </w:r>
          </w:p>
        </w:tc>
        <w:tc>
          <w:tcPr>
            <w:tcW w:type="dxa" w:w="2620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5"/>
              </w:rPr>
              <w:t>Fluxo de caixa simples; valores em Double.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5"/>
              </w:rPr>
              <w:t>Relatório</w:t>
            </w:r>
          </w:p>
        </w:tc>
        <w:tc>
          <w:tcPr>
            <w:tcW w:type="dxa" w:w="55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5"/>
              </w:rPr>
              <w:t>PDF A4 multipágina, período, completude, origem, sync e aviso legal.</w:t>
            </w:r>
          </w:p>
        </w:tc>
        <w:tc>
          <w:tcPr>
            <w:tcW w:type="dxa" w:w="26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5"/>
              </w:rPr>
              <w:t>Informativo; não oficial nem análise de crédito.</w:t>
            </w:r>
          </w:p>
        </w:tc>
      </w:tr>
      <w:tr>
        <w:trPr>
          <w:cantSplit/>
        </w:trPr>
        <w:tc>
          <w:tcPr>
            <w:tcW w:type="dxa" w:w="1512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5"/>
              </w:rPr>
              <w:t>Consentimento</w:t>
            </w:r>
          </w:p>
        </w:tc>
        <w:tc>
          <w:tcPr>
            <w:tcW w:type="dxa" w:w="5544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5"/>
              </w:rPr>
              <w:t>Autorização versionada, revogável e exigida para gerar/compartilhar.</w:t>
            </w:r>
          </w:p>
        </w:tc>
        <w:tc>
          <w:tcPr>
            <w:tcW w:type="dxa" w:w="2620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5"/>
              </w:rPr>
              <w:t>Mantida somente neste aparelho.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5"/>
              </w:rPr>
              <w:t>Integridade</w:t>
            </w:r>
          </w:p>
        </w:tc>
        <w:tc>
          <w:tcPr>
            <w:tcW w:type="dxa" w:w="55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5"/>
              </w:rPr>
              <w:t>Histórico local, SHA-256, tamanho, caminho canônico e bloqueio de arquivo alterado.</w:t>
            </w:r>
          </w:p>
        </w:tc>
        <w:tc>
          <w:tcPr>
            <w:tcW w:type="dxa" w:w="26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5"/>
              </w:rPr>
              <w:t>Histórico não sincronizado.</w:t>
            </w:r>
          </w:p>
        </w:tc>
      </w:tr>
      <w:tr>
        <w:trPr>
          <w:cantSplit/>
        </w:trPr>
        <w:tc>
          <w:tcPr>
            <w:tcW w:type="dxa" w:w="1512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5"/>
              </w:rPr>
              <w:t>Backup</w:t>
            </w:r>
          </w:p>
        </w:tc>
        <w:tc>
          <w:tcPr>
            <w:tcW w:type="dxa" w:w="5544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5"/>
              </w:rPr>
              <w:t>Arquivo .agrobackup com senha, AES-GCM, PBKDF2, validações e mesclagem.</w:t>
            </w:r>
          </w:p>
        </w:tc>
        <w:tc>
          <w:tcPr>
            <w:tcW w:type="dxa" w:w="2620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5"/>
              </w:rPr>
              <w:t>Exige mesmo proprietário lógico; KDF usa HMAC-SHA1 por compatibilidade.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5"/>
              </w:rPr>
              <w:t>Sincronização</w:t>
            </w:r>
          </w:p>
        </w:tc>
        <w:tc>
          <w:tcPr>
            <w:tcW w:type="dxa" w:w="55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5"/>
              </w:rPr>
              <w:t>Perfil, safras, tarefas e financeiro; pull antes do push; tombstones e WorkManager.</w:t>
            </w:r>
          </w:p>
        </w:tc>
        <w:tc>
          <w:tcPr>
            <w:tcW w:type="dxa" w:w="26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5"/>
              </w:rPr>
              <w:t>Conflito por última alteração; sem revisão pelo usuário.</w:t>
            </w:r>
          </w:p>
        </w:tc>
      </w:tr>
    </w:tbl>
    <w:p>
      <w:pPr>
        <w:spacing w:after="20"/>
      </w:pPr>
    </w:p>
    <w:p>
      <w:pPr>
        <w:pStyle w:val="Heading1"/>
      </w:pPr>
      <w:r>
        <w:t>5. Arquitetura atual</w:t>
      </w:r>
    </w:p>
    <w:tbl>
      <w:tblPr>
        <w:tblStyle w:val="TableGrid"/>
        <w:tblW w:type="dxa" w:w="9676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372"/>
      </w:tblGrid>
      <w:tr>
        <w:trPr>
          <w:tblHeader w:val="true"/>
          <w:cantSplit/>
        </w:trPr>
        <w:tc>
          <w:tcPr>
            <w:tcW w:type="dxa" w:w="2304"/>
            <w:shd w:fill="123D1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Camada</w:t>
            </w:r>
          </w:p>
        </w:tc>
        <w:tc>
          <w:tcPr>
            <w:tcW w:type="dxa" w:w="7372"/>
            <w:shd w:fill="123D1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Tecnologias e responsabilidades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Apresentação</w:t>
            </w:r>
          </w:p>
        </w:tc>
        <w:tc>
          <w:tcPr>
            <w:tcW w:type="dxa" w:w="73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Jetpack Compose, Material 3, Navigation Compose, componentes reutilizáveis e seis rotas.</w:t>
            </w:r>
          </w:p>
        </w:tc>
      </w:tr>
      <w:tr>
        <w:trPr>
          <w:cantSplit/>
        </w:trPr>
        <w:tc>
          <w:tcPr>
            <w:tcW w:type="dxa" w:w="2304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Estado</w:t>
            </w:r>
          </w:p>
        </w:tc>
        <w:tc>
          <w:tcPr>
            <w:tcW w:type="dxa" w:w="7372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ViewModels, Kotlin Coroutines e StateFlow.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Domínio</w:t>
            </w:r>
          </w:p>
        </w:tc>
        <w:tc>
          <w:tcPr>
            <w:tcW w:type="dxa" w:w="73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Cálculos, datas, filtros, sessão, lembretes e regras do relatório.</w:t>
            </w:r>
          </w:p>
        </w:tc>
      </w:tr>
      <w:tr>
        <w:trPr>
          <w:cantSplit/>
        </w:trPr>
        <w:tc>
          <w:tcPr>
            <w:tcW w:type="dxa" w:w="2304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Repositório</w:t>
            </w:r>
          </w:p>
        </w:tc>
        <w:tc>
          <w:tcPr>
            <w:tcW w:type="dxa" w:w="7372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AgroRepository coordena autenticação, Room, sync, backup e relatórios.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Persistência</w:t>
            </w:r>
          </w:p>
        </w:tc>
        <w:tc>
          <w:tcPr>
            <w:tcW w:type="dxa" w:w="73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Room/SQLite, DAOs, schemas exportados e migrations.</w:t>
            </w:r>
          </w:p>
        </w:tc>
      </w:tr>
      <w:tr>
        <w:trPr>
          <w:cantSplit/>
        </w:trPr>
        <w:tc>
          <w:tcPr>
            <w:tcW w:type="dxa" w:w="2304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Segurança de sessão</w:t>
            </w:r>
          </w:p>
        </w:tc>
        <w:tc>
          <w:tcPr>
            <w:tcW w:type="dxa" w:w="7372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Android Keystore e AES-GCM.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Trabalho persistente</w:t>
            </w:r>
          </w:p>
        </w:tc>
        <w:tc>
          <w:tcPr>
            <w:tcW w:type="dxa" w:w="73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WorkManager para sync periódico, sync inicial e lembretes.</w:t>
            </w:r>
          </w:p>
        </w:tc>
      </w:tr>
      <w:tr>
        <w:trPr>
          <w:cantSplit/>
        </w:trPr>
        <w:tc>
          <w:tcPr>
            <w:tcW w:type="dxa" w:w="2304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Nuvem</w:t>
            </w:r>
          </w:p>
        </w:tc>
        <w:tc>
          <w:tcPr>
            <w:tcW w:type="dxa" w:w="7372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Cliente REST próprio para Supabase Auth/PostgREST e PostgreSQL com RLS.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Arquivos</w:t>
            </w:r>
          </w:p>
        </w:tc>
        <w:tc>
          <w:tcPr>
            <w:tcW w:type="dxa" w:w="73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Backup criptografado e relatórios PDF persistentes verificados por hash.</w:t>
            </w:r>
          </w:p>
        </w:tc>
      </w:tr>
    </w:tbl>
    <w:p>
      <w:pPr>
        <w:spacing w:after="20"/>
      </w:pPr>
    </w:p>
    <w:p>
      <w:pPr>
        <w:pStyle w:val="Heading2"/>
      </w:pPr>
      <w:r>
        <w:t>5.1 Dívida estrutural</w:t>
      </w:r>
    </w:p>
    <w:p>
      <w:r>
        <w:t>A separação por pacotes existe, mas não é uma Clean Architecture estrita. AgroRepository.kt possui cerca de 1.450 linhas; RelatorioCreditoScreen.kt, KanbanScreen.kt e SafrasScreen.kt ultrapassam aproximadamente 900 linhas. Essa concentração dificulta testes isolados, revisão, manutenção e entrada de novos colaboradores.</w:t>
      </w:r>
    </w:p>
    <w:tbl>
      <w:tblPr>
        <w:tblStyle w:val="TableGrid"/>
        <w:tblW w:type="dxa" w:w="9676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872"/>
        <w:gridCol w:w="4924"/>
      </w:tblGrid>
      <w:tr>
        <w:trPr>
          <w:tblHeader w:val="true"/>
          <w:cantSplit/>
        </w:trPr>
        <w:tc>
          <w:tcPr>
            <w:tcW w:type="dxa" w:w="2880"/>
            <w:shd w:fill="123D1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Arquivo</w:t>
            </w:r>
          </w:p>
        </w:tc>
        <w:tc>
          <w:tcPr>
            <w:tcW w:type="dxa" w:w="1872"/>
            <w:shd w:fill="123D1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Tamanho aproximado</w:t>
            </w:r>
          </w:p>
        </w:tc>
        <w:tc>
          <w:tcPr>
            <w:tcW w:type="dxa" w:w="4924"/>
            <w:shd w:fill="123D1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Ação recomendada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AgroRepository.kt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1.450 linhas</w:t>
            </w:r>
          </w:p>
        </w:tc>
        <w:tc>
          <w:tcPr>
            <w:tcW w:type="dxa" w:w="49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Dividir em AuthRepository, SyncEngine, BackupService, ReportRepository e agregador de domínio.</w:t>
            </w:r>
          </w:p>
        </w:tc>
      </w:tr>
      <w:tr>
        <w:trPr>
          <w:cantSplit/>
        </w:trPr>
        <w:tc>
          <w:tcPr>
            <w:tcW w:type="dxa" w:w="2880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RelatorioCreditoScreen.kt</w:t>
            </w:r>
          </w:p>
        </w:tc>
        <w:tc>
          <w:tcPr>
            <w:tcW w:type="dxa" w:w="1872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1.170 linhas</w:t>
            </w:r>
          </w:p>
        </w:tc>
        <w:tc>
          <w:tcPr>
            <w:tcW w:type="dxa" w:w="4924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Separar fluxo, prévia, consentimento, histórico e componentes.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KanbanScreen.kt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1.049 linhas</w:t>
            </w:r>
          </w:p>
        </w:tc>
        <w:tc>
          <w:tcPr>
            <w:tcW w:type="dxa" w:w="49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Separar filtros, formulário, colunas e cartões.</w:t>
            </w:r>
          </w:p>
        </w:tc>
      </w:tr>
      <w:tr>
        <w:trPr>
          <w:cantSplit/>
        </w:trPr>
        <w:tc>
          <w:tcPr>
            <w:tcW w:type="dxa" w:w="2880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SafrasScreen.kt</w:t>
            </w:r>
          </w:p>
        </w:tc>
        <w:tc>
          <w:tcPr>
            <w:tcW w:type="dxa" w:w="1872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941 linhas</w:t>
            </w:r>
          </w:p>
        </w:tc>
        <w:tc>
          <w:tcPr>
            <w:tcW w:type="dxa" w:w="4924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Separar lista, detalhe, lançamentos e formulários.</w:t>
            </w:r>
          </w:p>
        </w:tc>
      </w:tr>
    </w:tbl>
    <w:p>
      <w:pPr>
        <w:spacing w:after="20"/>
      </w:pPr>
    </w:p>
    <w:p>
      <w:pPr>
        <w:pStyle w:val="Heading1"/>
      </w:pPr>
      <w:r>
        <w:t>6. Modelo de dados</w:t>
      </w:r>
    </w:p>
    <w:tbl>
      <w:tblPr>
        <w:tblStyle w:val="TableGrid"/>
        <w:tblW w:type="dxa" w:w="9676"/>
        <w:jc w:val="center"/>
        <w:tblLayout w:type="fixed"/>
        <w:tblLook w:firstColumn="1" w:firstRow="1" w:lastColumn="0" w:lastRow="0" w:noHBand="0" w:noVBand="1" w:val="04A0"/>
      </w:tblPr>
      <w:tblGrid>
        <w:gridCol w:w="2015"/>
        <w:gridCol w:w="3600"/>
        <w:gridCol w:w="4060"/>
      </w:tblGrid>
      <w:tr>
        <w:trPr>
          <w:tblHeader w:val="true"/>
          <w:cantSplit/>
        </w:trPr>
        <w:tc>
          <w:tcPr>
            <w:tcW w:type="dxa" w:w="2015"/>
            <w:shd w:fill="123D1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Tabela</w:t>
            </w:r>
          </w:p>
        </w:tc>
        <w:tc>
          <w:tcPr>
            <w:tcW w:type="dxa" w:w="3600"/>
            <w:shd w:fill="123D1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Finalidade</w:t>
            </w:r>
          </w:p>
        </w:tc>
        <w:tc>
          <w:tcPr>
            <w:tcW w:type="dxa" w:w="4060"/>
            <w:shd w:fill="123D1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Detalhes relevantes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produtor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Perfil ativo da instalação/conta.</w:t>
            </w:r>
          </w:p>
        </w:tc>
        <w:tc>
          <w:tcPr>
            <w:tcW w:type="dxa" w:w="4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ID local fixo; identidade remota e estado de sessão/sync.</w:t>
            </w:r>
          </w:p>
        </w:tc>
      </w:tr>
      <w:tr>
        <w:trPr>
          <w:cantSplit/>
        </w:trPr>
        <w:tc>
          <w:tcPr>
            <w:tcW w:type="dxa" w:w="2015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safras</w:t>
            </w:r>
          </w:p>
        </w:tc>
        <w:tc>
          <w:tcPr>
            <w:tcW w:type="dxa" w:w="3600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Talhão ou ciclo de cultivo.</w:t>
            </w:r>
          </w:p>
        </w:tc>
        <w:tc>
          <w:tcPr>
            <w:tcW w:type="dxa" w:w="4060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Área, início, colheita, progresso, manejo, UUID e tombstone.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tarefas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Atividades agrícolas.</w:t>
            </w:r>
          </w:p>
        </w:tc>
        <w:tc>
          <w:tcPr>
            <w:tcW w:type="dxa" w:w="4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Status, prazo, categoria e vínculo opcional com safra.</w:t>
            </w:r>
          </w:p>
        </w:tc>
      </w:tr>
      <w:tr>
        <w:trPr>
          <w:cantSplit/>
        </w:trPr>
        <w:tc>
          <w:tcPr>
            <w:tcW w:type="dxa" w:w="2015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financeiro</w:t>
            </w:r>
          </w:p>
        </w:tc>
        <w:tc>
          <w:tcPr>
            <w:tcW w:type="dxa" w:w="3600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Receitas e despesas.</w:t>
            </w:r>
          </w:p>
        </w:tc>
        <w:tc>
          <w:tcPr>
            <w:tcW w:type="dxa" w:w="4060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Tipo, valor, data, categoria e vínculo opcional com safra.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report_history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Metadados dos PDFs.</w:t>
            </w:r>
          </w:p>
        </w:tc>
        <w:tc>
          <w:tcPr>
            <w:tcW w:type="dxa" w:w="4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Período, totais, completude, hash, tamanho, versão e consentimento.</w:t>
            </w:r>
          </w:p>
        </w:tc>
      </w:tr>
      <w:tr>
        <w:trPr>
          <w:cantSplit/>
        </w:trPr>
        <w:tc>
          <w:tcPr>
            <w:tcW w:type="dxa" w:w="2015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report_consent</w:t>
            </w:r>
          </w:p>
        </w:tc>
        <w:tc>
          <w:tcPr>
            <w:tcW w:type="dxa" w:w="3600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Autorização local.</w:t>
            </w:r>
          </w:p>
        </w:tc>
        <w:tc>
          <w:tcPr>
            <w:tcW w:type="dxa" w:w="4060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Versão, aceite, revogação e isolamento por proprietário.</w:t>
            </w:r>
          </w:p>
        </w:tc>
      </w:tr>
    </w:tbl>
    <w:p>
      <w:pPr>
        <w:spacing w:after="20"/>
      </w:pPr>
    </w:p>
    <w:p>
      <w:pPr>
        <w:pStyle w:val="Heading2"/>
      </w:pPr>
      <w:r>
        <w:t>6.1 Migrações</w:t>
      </w:r>
    </w:p>
    <w:p>
      <w:r>
        <w:t>O banco está na versão 9 e contém migrations explícitas da versão 2 à 9. A exceção é fallbackToDestructiveMigrationFrom(1), mantido porque o schema 1 não está disponível. Uma instalação realmente originada na versão 1 pode perder os dados locais ao atualizar; esse é um bloqueador para distribuição ampla.</w:t>
      </w:r>
    </w:p>
    <w:p>
      <w:pPr>
        <w:pStyle w:val="Heading2"/>
      </w:pPr>
      <w:r>
        <w:t>6.2 Precisão financeira</w:t>
      </w:r>
    </w:p>
    <w:p>
      <w:r>
        <w:t>FinancialEntity armazena valores monetários em Double. Isso é suficiente para uma demonstração e muitos cálculos simples, mas não é a escolha ideal para valores contábeis por causa da representação binária. Migrar para centavos inteiros (Long) ou decimal exato deve ocorrer antes de expandir o módulo financeiro.</w:t>
      </w:r>
    </w:p>
    <w:p>
      <w:pPr>
        <w:pStyle w:val="Heading1"/>
      </w:pPr>
      <w:r>
        <w:t>7. Offline-first e sincronização</w:t>
      </w:r>
    </w:p>
    <w:p>
      <w:r>
        <w:t>As operações são registradas primeiro no Room. O app tenta sincronizar depois de alterações, na abertura, manualmente e periodicamente a cada 15 minutos quando há rede. Cada registro sincronizável possui UUID, proprietário, status, timestamp e tombstone.</w:t>
      </w:r>
    </w:p>
    <w:tbl>
      <w:tblPr>
        <w:tblStyle w:val="TableGrid"/>
        <w:tblW w:type="dxa" w:w="9676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732"/>
      </w:tblGrid>
      <w:tr>
        <w:trPr>
          <w:tblHeader w:val="true"/>
          <w:cantSplit/>
        </w:trPr>
        <w:tc>
          <w:tcPr>
            <w:tcW w:type="dxa" w:w="1944"/>
            <w:shd w:fill="123D1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Etapa</w:t>
            </w:r>
          </w:p>
        </w:tc>
        <w:tc>
          <w:tcPr>
            <w:tcW w:type="dxa" w:w="7732"/>
            <w:shd w:fill="123D1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Comportamento atual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Sessão</w:t>
            </w:r>
          </w:p>
        </w:tc>
        <w:tc>
          <w:tcPr>
            <w:tcW w:type="dxa" w:w="77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Obtém ou renova token protegido antes da operação remota.</w:t>
            </w:r>
          </w:p>
        </w:tc>
      </w:tr>
      <w:tr>
        <w:trPr>
          <w:cantSplit/>
        </w:trPr>
        <w:tc>
          <w:tcPr>
            <w:tcW w:type="dxa" w:w="1944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Schema</w:t>
            </w:r>
          </w:p>
        </w:tc>
        <w:tc>
          <w:tcPr>
            <w:tcW w:type="dxa" w:w="7732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Detecta modelo Supabase moderno ou legado.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Pull</w:t>
            </w:r>
          </w:p>
        </w:tc>
        <w:tc>
          <w:tcPr>
            <w:tcW w:type="dxa" w:w="77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Baixa primeiro perfil, safras, tarefas e financeiro.</w:t>
            </w:r>
          </w:p>
        </w:tc>
      </w:tr>
      <w:tr>
        <w:trPr>
          <w:cantSplit/>
        </w:trPr>
        <w:tc>
          <w:tcPr>
            <w:tcW w:type="dxa" w:w="1944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Aplicação local</w:t>
            </w:r>
          </w:p>
        </w:tc>
        <w:tc>
          <w:tcPr>
            <w:tcW w:type="dxa" w:w="7732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Mantém mudança mais nova conforme updated_at/timestamp.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Push</w:t>
            </w:r>
          </w:p>
        </w:tc>
        <w:tc>
          <w:tcPr>
            <w:tcW w:type="dxa" w:w="77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Envia registros ainda não sincronizados.</w:t>
            </w:r>
          </w:p>
        </w:tc>
      </w:tr>
      <w:tr>
        <w:trPr>
          <w:cantSplit/>
        </w:trPr>
        <w:tc>
          <w:tcPr>
            <w:tcW w:type="dxa" w:w="1944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Exclusão</w:t>
            </w:r>
          </w:p>
        </w:tc>
        <w:tc>
          <w:tcPr>
            <w:tcW w:type="dxa" w:w="7732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Propaga tombstone e remove localmente após confirmação quando aplicável.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Conclusão</w:t>
            </w:r>
          </w:p>
        </w:tc>
        <w:tc>
          <w:tcPr>
            <w:tcW w:type="dxa" w:w="77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Só retorna sucesso quando não restam pendências.</w:t>
            </w:r>
          </w:p>
        </w:tc>
      </w:tr>
    </w:tbl>
    <w:p>
      <w:pPr>
        <w:spacing w:after="20"/>
      </w:pPr>
    </w:p>
    <w:p>
      <w:pPr>
        <w:pStyle w:val="Heading2"/>
      </w:pPr>
      <w:r>
        <w:t>7.1 Conflitos</w:t>
      </w:r>
    </w:p>
    <w:p>
      <w:r>
        <w:t>A regra atual é last-write-wins: a alteração com timestamp mais recente vence. É aceitável para beta e uso individual, mas relógios incorretos, duas edições concorrentes ou uso intenso em vários aparelhos podem sobrescrever mudanças. O próximo nível deve usar versão confiável do servidor, histórico de conflito ou revisão assistida para registros financeiros.</w:t>
      </w:r>
    </w:p>
    <w:p>
      <w:pPr>
        <w:pStyle w:val="Heading1"/>
      </w:pPr>
      <w:r>
        <w:t>8. Segurança e privacidade</w:t>
      </w:r>
    </w:p>
    <w:p>
      <w:pPr>
        <w:pStyle w:val="Heading2"/>
      </w:pPr>
      <w:r>
        <w:t>8.1 Proteções comprovadas pelo código</w:t>
      </w:r>
    </w:p>
    <w:p>
      <w:pPr>
        <w:pStyle w:val="ListBullet"/>
        <w:spacing w:after="60"/>
        <w:ind w:left="360" w:hanging="259"/>
      </w:pPr>
      <w:r>
        <w:t>Tokens protegidos com AES-GCM e chave não exportável do Android Keystore.</w:t>
      </w:r>
    </w:p>
    <w:p>
      <w:pPr>
        <w:pStyle w:val="ListBullet"/>
        <w:spacing w:after="60"/>
        <w:ind w:left="360" w:hanging="259"/>
      </w:pPr>
      <w:r>
        <w:t>Remoção/migração de tokens legados do Room e exclusão da sessão do Android Backup/transferência.</w:t>
      </w:r>
    </w:p>
    <w:p>
      <w:pPr>
        <w:pStyle w:val="ListBullet"/>
        <w:spacing w:after="60"/>
        <w:ind w:left="360" w:hanging="259"/>
      </w:pPr>
      <w:r>
        <w:t>HTTPS exigido na configuração do Supabase; chave pública injetada no build; sem service_role versionada.</w:t>
      </w:r>
    </w:p>
    <w:p>
      <w:pPr>
        <w:pStyle w:val="ListBullet"/>
        <w:spacing w:after="60"/>
        <w:ind w:left="360" w:hanging="259"/>
      </w:pPr>
      <w:r>
        <w:t>RLS baseada em auth.uid() e revogação de acesso anônimo nas quatro tabelas remotas.</w:t>
      </w:r>
    </w:p>
    <w:p>
      <w:pPr>
        <w:pStyle w:val="ListBullet"/>
        <w:spacing w:after="60"/>
        <w:ind w:left="360" w:hanging="259"/>
      </w:pPr>
      <w:r>
        <w:t>Backup com AES-GCM, PBKDF2, salt/IV aleatórios, limites e validação contra adulteração.</w:t>
      </w:r>
    </w:p>
    <w:p>
      <w:pPr>
        <w:pStyle w:val="ListBullet"/>
        <w:spacing w:after="60"/>
        <w:ind w:left="360" w:hanging="259"/>
      </w:pPr>
      <w:r>
        <w:t>PDF com SHA-256, tamanho, caminho canônico e FileProvider não exportado.</w:t>
      </w:r>
    </w:p>
    <w:p>
      <w:pPr>
        <w:pStyle w:val="ListBullet"/>
        <w:spacing w:after="60"/>
        <w:ind w:left="360" w:hanging="259"/>
      </w:pPr>
      <w:r>
        <w:t>Consentimento explícito e versionado antes de gerar ou compartilhar relatórios.</w:t>
      </w:r>
    </w:p>
    <w:p>
      <w:pPr>
        <w:pStyle w:val="Heading2"/>
      </w:pPr>
      <w:r>
        <w:t>8.2 Limitações reais</w:t>
      </w:r>
    </w:p>
    <w:p>
      <w:pPr>
        <w:pStyle w:val="ListBullet"/>
        <w:spacing w:after="60"/>
        <w:ind w:left="360" w:hanging="259"/>
      </w:pPr>
      <w:r>
        <w:t>O arquivo Room com dados pessoais e financeiros não possui criptografia própria; depende do sandbox e do aparelho.</w:t>
      </w:r>
    </w:p>
    <w:p>
      <w:pPr>
        <w:pStyle w:val="ListBullet"/>
        <w:spacing w:after="60"/>
        <w:ind w:left="360" w:hanging="259"/>
      </w:pPr>
      <w:r>
        <w:t>Android Auto Backup permanece habilitado para outros dados e precisa de decisão de retenção/documentação.</w:t>
      </w:r>
    </w:p>
    <w:p>
      <w:pPr>
        <w:pStyle w:val="ListBullet"/>
        <w:spacing w:after="60"/>
        <w:ind w:left="360" w:hanging="259"/>
      </w:pPr>
      <w:r>
        <w:t>Não há política de privacidade, termos, processo do titular ou plano de incidentes no repositório.</w:t>
      </w:r>
    </w:p>
    <w:p>
      <w:pPr>
        <w:pStyle w:val="ListBullet"/>
        <w:spacing w:after="60"/>
        <w:ind w:left="360" w:hanging="259"/>
      </w:pPr>
      <w:r>
        <w:t>PBKDF2WithHmacSHA1 é mantido por compatibilidade; uma nova versão deve avaliar KDF mais moderna com migração.</w:t>
      </w:r>
    </w:p>
    <w:p>
      <w:pPr>
        <w:pStyle w:val="ListBullet"/>
        <w:spacing w:after="60"/>
        <w:ind w:left="360" w:hanging="259"/>
      </w:pPr>
      <w:r>
        <w:t>Criptografia, RLS e consentimento não equivalem, sozinhos, a conformidade LGPD auditada.</w:t>
      </w:r>
    </w:p>
    <w:p>
      <w:pPr>
        <w:pStyle w:val="Heading1"/>
      </w:pPr>
      <w:r>
        <w:t>9. Relatório de crédito rural</w:t>
      </w:r>
    </w:p>
    <w:p>
      <w:r>
        <w:t>O recurso não é apenas um botão demonstrativo. O código constrói um snapshot por período, filtra movimentações, calcula totais, avalia completude, conta registros sincronizados/pendentes, exige consentimento atual, gera PDF, arquiva metadados e verifica integridade antes do compartilhamento.</w:t>
      </w:r>
    </w:p>
    <w:tbl>
      <w:tblPr>
        <w:tblStyle w:val="TableGrid"/>
        <w:tblW w:type="dxa" w:w="9676"/>
        <w:jc w:val="center"/>
        <w:tblLayout w:type="fixed"/>
        <w:tblLook w:firstColumn="1" w:firstRow="1" w:lastColumn="0" w:lastRow="0" w:noHBand="0" w:noVBand="1" w:val="04A0"/>
      </w:tblPr>
      <w:tblGrid>
        <w:gridCol w:w="2015"/>
        <w:gridCol w:w="7660"/>
      </w:tblGrid>
      <w:tr>
        <w:trPr>
          <w:tblHeader w:val="true"/>
          <w:cantSplit/>
        </w:trPr>
        <w:tc>
          <w:tcPr>
            <w:tcW w:type="dxa" w:w="2015"/>
            <w:shd w:fill="123D1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Controle</w:t>
            </w:r>
          </w:p>
        </w:tc>
        <w:tc>
          <w:tcPr>
            <w:tcW w:type="dxa" w:w="7660"/>
            <w:shd w:fill="123D1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Implementação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Finalidade</w:t>
            </w:r>
          </w:p>
        </w:tc>
        <w:tc>
          <w:tcPr>
            <w:tcW w:type="dxa" w:w="7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Compartilhamento voluntário; o app não envia automaticamente.</w:t>
            </w:r>
          </w:p>
        </w:tc>
      </w:tr>
      <w:tr>
        <w:trPr>
          <w:cantSplit/>
        </w:trPr>
        <w:tc>
          <w:tcPr>
            <w:tcW w:type="dxa" w:w="2015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Aviso</w:t>
            </w:r>
          </w:p>
        </w:tc>
        <w:tc>
          <w:tcPr>
            <w:tcW w:type="dxa" w:w="7660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Não é oficial, não substitui CAF/DAP, projeto ou comprovantes e não garante crédito.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Completude</w:t>
            </w:r>
          </w:p>
        </w:tc>
        <w:tc>
          <w:tcPr>
            <w:tcW w:type="dxa" w:w="7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Sinaliza ausência de produtor, propriedade, município, CAF/DAP, área, safra ou movimentações.</w:t>
            </w:r>
          </w:p>
        </w:tc>
      </w:tr>
      <w:tr>
        <w:trPr>
          <w:cantSplit/>
        </w:trPr>
        <w:tc>
          <w:tcPr>
            <w:tcW w:type="dxa" w:w="2015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Origem</w:t>
            </w:r>
          </w:p>
        </w:tc>
        <w:tc>
          <w:tcPr>
            <w:tcW w:type="dxa" w:w="7660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Informa que os registros foram cadastrados pelo produtor.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Integridade</w:t>
            </w:r>
          </w:p>
        </w:tc>
        <w:tc>
          <w:tcPr>
            <w:tcW w:type="dxa" w:w="7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SHA-256, tamanho, versão, caminho seguro e bloqueio de modificação.</w:t>
            </w:r>
          </w:p>
        </w:tc>
      </w:tr>
      <w:tr>
        <w:trPr>
          <w:cantSplit/>
        </w:trPr>
        <w:tc>
          <w:tcPr>
            <w:tcW w:type="dxa" w:w="2015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Consentimento</w:t>
            </w:r>
          </w:p>
        </w:tc>
        <w:tc>
          <w:tcPr>
            <w:tcW w:type="dxa" w:w="7660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Versão, data de aceite, revogação e bloqueio de PDF legado sem prova.</w:t>
            </w:r>
          </w:p>
        </w:tc>
      </w:tr>
    </w:tbl>
    <w:p>
      <w:pPr>
        <w:spacing w:after="20"/>
      </w:pPr>
    </w:p>
    <w:tbl>
      <w:tblPr>
        <w:tblW w:type="dxa" w:w="9676"/>
        <w:jc w:val="center"/>
        <w:tblLayout w:type="fixed"/>
        <w:tblLook w:firstColumn="1" w:firstRow="1" w:lastColumn="0" w:lastRow="0" w:noHBand="0" w:noVBand="1" w:val="04A0"/>
      </w:tblPr>
      <w:tblGrid>
        <w:gridCol w:w="9676"/>
      </w:tblGrid>
      <w:tr>
        <w:tc>
          <w:tcPr>
            <w:tcW w:type="dxa" w:w="96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5DA"/>
          </w:tcPr>
          <w:p>
            <w:pPr>
              <w:spacing w:after="20"/>
            </w:pPr>
            <w:r>
              <w:rPr>
                <w:b/>
                <w:color w:val="B4780F"/>
                <w:sz w:val="18"/>
              </w:rPr>
              <w:t xml:space="preserve">LIMITE ESSENCIAL  </w:t>
            </w:r>
            <w:r>
              <w:rPr>
                <w:color w:val="18231C"/>
                <w:sz w:val="20"/>
              </w:rPr>
              <w:t>O relatório está tecnicamente mais forte do que a documentação anterior indicava, mas ainda precisa de revisão com ATER, especialista jurídico e instituição financeira. Integridade prova que o arquivo não mudou; não prova que os dados declarados são verdadeiros.</w:t>
            </w:r>
          </w:p>
        </w:tc>
      </w:tr>
    </w:tbl>
    <w:p>
      <w:pPr>
        <w:spacing w:after="20"/>
      </w:pPr>
    </w:p>
    <w:p>
      <w:pPr>
        <w:pStyle w:val="Heading1"/>
      </w:pPr>
      <w:r>
        <w:t>10. Interface, acessibilidade e relação com os HTMLs</w:t>
      </w:r>
    </w:p>
    <w:p>
      <w:r>
        <w:t>O aplicativo real reutiliza elementos visuais e conceitos presentes nos protótipos, incluindo componentes EasyBigButton e EasyCard, alvos amplos, contraste revisto, formulários roláveis e validações com fonte Android em 130%, conforme histórico do projeto.</w:t>
      </w:r>
    </w:p>
    <w:p>
      <w:r>
        <w:t>Entretanto, não foi encontrada uma configuração persistente que alterne todo o aplicativo entre “versão completa” e “Modo Simples”. Os HTMLs devem ser tratados como especificação futura de experiência. A paridade precisa ser mapeada tela por tela antes de afirmar que o modo alternativo está implementado.</w:t>
      </w:r>
    </w:p>
    <w:tbl>
      <w:tblPr>
        <w:tblStyle w:val="TableGrid"/>
        <w:tblW w:type="dxa" w:w="9676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084"/>
      </w:tblGrid>
      <w:tr>
        <w:trPr>
          <w:tblHeader w:val="true"/>
          <w:cantSplit/>
        </w:trPr>
        <w:tc>
          <w:tcPr>
            <w:tcW w:type="dxa" w:w="2592"/>
            <w:shd w:fill="123D1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Aspecto</w:t>
            </w:r>
          </w:p>
        </w:tc>
        <w:tc>
          <w:tcPr>
            <w:tcW w:type="dxa" w:w="7084"/>
            <w:shd w:fill="123D1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Estado real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Componentes acessíveis</w:t>
            </w:r>
          </w:p>
        </w:tc>
        <w:tc>
          <w:tcPr>
            <w:tcW w:type="dxa" w:w="70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Presentes e usados em telas do aplicativo.</w:t>
            </w:r>
          </w:p>
        </w:tc>
      </w:tr>
      <w:tr>
        <w:trPr>
          <w:cantSplit/>
        </w:trPr>
        <w:tc>
          <w:tcPr>
            <w:tcW w:type="dxa" w:w="2592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Escala de fonte</w:t>
            </w:r>
          </w:p>
        </w:tc>
        <w:tc>
          <w:tcPr>
            <w:tcW w:type="dxa" w:w="7084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Validações documentadas em 130%; exige teste mais amplo e leitor de tela.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Descrições de ícones</w:t>
            </w:r>
          </w:p>
        </w:tc>
        <w:tc>
          <w:tcPr>
            <w:tcW w:type="dxa" w:w="70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Diversas ações possuem contentDescription; ícones decorativos usam null corretamente.</w:t>
            </w:r>
          </w:p>
        </w:tc>
      </w:tr>
      <w:tr>
        <w:trPr>
          <w:cantSplit/>
        </w:trPr>
        <w:tc>
          <w:tcPr>
            <w:tcW w:type="dxa" w:w="2592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Modo Simples completo</w:t>
            </w:r>
          </w:p>
        </w:tc>
        <w:tc>
          <w:tcPr>
            <w:tcW w:type="dxa" w:w="7084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Direção de design, sem alternância global comprovada no código analisado.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Uso sob sol/luvas</w:t>
            </w:r>
          </w:p>
        </w:tc>
        <w:tc>
          <w:tcPr>
            <w:tcW w:type="dxa" w:w="70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Requisito do produto; ainda sem evidência de estudo de campo documentado.</w:t>
            </w:r>
          </w:p>
        </w:tc>
      </w:tr>
    </w:tbl>
    <w:p>
      <w:pPr>
        <w:spacing w:after="20"/>
      </w:pPr>
    </w:p>
    <w:p>
      <w:pPr>
        <w:pStyle w:val="Heading1"/>
      </w:pPr>
      <w:r>
        <w:t>11. Testes e qualidade</w:t>
      </w:r>
    </w:p>
    <w:tbl>
      <w:tblPr>
        <w:tblStyle w:val="TableGrid"/>
        <w:tblW w:type="dxa" w:w="9676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44"/>
      </w:tblGrid>
      <w:tr>
        <w:trPr>
          <w:tblHeader w:val="true"/>
          <w:cantSplit/>
        </w:trPr>
        <w:tc>
          <w:tcPr>
            <w:tcW w:type="dxa" w:w="2232"/>
            <w:shd w:fill="123D1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Grupo</w:t>
            </w:r>
          </w:p>
        </w:tc>
        <w:tc>
          <w:tcPr>
            <w:tcW w:type="dxa" w:w="7444"/>
            <w:shd w:fill="123D1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Cobertura encontrada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Domínio</w:t>
            </w:r>
          </w:p>
        </w:tc>
        <w:tc>
          <w:tcPr>
            <w:tcW w:type="dxa" w:w="74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Cálculos, datas, filtros, sessão, lembretes e relatório.</w:t>
            </w:r>
          </w:p>
        </w:tc>
      </w:tr>
      <w:tr>
        <w:trPr>
          <w:cantSplit/>
        </w:trPr>
        <w:tc>
          <w:tcPr>
            <w:tcW w:type="dxa" w:w="2232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Persistência</w:t>
            </w:r>
          </w:p>
        </w:tc>
        <w:tc>
          <w:tcPr>
            <w:tcW w:type="dxa" w:w="7444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DAOs, isolamento, tombstones e migrations 3→9.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Segurança</w:t>
            </w:r>
          </w:p>
        </w:tc>
        <w:tc>
          <w:tcPr>
            <w:tcW w:type="dxa" w:w="74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Keystore, backup, senha errada, adulteração, conta divergente e PDF seguro.</w:t>
            </w:r>
          </w:p>
        </w:tc>
      </w:tr>
      <w:tr>
        <w:trPr>
          <w:cantSplit/>
        </w:trPr>
        <w:tc>
          <w:tcPr>
            <w:tcW w:type="dxa" w:w="2232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Sincronização</w:t>
            </w:r>
          </w:p>
        </w:tc>
        <w:tc>
          <w:tcPr>
            <w:tcW w:type="dxa" w:w="7444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Política de conflito e testes live de autenticação/ida e volta no Supabase.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Interface reativa</w:t>
            </w:r>
          </w:p>
        </w:tc>
        <w:tc>
          <w:tcPr>
            <w:tcW w:type="dxa" w:w="74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Filtros e estados observados em testes instrumentados.</w:t>
            </w:r>
          </w:p>
        </w:tc>
      </w:tr>
    </w:tbl>
    <w:p>
      <w:pPr>
        <w:spacing w:after="20"/>
      </w:pPr>
    </w:p>
    <w:p>
      <w:r>
        <w:t>O README registra em 4 de agosto de 2026: 34 testes unitários aprovados, lint com zero erros e 52 avisos, assembleDebug concluído em JDK 21 e connectedDebugAndroidTest não executado naquela rodada por falta de dispositivo. Os testes live exigem credenciais temporárias e backend configurado.</w:t>
      </w:r>
    </w:p>
    <w:p>
      <w:pPr>
        <w:pStyle w:val="Heading2"/>
      </w:pPr>
      <w:r>
        <w:t>11.1 Lacunas de engenharia</w:t>
      </w:r>
    </w:p>
    <w:p>
      <w:pPr>
        <w:pStyle w:val="ListBullet"/>
        <w:spacing w:after="60"/>
        <w:ind w:left="360" w:hanging="259"/>
      </w:pPr>
      <w:r>
        <w:t>Não há CI versionada para executar build, unit tests, lint e checagem de segredos em cada mudança.</w:t>
      </w:r>
    </w:p>
    <w:p>
      <w:pPr>
        <w:pStyle w:val="ListBullet"/>
        <w:spacing w:after="60"/>
        <w:ind w:left="360" w:hanging="259"/>
      </w:pPr>
      <w:r>
        <w:t>Não há cobertura numérica por linha/ramo nem meta de cobertura.</w:t>
      </w:r>
    </w:p>
    <w:p>
      <w:pPr>
        <w:pStyle w:val="ListBullet"/>
        <w:spacing w:after="60"/>
        <w:ind w:left="360" w:hanging="259"/>
      </w:pPr>
      <w:r>
        <w:t>Telas grandes elevam o custo de testes de UI e regressão.</w:t>
      </w:r>
    </w:p>
    <w:p>
      <w:pPr>
        <w:pStyle w:val="ListBullet"/>
        <w:spacing w:after="60"/>
        <w:ind w:left="360" w:hanging="259"/>
      </w:pPr>
      <w:r>
        <w:t>A execução instrumentada depende de emulador/aparelho e não foi reproduzida nesta revisão.</w:t>
      </w:r>
    </w:p>
    <w:p>
      <w:pPr>
        <w:pStyle w:val="ListBullet"/>
        <w:spacing w:after="60"/>
        <w:ind w:left="360" w:hanging="259"/>
      </w:pPr>
      <w:r>
        <w:t>O release está sem minificação e não há fluxo documentado de assinatura/AAB/Play Console.</w:t>
      </w:r>
    </w:p>
    <w:p>
      <w:pPr>
        <w:pStyle w:val="Heading1"/>
      </w:pPr>
      <w:r>
        <w:t>12. Comparação competitiva corrigida</w:t>
      </w:r>
    </w:p>
    <w:tbl>
      <w:tblPr>
        <w:tblStyle w:val="TableGrid"/>
        <w:tblW w:type="dxa" w:w="9676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176"/>
        <w:gridCol w:w="3556"/>
      </w:tblGrid>
      <w:tr>
        <w:trPr>
          <w:tblHeader w:val="true"/>
          <w:cantSplit/>
        </w:trPr>
        <w:tc>
          <w:tcPr>
            <w:tcW w:type="dxa" w:w="1944"/>
            <w:shd w:fill="123D1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Critério</w:t>
            </w:r>
          </w:p>
        </w:tc>
        <w:tc>
          <w:tcPr>
            <w:tcW w:type="dxa" w:w="4176"/>
            <w:shd w:fill="123D1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AgroGestão Pro atual</w:t>
            </w:r>
          </w:p>
        </w:tc>
        <w:tc>
          <w:tcPr>
            <w:tcW w:type="dxa" w:w="3556"/>
            <w:shd w:fill="123D1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Alternativas maduras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Offline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Room como fonte local; sync opcional posterior.</w:t>
            </w:r>
          </w:p>
        </w:tc>
        <w:tc>
          <w:tcPr>
            <w:tcW w:type="dxa" w:w="35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Aegro também oferece app offline; planilhas podem operar offline quando preparadas.</w:t>
            </w:r>
          </w:p>
        </w:tc>
      </w:tr>
      <w:tr>
        <w:trPr>
          <w:cantSplit/>
        </w:trPr>
        <w:tc>
          <w:tcPr>
            <w:tcW w:type="dxa" w:w="1944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Fluxo agrícola</w:t>
            </w:r>
          </w:p>
        </w:tc>
        <w:tc>
          <w:tcPr>
            <w:tcW w:type="dxa" w:w="4176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Talhões/safras, tarefas, caixa e relatório dirigido.</w:t>
            </w:r>
          </w:p>
        </w:tc>
        <w:tc>
          <w:tcPr>
            <w:tcW w:type="dxa" w:w="3556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ERPs oferecem estoque, fiscal, máquinas, mapas, pragas e equipe.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Crédito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PDF específico com consentimento, completude e hash.</w:t>
            </w:r>
          </w:p>
        </w:tc>
        <w:tc>
          <w:tcPr>
            <w:tcW w:type="dxa" w:w="35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Outras plataformas têm relatórios amplos; instituição continua exigindo documentos próprios.</w:t>
            </w:r>
          </w:p>
        </w:tc>
      </w:tr>
      <w:tr>
        <w:trPr>
          <w:cantSplit/>
        </w:trPr>
        <w:tc>
          <w:tcPr>
            <w:tcW w:type="dxa" w:w="1944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Customização</w:t>
            </w:r>
          </w:p>
        </w:tc>
        <w:tc>
          <w:tcPr>
            <w:tcW w:type="dxa" w:w="4176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Código e backend sob controle do projeto.</w:t>
            </w:r>
          </w:p>
        </w:tc>
        <w:tc>
          <w:tcPr>
            <w:tcW w:type="dxa" w:w="3556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SaaS reduz manutenção interna e oferece suporte/SLA.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Colaboração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Não disponível.</w:t>
            </w:r>
          </w:p>
        </w:tc>
        <w:tc>
          <w:tcPr>
            <w:tcW w:type="dxa" w:w="35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Trello, planilhas e ERPs maduros têm coautoria/equipe.</w:t>
            </w:r>
          </w:p>
        </w:tc>
      </w:tr>
      <w:tr>
        <w:trPr>
          <w:cantSplit/>
        </w:trPr>
        <w:tc>
          <w:tcPr>
            <w:tcW w:type="dxa" w:w="1944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Plataformas</w:t>
            </w:r>
          </w:p>
        </w:tc>
        <w:tc>
          <w:tcPr>
            <w:tcW w:type="dxa" w:w="4176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Android somente.</w:t>
            </w:r>
          </w:p>
        </w:tc>
        <w:tc>
          <w:tcPr>
            <w:tcW w:type="dxa" w:w="3556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Excel, Sheets, Trello e ERPs cobrem web/iOS/desktop em diferentes graus.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Maturidade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Beta com base técnica e testes.</w:t>
            </w:r>
          </w:p>
        </w:tc>
        <w:tc>
          <w:tcPr>
            <w:tcW w:type="dxa" w:w="35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Produtos estabelecidos têm operação comercial, suporte e histórico.</w:t>
            </w:r>
          </w:p>
        </w:tc>
      </w:tr>
    </w:tbl>
    <w:p>
      <w:pPr>
        <w:spacing w:after="20"/>
      </w:pPr>
    </w:p>
    <w:p>
      <w:pPr>
        <w:pStyle w:val="Heading2"/>
      </w:pPr>
      <w:r>
        <w:t>12.1 Onde o projeto pode ser melhor</w:t>
      </w:r>
    </w:p>
    <w:p>
      <w:pPr>
        <w:pStyle w:val="ListBullet"/>
        <w:spacing w:after="60"/>
        <w:ind w:left="360" w:hanging="259"/>
      </w:pPr>
      <w:r>
        <w:t>Fluxo mais dirigido que planilhas, sem exigir fórmulas e relações manuais.</w:t>
      </w:r>
    </w:p>
    <w:p>
      <w:pPr>
        <w:pStyle w:val="ListBullet"/>
        <w:spacing w:after="60"/>
        <w:ind w:left="360" w:hanging="259"/>
      </w:pPr>
      <w:r>
        <w:t>Offline como comportamento padrão, não arquivo que o usuário precisa preparar.</w:t>
      </w:r>
    </w:p>
    <w:p>
      <w:pPr>
        <w:pStyle w:val="ListBullet"/>
        <w:spacing w:after="60"/>
        <w:ind w:left="360" w:hanging="259"/>
      </w:pPr>
      <w:r>
        <w:t>Relatório voluntário com cautelas, consentimento, completude e integridade explícitos.</w:t>
      </w:r>
    </w:p>
    <w:p>
      <w:pPr>
        <w:pStyle w:val="ListBullet"/>
        <w:spacing w:after="60"/>
        <w:ind w:left="360" w:hanging="259"/>
      </w:pPr>
      <w:r>
        <w:t>Implantação controlável e adaptável ao contexto regional, especialmente via cooperativas.</w:t>
      </w:r>
    </w:p>
    <w:p>
      <w:pPr>
        <w:pStyle w:val="ListBullet"/>
        <w:spacing w:after="60"/>
        <w:ind w:left="360" w:hanging="259"/>
      </w:pPr>
      <w:r>
        <w:t>Menor carga de aprendizado que ERP amplo, hipótese que ainda precisa de teste de campo.</w:t>
      </w:r>
    </w:p>
    <w:p>
      <w:pPr>
        <w:pStyle w:val="Heading2"/>
      </w:pPr>
      <w:r>
        <w:t>12.2 Onde o projeto é pior hoje</w:t>
      </w:r>
    </w:p>
    <w:p>
      <w:pPr>
        <w:pStyle w:val="ListBullet"/>
        <w:spacing w:after="60"/>
        <w:ind w:left="360" w:hanging="259"/>
      </w:pPr>
      <w:r>
        <w:t>Android apenas, sem equipe, múltiplas propriedades ou colaboração.</w:t>
      </w:r>
    </w:p>
    <w:p>
      <w:pPr>
        <w:pStyle w:val="ListBullet"/>
        <w:spacing w:after="60"/>
        <w:ind w:left="360" w:hanging="259"/>
      </w:pPr>
      <w:r>
        <w:t>Sem estoque, fiscal, máquinas, GPS, mapas, pragas, fornecedores e integrações contábeis.</w:t>
      </w:r>
    </w:p>
    <w:p>
      <w:pPr>
        <w:pStyle w:val="ListBullet"/>
        <w:spacing w:after="60"/>
        <w:ind w:left="360" w:hanging="259"/>
      </w:pPr>
      <w:r>
        <w:t>Sem SLA, suporte estruturado, CI, monitoramento, política formal de incidentes ou licença.</w:t>
      </w:r>
    </w:p>
    <w:p>
      <w:pPr>
        <w:pStyle w:val="ListBullet"/>
        <w:spacing w:after="60"/>
        <w:ind w:left="360" w:hanging="259"/>
      </w:pPr>
      <w:r>
        <w:t>Sem evidência pública de retenção, ganho financeiro ou conclusão de tarefas com produtores reais.</w:t>
      </w:r>
    </w:p>
    <w:p>
      <w:pPr>
        <w:pStyle w:val="ListBullet"/>
        <w:spacing w:after="60"/>
        <w:ind w:left="360" w:hanging="259"/>
      </w:pPr>
      <w:r>
        <w:t>Recuperação de acesso e publicação comercial ainda incompletas.</w:t>
      </w:r>
    </w:p>
    <w:p>
      <w:pPr>
        <w:pStyle w:val="Heading1"/>
      </w:pPr>
      <w:r>
        <w:t>13. Pontos fortes reais</w:t>
      </w:r>
    </w:p>
    <w:p>
      <w:pPr>
        <w:pStyle w:val="ListBullet"/>
        <w:spacing w:after="60"/>
        <w:ind w:left="360" w:hanging="259"/>
      </w:pPr>
      <w:r>
        <w:t>Offline-first implementado com Room reativo, WorkManager e sincronização bidirecional.</w:t>
      </w:r>
    </w:p>
    <w:p>
      <w:pPr>
        <w:pStyle w:val="ListBullet"/>
        <w:spacing w:after="60"/>
        <w:ind w:left="360" w:hanging="259"/>
      </w:pPr>
      <w:r>
        <w:t>Isolamento por usuário, RLS, sessão protegida e credenciais administrativas fora do app.</w:t>
      </w:r>
    </w:p>
    <w:p>
      <w:pPr>
        <w:pStyle w:val="ListBullet"/>
        <w:spacing w:after="60"/>
        <w:ind w:left="360" w:hanging="259"/>
      </w:pPr>
      <w:r>
        <w:t>Tombstones, UUIDs estáveis, migrations e schemas exportados.</w:t>
      </w:r>
    </w:p>
    <w:p>
      <w:pPr>
        <w:pStyle w:val="ListBullet"/>
        <w:spacing w:after="60"/>
        <w:ind w:left="360" w:hanging="259"/>
      </w:pPr>
      <w:r>
        <w:t>Backup criptografado com validação defensiva e restauração por mesclagem.</w:t>
      </w:r>
    </w:p>
    <w:p>
      <w:pPr>
        <w:pStyle w:val="ListBullet"/>
        <w:spacing w:after="60"/>
        <w:ind w:left="360" w:hanging="259"/>
      </w:pPr>
      <w:r>
        <w:t>Relatório PDF com período, completude, origem, consentimento e integridade.</w:t>
      </w:r>
    </w:p>
    <w:p>
      <w:pPr>
        <w:pStyle w:val="ListBullet"/>
        <w:spacing w:after="60"/>
        <w:ind w:left="360" w:hanging="259"/>
      </w:pPr>
      <w:r>
        <w:t>64 métodos de teste cobrindo domínio, persistência, segurança, UI e integração.</w:t>
      </w:r>
    </w:p>
    <w:p>
      <w:pPr>
        <w:pStyle w:val="ListBullet"/>
        <w:spacing w:after="60"/>
        <w:ind w:left="360" w:hanging="259"/>
      </w:pPr>
      <w:r>
        <w:t>Interface em português com escopo coerente para pequeno produtor individual.</w:t>
      </w:r>
    </w:p>
    <w:p>
      <w:pPr>
        <w:pStyle w:val="Heading1"/>
      </w:pPr>
      <w:r>
        <w:t>14. Pontos fracos reais e plano de correção</w:t>
      </w:r>
    </w:p>
    <w:tbl>
      <w:tblPr>
        <w:tblStyle w:val="TableGrid"/>
        <w:tblW w:type="dxa" w:w="9676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835"/>
        <w:gridCol w:w="4392"/>
        <w:gridCol w:w="2289"/>
      </w:tblGrid>
      <w:tr>
        <w:trPr>
          <w:tblHeader w:val="true"/>
          <w:cantSplit/>
        </w:trPr>
        <w:tc>
          <w:tcPr>
            <w:tcW w:type="dxa" w:w="2160"/>
            <w:shd w:fill="123D1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4"/>
              </w:rPr>
              <w:t>Ponto fraco</w:t>
            </w:r>
          </w:p>
        </w:tc>
        <w:tc>
          <w:tcPr>
            <w:tcW w:type="dxa" w:w="835"/>
            <w:shd w:fill="123D1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4"/>
              </w:rPr>
              <w:t>Prioridade</w:t>
            </w:r>
          </w:p>
        </w:tc>
        <w:tc>
          <w:tcPr>
            <w:tcW w:type="dxa" w:w="4392"/>
            <w:shd w:fill="123D1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4"/>
              </w:rPr>
              <w:t>Correção recomendada</w:t>
            </w:r>
          </w:p>
        </w:tc>
        <w:tc>
          <w:tcPr>
            <w:tcW w:type="dxa" w:w="2289"/>
            <w:shd w:fill="123D1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4"/>
              </w:rPr>
              <w:t>Critério de saída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4"/>
              </w:rPr>
              <w:t>Sem recuperar/trocar senha</w:t>
            </w:r>
          </w:p>
        </w:tc>
        <w:tc>
          <w:tcPr>
            <w:tcW w:type="dxa" w:w="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4"/>
              </w:rPr>
              <w:t>P0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4"/>
              </w:rPr>
              <w:t>Implementar fluxo Supabase, deep link e reassociação segura.</w:t>
            </w:r>
          </w:p>
        </w:tc>
        <w:tc>
          <w:tcPr>
            <w:tcW w:type="dxa" w:w="2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4"/>
              </w:rPr>
              <w:t>Conta recuperada em aparelho real sem perder/duplicar dados.</w:t>
            </w:r>
          </w:p>
        </w:tc>
      </w:tr>
      <w:tr>
        <w:trPr>
          <w:cantSplit/>
        </w:trPr>
        <w:tc>
          <w:tcPr>
            <w:tcW w:type="dxa" w:w="2160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4"/>
              </w:rPr>
              <w:t>Migração v1 destrutiva</w:t>
            </w:r>
          </w:p>
        </w:tc>
        <w:tc>
          <w:tcPr>
            <w:tcW w:type="dxa" w:w="835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4"/>
              </w:rPr>
              <w:t>P0</w:t>
            </w:r>
          </w:p>
        </w:tc>
        <w:tc>
          <w:tcPr>
            <w:tcW w:type="dxa" w:w="4392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4"/>
              </w:rPr>
              <w:t>Reconstruir schema v1 ou oferecer exportação/upgrade assistido.</w:t>
            </w:r>
          </w:p>
        </w:tc>
        <w:tc>
          <w:tcPr>
            <w:tcW w:type="dxa" w:w="2289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4"/>
              </w:rPr>
              <w:t>Nenhuma versão publicada perde banco silenciosamente.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4"/>
              </w:rPr>
              <w:t>Monólitos de código</w:t>
            </w:r>
          </w:p>
        </w:tc>
        <w:tc>
          <w:tcPr>
            <w:tcW w:type="dxa" w:w="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4"/>
              </w:rPr>
              <w:t>P0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4"/>
              </w:rPr>
              <w:t>Extrair repositórios/serviços e componentes por fluxo.</w:t>
            </w:r>
          </w:p>
        </w:tc>
        <w:tc>
          <w:tcPr>
            <w:tcW w:type="dxa" w:w="2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4"/>
              </w:rPr>
              <w:t>Arquivos críticos menores, interfaces e testes isolados.</w:t>
            </w:r>
          </w:p>
        </w:tc>
      </w:tr>
      <w:tr>
        <w:trPr>
          <w:cantSplit/>
        </w:trPr>
        <w:tc>
          <w:tcPr>
            <w:tcW w:type="dxa" w:w="2160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4"/>
              </w:rPr>
              <w:t>Dinheiro em Double</w:t>
            </w:r>
          </w:p>
        </w:tc>
        <w:tc>
          <w:tcPr>
            <w:tcW w:type="dxa" w:w="835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4"/>
              </w:rPr>
              <w:t>P0 antes de crescer financeiro</w:t>
            </w:r>
          </w:p>
        </w:tc>
        <w:tc>
          <w:tcPr>
            <w:tcW w:type="dxa" w:w="4392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4"/>
              </w:rPr>
              <w:t>Migrar para centavos Long com migration e testes.</w:t>
            </w:r>
          </w:p>
        </w:tc>
        <w:tc>
          <w:tcPr>
            <w:tcW w:type="dxa" w:w="2289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4"/>
              </w:rPr>
              <w:t>Totais exatos e atualização sem alteração de valores.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4"/>
              </w:rPr>
              <w:t>Conflito last-write-wins</w:t>
            </w:r>
          </w:p>
        </w:tc>
        <w:tc>
          <w:tcPr>
            <w:tcW w:type="dxa" w:w="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4"/>
              </w:rPr>
              <w:t>P1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4"/>
              </w:rPr>
              <w:t>Versão do servidor e revisão para financeiro.</w:t>
            </w:r>
          </w:p>
        </w:tc>
        <w:tc>
          <w:tcPr>
            <w:tcW w:type="dxa" w:w="2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4"/>
              </w:rPr>
              <w:t>Edição concorrente não desaparece sem trilha.</w:t>
            </w:r>
          </w:p>
        </w:tc>
      </w:tr>
      <w:tr>
        <w:trPr>
          <w:cantSplit/>
        </w:trPr>
        <w:tc>
          <w:tcPr>
            <w:tcW w:type="dxa" w:w="2160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4"/>
              </w:rPr>
              <w:t>Room sem criptografia própria</w:t>
            </w:r>
          </w:p>
        </w:tc>
        <w:tc>
          <w:tcPr>
            <w:tcW w:type="dxa" w:w="835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4"/>
              </w:rPr>
              <w:t>P1 conforme risco</w:t>
            </w:r>
          </w:p>
        </w:tc>
        <w:tc>
          <w:tcPr>
            <w:tcW w:type="dxa" w:w="4392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4"/>
              </w:rPr>
              <w:t>Threat model; decidir criptografia/biometria e backup.</w:t>
            </w:r>
          </w:p>
        </w:tc>
        <w:tc>
          <w:tcPr>
            <w:tcW w:type="dxa" w:w="2289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4"/>
              </w:rPr>
              <w:t>Decisão documentada e testada no aparelho-alvo.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4"/>
              </w:rPr>
              <w:t>Sem CI/release comercial</w:t>
            </w:r>
          </w:p>
        </w:tc>
        <w:tc>
          <w:tcPr>
            <w:tcW w:type="dxa" w:w="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4"/>
              </w:rPr>
              <w:t>P0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4"/>
              </w:rPr>
              <w:t>Pipeline, lint, testes, segredo, assinatura e AAB.</w:t>
            </w:r>
          </w:p>
        </w:tc>
        <w:tc>
          <w:tcPr>
            <w:tcW w:type="dxa" w:w="2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4"/>
              </w:rPr>
              <w:t>Build reproduzível e artefato rastreável.</w:t>
            </w:r>
          </w:p>
        </w:tc>
      </w:tr>
      <w:tr>
        <w:trPr>
          <w:cantSplit/>
        </w:trPr>
        <w:tc>
          <w:tcPr>
            <w:tcW w:type="dxa" w:w="2160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4"/>
              </w:rPr>
              <w:t>52 avisos lint</w:t>
            </w:r>
          </w:p>
        </w:tc>
        <w:tc>
          <w:tcPr>
            <w:tcW w:type="dxa" w:w="835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4"/>
              </w:rPr>
              <w:t>P1</w:t>
            </w:r>
          </w:p>
        </w:tc>
        <w:tc>
          <w:tcPr>
            <w:tcW w:type="dxa" w:w="4392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4"/>
              </w:rPr>
              <w:t>Triagem por risco; atualizar alvo/dependências gradualmente.</w:t>
            </w:r>
          </w:p>
        </w:tc>
        <w:tc>
          <w:tcPr>
            <w:tcW w:type="dxa" w:w="2289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4"/>
              </w:rPr>
              <w:t>Zero aviso crítico e baseline documentada.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4"/>
              </w:rPr>
              <w:t>Sem política/incident response</w:t>
            </w:r>
          </w:p>
        </w:tc>
        <w:tc>
          <w:tcPr>
            <w:tcW w:type="dxa" w:w="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4"/>
              </w:rPr>
              <w:t>P0 comercial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4"/>
              </w:rPr>
              <w:t>Inventário, privacidade, retenção, titular e incidentes.</w:t>
            </w:r>
          </w:p>
        </w:tc>
        <w:tc>
          <w:tcPr>
            <w:tcW w:type="dxa" w:w="2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4"/>
              </w:rPr>
              <w:t>Documentos correspondem ao funcionamento real.</w:t>
            </w:r>
          </w:p>
        </w:tc>
      </w:tr>
      <w:tr>
        <w:trPr>
          <w:cantSplit/>
        </w:trPr>
        <w:tc>
          <w:tcPr>
            <w:tcW w:type="dxa" w:w="2160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4"/>
              </w:rPr>
              <w:t>Modo Simples sem alternância global</w:t>
            </w:r>
          </w:p>
        </w:tc>
        <w:tc>
          <w:tcPr>
            <w:tcW w:type="dxa" w:w="835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4"/>
              </w:rPr>
              <w:t>P1 de UX</w:t>
            </w:r>
          </w:p>
        </w:tc>
        <w:tc>
          <w:tcPr>
            <w:tcW w:type="dxa" w:w="4392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4"/>
              </w:rPr>
              <w:t>Mapear paridade e implementar preferência persistente.</w:t>
            </w:r>
          </w:p>
        </w:tc>
        <w:tc>
          <w:tcPr>
            <w:tcW w:type="dxa" w:w="2289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4"/>
              </w:rPr>
              <w:t>Mesmas tarefas essenciais nos dois modos.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4"/>
              </w:rPr>
              <w:t>Sem piloto real documentado</w:t>
            </w:r>
          </w:p>
        </w:tc>
        <w:tc>
          <w:tcPr>
            <w:tcW w:type="dxa" w:w="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4"/>
              </w:rPr>
              <w:t>P0 de produto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4"/>
              </w:rPr>
              <w:t>Piloto longitudinal com métricas e suporte.</w:t>
            </w:r>
          </w:p>
        </w:tc>
        <w:tc>
          <w:tcPr>
            <w:tcW w:type="dxa" w:w="2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4"/>
              </w:rPr>
              <w:t>Decisão de produto baseada em uso, não em telas.</w:t>
            </w:r>
          </w:p>
        </w:tc>
      </w:tr>
    </w:tbl>
    <w:p>
      <w:pPr>
        <w:spacing w:after="20"/>
      </w:pPr>
    </w:p>
    <w:p>
      <w:pPr>
        <w:pStyle w:val="Heading1"/>
      </w:pPr>
      <w:r>
        <w:t>15. Roadmap recomendado baseado no código real</w:t>
      </w:r>
    </w:p>
    <w:tbl>
      <w:tblPr>
        <w:tblStyle w:val="TableGrid"/>
        <w:tblW w:type="dxa" w:w="9676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096"/>
        <w:gridCol w:w="5140"/>
      </w:tblGrid>
      <w:tr>
        <w:trPr>
          <w:tblHeader w:val="true"/>
          <w:cantSplit/>
        </w:trPr>
        <w:tc>
          <w:tcPr>
            <w:tcW w:type="dxa" w:w="1440"/>
            <w:shd w:fill="123D1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Ciclo</w:t>
            </w:r>
          </w:p>
        </w:tc>
        <w:tc>
          <w:tcPr>
            <w:tcW w:type="dxa" w:w="3096"/>
            <w:shd w:fill="123D1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5140"/>
            <w:shd w:fill="123D1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Entregas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Beta 9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Recuperação e integridade de conta</w:t>
            </w:r>
          </w:p>
        </w:tc>
        <w:tc>
          <w:tcPr>
            <w:tcW w:type="dxa" w:w="51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Esqueci/troca de senha, deep link, mensagens, reassociação e testes protegidos.</w:t>
            </w:r>
          </w:p>
        </w:tc>
      </w:tr>
      <w:tr>
        <w:trPr>
          <w:cantSplit/>
        </w:trPr>
        <w:tc>
          <w:tcPr>
            <w:tcW w:type="dxa" w:w="1440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Beta 10</w:t>
            </w:r>
          </w:p>
        </w:tc>
        <w:tc>
          <w:tcPr>
            <w:tcW w:type="dxa" w:w="3096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Estabilização para distribuição</w:t>
            </w:r>
          </w:p>
        </w:tc>
        <w:tc>
          <w:tcPr>
            <w:tcW w:type="dxa" w:w="5140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Migração v1, dinheiro exato, CI, lint prioritário, target/dependências e release assinada.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Beta 11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Refatoração e desempenho</w:t>
            </w:r>
          </w:p>
        </w:tc>
        <w:tc>
          <w:tcPr>
            <w:tcW w:type="dxa" w:w="51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Dividir repositório/telas, paginação, métricas técnicas e bateria.</w:t>
            </w:r>
          </w:p>
        </w:tc>
      </w:tr>
      <w:tr>
        <w:trPr>
          <w:cantSplit/>
        </w:trPr>
        <w:tc>
          <w:tcPr>
            <w:tcW w:type="dxa" w:w="1440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Beta 12</w:t>
            </w:r>
          </w:p>
        </w:tc>
        <w:tc>
          <w:tcPr>
            <w:tcW w:type="dxa" w:w="3096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Privacidade e portabilidade</w:t>
            </w:r>
          </w:p>
        </w:tc>
        <w:tc>
          <w:tcPr>
            <w:tcW w:type="dxa" w:w="5140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Políticas, retenção, incidentes, CSV, auditoria e backup após mudança legítima de conta.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Beta 13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Acessibilidade e design</w:t>
            </w:r>
          </w:p>
        </w:tc>
        <w:tc>
          <w:tcPr>
            <w:tcW w:type="dxa" w:w="51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Paridade com HTMLs, Modo Simples real, leitor de tela e teste sob sol/luvas.</w:t>
            </w:r>
          </w:p>
        </w:tc>
      </w:tr>
      <w:tr>
        <w:trPr>
          <w:cantSplit/>
        </w:trPr>
        <w:tc>
          <w:tcPr>
            <w:tcW w:type="dxa" w:w="1440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Beta 14</w:t>
            </w:r>
          </w:p>
        </w:tc>
        <w:tc>
          <w:tcPr>
            <w:tcW w:type="dxa" w:w="3096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Clima opcional</w:t>
            </w:r>
          </w:p>
        </w:tc>
        <w:tc>
          <w:tcPr>
            <w:tcW w:type="dxa" w:w="5140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Município, consentimento, fonte, cache e incerteza; nunca bloquear o offline.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Piloto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Validação de campo</w:t>
            </w:r>
          </w:p>
        </w:tc>
        <w:tc>
          <w:tcPr>
            <w:tcW w:type="dxa" w:w="51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20–40 propriedades, 8–12 semanas, suporte e métricas de adoção.</w:t>
            </w:r>
          </w:p>
        </w:tc>
      </w:tr>
      <w:tr>
        <w:trPr>
          <w:cantSplit/>
        </w:trPr>
        <w:tc>
          <w:tcPr>
            <w:tcW w:type="dxa" w:w="1440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Pós-piloto</w:t>
            </w:r>
          </w:p>
        </w:tc>
        <w:tc>
          <w:tcPr>
            <w:tcW w:type="dxa" w:w="3096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Escolha de expansão</w:t>
            </w:r>
          </w:p>
        </w:tc>
        <w:tc>
          <w:tcPr>
            <w:tcW w:type="dxa" w:w="5140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Equipe/múltiplas propriedades ou manter foco individual; estoque somente se comprovado.</w:t>
            </w:r>
          </w:p>
        </w:tc>
      </w:tr>
    </w:tbl>
    <w:p>
      <w:pPr>
        <w:spacing w:after="20"/>
      </w:pPr>
    </w:p>
    <w:tbl>
      <w:tblPr>
        <w:tblW w:type="dxa" w:w="9676"/>
        <w:jc w:val="center"/>
        <w:tblLayout w:type="fixed"/>
        <w:tblLook w:firstColumn="1" w:firstRow="1" w:lastColumn="0" w:lastRow="0" w:noHBand="0" w:noVBand="1" w:val="04A0"/>
      </w:tblPr>
      <w:tblGrid>
        <w:gridCol w:w="9676"/>
      </w:tblGrid>
      <w:tr>
        <w:tc>
          <w:tcPr>
            <w:tcW w:type="dxa" w:w="96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5DA"/>
          </w:tcPr>
          <w:p>
            <w:pPr>
              <w:spacing w:after="20"/>
            </w:pPr>
            <w:r>
              <w:rPr>
                <w:b/>
                <w:color w:val="B4780F"/>
                <w:sz w:val="18"/>
              </w:rPr>
              <w:t xml:space="preserve">MUDANÇA DE ORDEM RECOMENDADA  </w:t>
            </w:r>
            <w:r>
              <w:rPr>
                <w:color w:val="18231C"/>
                <w:sz w:val="20"/>
              </w:rPr>
              <w:t>O plano do repositório coloca clima cedo. Para reduzir risco, esta documentação recomenda estabilização, migração monetária, CI e privacidade antes do clima. O recurso climático agrega valor, mas não deve atrasar os bloqueadores de distribuição.</w:t>
            </w:r>
          </w:p>
        </w:tc>
      </w:tr>
    </w:tbl>
    <w:p>
      <w:pPr>
        <w:spacing w:after="20"/>
      </w:pPr>
    </w:p>
    <w:p>
      <w:pPr>
        <w:pStyle w:val="Heading1"/>
      </w:pPr>
      <w:r>
        <w:t>16. Plano de validação de campo</w:t>
      </w:r>
    </w:p>
    <w:tbl>
      <w:tblPr>
        <w:tblStyle w:val="TableGrid"/>
        <w:tblW w:type="dxa" w:w="9676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2232"/>
        <w:gridCol w:w="3671"/>
        <w:gridCol w:w="2188"/>
      </w:tblGrid>
      <w:tr>
        <w:trPr>
          <w:tblHeader w:val="true"/>
          <w:cantSplit/>
        </w:trPr>
        <w:tc>
          <w:tcPr>
            <w:tcW w:type="dxa" w:w="1584"/>
            <w:shd w:fill="123D1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Rodada</w:t>
            </w:r>
          </w:p>
        </w:tc>
        <w:tc>
          <w:tcPr>
            <w:tcW w:type="dxa" w:w="2232"/>
            <w:shd w:fill="123D1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Participantes</w:t>
            </w:r>
          </w:p>
        </w:tc>
        <w:tc>
          <w:tcPr>
            <w:tcW w:type="dxa" w:w="3671"/>
            <w:shd w:fill="123D1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2188"/>
            <w:shd w:fill="123D1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Métrica principal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Exploratória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8–10 produtores + 2 técnicos</w:t>
            </w:r>
          </w:p>
        </w:tc>
        <w:tc>
          <w:tcPr>
            <w:tcW w:type="dxa" w:w="36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Vocabulário, rotina, aparelho e confiança.</w:t>
            </w:r>
          </w:p>
        </w:tc>
        <w:tc>
          <w:tcPr>
            <w:tcW w:type="dxa" w:w="21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Problemas observados e frequência.</w:t>
            </w:r>
          </w:p>
        </w:tc>
      </w:tr>
      <w:tr>
        <w:trPr>
          <w:cantSplit/>
        </w:trPr>
        <w:tc>
          <w:tcPr>
            <w:tcW w:type="dxa" w:w="1584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Usabilidade</w:t>
            </w:r>
          </w:p>
        </w:tc>
        <w:tc>
          <w:tcPr>
            <w:tcW w:type="dxa" w:w="2232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12–16 produtores</w:t>
            </w:r>
          </w:p>
        </w:tc>
        <w:tc>
          <w:tcPr>
            <w:tcW w:type="dxa" w:w="3671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Cadastro, tarefa, safra, gasto, backup e relatório.</w:t>
            </w:r>
          </w:p>
        </w:tc>
        <w:tc>
          <w:tcPr>
            <w:tcW w:type="dxa" w:w="2188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≥80% essenciais sem ajuda.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Offline contextual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8–12 no campo</w:t>
            </w:r>
          </w:p>
        </w:tc>
        <w:tc>
          <w:tcPr>
            <w:tcW w:type="dxa" w:w="36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Sol, luva, interrupção e reconexão.</w:t>
            </w:r>
          </w:p>
        </w:tc>
        <w:tc>
          <w:tcPr>
            <w:tcW w:type="dxa" w:w="21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Zero perda; compreensão do estado.</w:t>
            </w:r>
          </w:p>
        </w:tc>
      </w:tr>
      <w:tr>
        <w:trPr>
          <w:cantSplit/>
        </w:trPr>
        <w:tc>
          <w:tcPr>
            <w:tcW w:type="dxa" w:w="1584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Longitudinal</w:t>
            </w:r>
          </w:p>
        </w:tc>
        <w:tc>
          <w:tcPr>
            <w:tcW w:type="dxa" w:w="2232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20–40 propriedades</w:t>
            </w:r>
          </w:p>
        </w:tc>
        <w:tc>
          <w:tcPr>
            <w:tcW w:type="dxa" w:w="3671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8–12 semanas de uso e suporte.</w:t>
            </w:r>
          </w:p>
        </w:tc>
        <w:tc>
          <w:tcPr>
            <w:tcW w:type="dxa" w:w="2188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Retenção, registros/semana e chamados.</w:t>
            </w:r>
          </w:p>
        </w:tc>
      </w:tr>
    </w:tbl>
    <w:p>
      <w:pPr>
        <w:spacing w:after="20"/>
      </w:pPr>
    </w:p>
    <w:p>
      <w:pPr>
        <w:pStyle w:val="Heading2"/>
      </w:pPr>
      <w:r>
        <w:t>16.1 Métricas</w:t>
      </w:r>
    </w:p>
    <w:p>
      <w:pPr>
        <w:pStyle w:val="ListBullet"/>
        <w:spacing w:after="60"/>
        <w:ind w:left="360" w:hanging="259"/>
      </w:pPr>
      <w:r>
        <w:t>Tempo até primeiro talhão, primeira tarefa e primeiro lançamento.</w:t>
      </w:r>
    </w:p>
    <w:p>
      <w:pPr>
        <w:pStyle w:val="ListBullet"/>
        <w:spacing w:after="60"/>
        <w:ind w:left="360" w:hanging="259"/>
      </w:pPr>
      <w:r>
        <w:t>Taxa de conclusão sem ajuda e erros financeiros graves.</w:t>
      </w:r>
    </w:p>
    <w:p>
      <w:pPr>
        <w:pStyle w:val="ListBullet"/>
        <w:spacing w:after="60"/>
        <w:ind w:left="360" w:hanging="259"/>
      </w:pPr>
      <w:r>
        <w:t>Dias ativos e registros por propriedade por semana.</w:t>
      </w:r>
    </w:p>
    <w:p>
      <w:pPr>
        <w:pStyle w:val="ListBullet"/>
        <w:spacing w:after="60"/>
        <w:ind w:left="360" w:hanging="259"/>
      </w:pPr>
      <w:r>
        <w:t>Falhas, pendências e duplicações de sincronização.</w:t>
      </w:r>
    </w:p>
    <w:p>
      <w:pPr>
        <w:pStyle w:val="ListBullet"/>
        <w:spacing w:after="60"/>
        <w:ind w:left="360" w:hanging="259"/>
      </w:pPr>
      <w:r>
        <w:t>Taxa de recuperação de acesso e restauração de backup.</w:t>
      </w:r>
    </w:p>
    <w:p>
      <w:pPr>
        <w:pStyle w:val="ListBullet"/>
        <w:spacing w:after="60"/>
        <w:ind w:left="360" w:hanging="259"/>
      </w:pPr>
      <w:r>
        <w:t>Compreensão do consentimento e do limite do relatório.</w:t>
      </w:r>
    </w:p>
    <w:p>
      <w:pPr>
        <w:pStyle w:val="ListBullet"/>
        <w:spacing w:after="60"/>
        <w:ind w:left="360" w:hanging="259"/>
      </w:pPr>
      <w:r>
        <w:t>Tempo e custo de suporte por propriedade ativa.</w:t>
      </w:r>
    </w:p>
    <w:p>
      <w:pPr>
        <w:pStyle w:val="Heading1"/>
      </w:pPr>
      <w:r>
        <w:t>17. Critérios para publicação comercial</w:t>
      </w:r>
    </w:p>
    <w:p>
      <w:pPr>
        <w:pStyle w:val="ListBullet"/>
        <w:spacing w:after="60"/>
        <w:ind w:left="360" w:hanging="259"/>
      </w:pPr>
      <w:r>
        <w:t>Recuperação/troca de senha e atualização entre betas sem perda de dados.</w:t>
      </w:r>
    </w:p>
    <w:p>
      <w:pPr>
        <w:pStyle w:val="ListBullet"/>
        <w:spacing w:after="60"/>
        <w:ind w:left="360" w:hanging="259"/>
      </w:pPr>
      <w:r>
        <w:t>Migration v1 resolvida e migração monetária validada com backup e rollback.</w:t>
      </w:r>
    </w:p>
    <w:p>
      <w:pPr>
        <w:pStyle w:val="ListBullet"/>
        <w:spacing w:after="60"/>
        <w:ind w:left="360" w:hanging="259"/>
      </w:pPr>
      <w:r>
        <w:t>CI executa build, testes, lint e verificação de segredos.</w:t>
      </w:r>
    </w:p>
    <w:p>
      <w:pPr>
        <w:pStyle w:val="ListBullet"/>
        <w:spacing w:after="60"/>
        <w:ind w:left="360" w:hanging="259"/>
      </w:pPr>
      <w:r>
        <w:t>Release assinada, AAB/APK identificada, hash, rollback e canal de atualização.</w:t>
      </w:r>
    </w:p>
    <w:p>
      <w:pPr>
        <w:pStyle w:val="ListBullet"/>
        <w:spacing w:after="60"/>
        <w:ind w:left="360" w:hanging="259"/>
      </w:pPr>
      <w:r>
        <w:t>Política de privacidade, termos, retenção, canal do titular e plano de incidentes.</w:t>
      </w:r>
    </w:p>
    <w:p>
      <w:pPr>
        <w:pStyle w:val="ListBullet"/>
        <w:spacing w:after="60"/>
        <w:ind w:left="360" w:hanging="259"/>
      </w:pPr>
      <w:r>
        <w:t>Threat model e revisão de Room, Auto Backup, logs, RLS e dependências.</w:t>
      </w:r>
    </w:p>
    <w:p>
      <w:pPr>
        <w:pStyle w:val="ListBullet"/>
        <w:spacing w:after="60"/>
        <w:ind w:left="360" w:hanging="259"/>
      </w:pPr>
      <w:r>
        <w:t>Piloto real comprova uso, suporte sustentável e ausência de falhas críticas.</w:t>
      </w:r>
    </w:p>
    <w:p>
      <w:pPr>
        <w:pStyle w:val="ListBullet"/>
        <w:spacing w:after="60"/>
        <w:ind w:left="360" w:hanging="259"/>
      </w:pPr>
      <w:r>
        <w:t>Marca, licença do código, propriedade intelectual e modelo comercial definidos.</w:t>
      </w:r>
    </w:p>
    <w:p>
      <w:pPr>
        <w:pStyle w:val="Heading1"/>
      </w:pPr>
      <w:r>
        <w:t>18. Decisões estratégicas em aberto</w:t>
      </w:r>
    </w:p>
    <w:tbl>
      <w:tblPr>
        <w:tblStyle w:val="TableGrid"/>
        <w:tblW w:type="dxa" w:w="9676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796"/>
      </w:tblGrid>
      <w:tr>
        <w:trPr>
          <w:tblHeader w:val="true"/>
          <w:cantSplit/>
        </w:trPr>
        <w:tc>
          <w:tcPr>
            <w:tcW w:type="dxa" w:w="2880"/>
            <w:shd w:fill="123D1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Decisão</w:t>
            </w:r>
          </w:p>
        </w:tc>
        <w:tc>
          <w:tcPr>
            <w:tcW w:type="dxa" w:w="6796"/>
            <w:shd w:fill="123D1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Pergunta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Produto individual x equipe</w:t>
            </w:r>
          </w:p>
        </w:tc>
        <w:tc>
          <w:tcPr>
            <w:tcW w:type="dxa" w:w="67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O foco continua produtor individual ou o piloto exige membros e papéis?</w:t>
            </w:r>
          </w:p>
        </w:tc>
      </w:tr>
      <w:tr>
        <w:trPr>
          <w:cantSplit/>
        </w:trPr>
        <w:tc>
          <w:tcPr>
            <w:tcW w:type="dxa" w:w="2880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Talhão x safra</w:t>
            </w:r>
          </w:p>
        </w:tc>
        <w:tc>
          <w:tcPr>
            <w:tcW w:type="dxa" w:w="6796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O modelo deve separar área física permanente de ciclos de cultivo?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Supabase por implantação</w:t>
            </w:r>
          </w:p>
        </w:tc>
        <w:tc>
          <w:tcPr>
            <w:tcW w:type="dxa" w:w="67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Haverá backend central SaaS ou instâncias controladas por parceiros?</w:t>
            </w:r>
          </w:p>
        </w:tc>
      </w:tr>
      <w:tr>
        <w:trPr>
          <w:cantSplit/>
        </w:trPr>
        <w:tc>
          <w:tcPr>
            <w:tcW w:type="dxa" w:w="2880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Modo Simples</w:t>
            </w:r>
          </w:p>
        </w:tc>
        <w:tc>
          <w:tcPr>
            <w:tcW w:type="dxa" w:w="6796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Será preferência global, onboarding adaptativo ou interface padrão?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Licença</w:t>
            </w:r>
          </w:p>
        </w:tc>
        <w:tc>
          <w:tcPr>
            <w:tcW w:type="dxa" w:w="67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Código permanecerá proprietário, terá licença aberta ou será licenciado a parceiros?</w:t>
            </w:r>
          </w:p>
        </w:tc>
      </w:tr>
      <w:tr>
        <w:trPr>
          <w:cantSplit/>
        </w:trPr>
        <w:tc>
          <w:tcPr>
            <w:tcW w:type="dxa" w:w="2880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Preço</w:t>
            </w:r>
          </w:p>
        </w:tc>
        <w:tc>
          <w:tcPr>
            <w:tcW w:type="dxa" w:w="6796"/>
            <w:shd w:fill="F7F9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Mensal, anual, sazonal ou B2B2C via cooperativa?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Relatório</w:t>
            </w:r>
          </w:p>
        </w:tc>
        <w:tc>
          <w:tcPr>
            <w:tcW w:type="dxa" w:w="67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color w:val="18231C"/>
                <w:sz w:val="16"/>
              </w:rPr>
              <w:t>Quais campos são reconhecidos por ATER e instituições sem criar promessa indevida?</w:t>
            </w:r>
          </w:p>
        </w:tc>
      </w:tr>
    </w:tbl>
    <w:p>
      <w:pPr>
        <w:spacing w:after="20"/>
      </w:pPr>
    </w:p>
    <w:p>
      <w:pPr>
        <w:pStyle w:val="Heading1"/>
      </w:pPr>
      <w:r>
        <w:t>19. Conclusão</w:t>
      </w:r>
    </w:p>
    <w:p>
      <w:r>
        <w:t>O AgroGestão Pro real é mais avançado do que os HTMLs sugeriam e possui uma base técnica incomum para uma beta de validação: offline-first, sincronização, segurança de sessão, backup, integridade documental, consentimento e testes já estão materializados no código.</w:t>
      </w:r>
    </w:p>
    <w:p>
      <w:r>
        <w:t>Os próximos ganhos não virão de reconstruir o núcleo nem de adicionar rapidamente dezenas de módulos. Virão de corrigir recuperação de acesso, migração v1, precisão monetária, modularidade, publicação, privacidade operacional e validação com produtores. Depois disso, o projeto poderá decidir com evidência se permanece uma ferramenta enxuta ou cresce em direção a colaboração e ERP.</w:t>
      </w:r>
    </w:p>
    <w:tbl>
      <w:tblPr>
        <w:tblW w:type="dxa" w:w="9676"/>
        <w:jc w:val="center"/>
        <w:tblLayout w:type="fixed"/>
        <w:tblLook w:firstColumn="1" w:firstRow="1" w:lastColumn="0" w:lastRow="0" w:noHBand="0" w:noVBand="1" w:val="04A0"/>
      </w:tblPr>
      <w:tblGrid>
        <w:gridCol w:w="9676"/>
      </w:tblGrid>
      <w:tr>
        <w:tc>
          <w:tcPr>
            <w:tcW w:type="dxa" w:w="96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5EB"/>
          </w:tcPr>
          <w:p>
            <w:pPr>
              <w:spacing w:after="20"/>
            </w:pPr>
            <w:r>
              <w:rPr>
                <w:b/>
                <w:color w:val="123D1A"/>
                <w:sz w:val="18"/>
              </w:rPr>
              <w:t xml:space="preserve">AVALIAÇÃO FINAL  </w:t>
            </w:r>
            <w:r>
              <w:rPr>
                <w:color w:val="18231C"/>
                <w:sz w:val="20"/>
              </w:rPr>
              <w:t>O projeto não é apenas design. É uma beta funcional promissora. Sua vantagem atual está na combinação de offline real, fluxo agrícola dirigido e relatório responsável; seu maior risco passou a ser transformar uma boa base técnica em produto confiável, sustentável e validado no campo.</w:t>
            </w:r>
          </w:p>
        </w:tc>
      </w:tr>
    </w:tbl>
    <w:p>
      <w:pPr>
        <w:spacing w:after="20"/>
      </w:pPr>
    </w:p>
    <w:p>
      <w:pPr>
        <w:pStyle w:val="Heading1"/>
      </w:pPr>
      <w:r>
        <w:t>20. Evidências e referências</w:t>
      </w:r>
    </w:p>
    <w:p>
      <w:r>
        <w:t>Arquivos técnicos consultados no commit analisado:</w:t>
      </w:r>
    </w:p>
    <w:p>
      <w:pPr>
        <w:pStyle w:val="ListBullet"/>
        <w:spacing w:after="60"/>
        <w:ind w:left="360" w:hanging="259"/>
      </w:pPr>
      <w:r>
        <w:t>README.md; PLANO_EXPANSAO.md; PROXIMAS_ALTERACOES.md; app/build.gradle.kts.</w:t>
      </w:r>
    </w:p>
    <w:p>
      <w:pPr>
        <w:pStyle w:val="ListBullet"/>
        <w:spacing w:after="60"/>
        <w:ind w:left="360" w:hanging="259"/>
      </w:pPr>
      <w:r>
        <w:t>AgroDatabase.kt, entidades, DAOs e schemas Room 3–9.</w:t>
      </w:r>
    </w:p>
    <w:p>
      <w:pPr>
        <w:pStyle w:val="ListBullet"/>
        <w:spacing w:after="60"/>
        <w:ind w:left="360" w:hanging="259"/>
      </w:pPr>
      <w:r>
        <w:t>AgroRepository.kt, SupabaseRestClient.kt, SupabaseConfig.kt e migrations SQL.</w:t>
      </w:r>
    </w:p>
    <w:p>
      <w:pPr>
        <w:pStyle w:val="ListBullet"/>
        <w:spacing w:after="60"/>
        <w:ind w:left="360" w:hanging="259"/>
      </w:pPr>
      <w:r>
        <w:t>SecureSessionStore.kt, AgroBackupCodec.kt e regras de backup Android.</w:t>
      </w:r>
    </w:p>
    <w:p>
      <w:pPr>
        <w:pStyle w:val="ListBullet"/>
        <w:spacing w:after="60"/>
        <w:ind w:left="360" w:hanging="259"/>
      </w:pPr>
      <w:r>
        <w:t>CreditReport.kt, CreditReportPdfGenerator.kt, CreditReportArchiveStore.kt e consentimento.</w:t>
      </w:r>
    </w:p>
    <w:p>
      <w:pPr>
        <w:pStyle w:val="ListBullet"/>
        <w:spacing w:after="60"/>
        <w:ind w:left="360" w:hanging="259"/>
      </w:pPr>
      <w:r>
        <w:t>WorkManager, lembretes, ViewModels, telas Compose e 20 arquivos de teste com 64 métodos @Test.</w:t>
      </w:r>
    </w:p>
    <w:p>
      <w:r>
        <w:t>Links:</w:t>
      </w:r>
    </w:p>
    <w:p>
      <w:pPr>
        <w:pStyle w:val="ListBullet"/>
        <w:spacing w:after="60"/>
      </w:pPr>
      <w:hyperlink r:id="rId11">
        <w:r>
          <w:rPr>
            <w:color w:val="236A92"/>
            <w:u w:val="single"/>
          </w:rPr>
          <w:t>Repositório AgroGestão Pro Mobile</w:t>
        </w:r>
      </w:hyperlink>
    </w:p>
    <w:p>
      <w:pPr>
        <w:pStyle w:val="ListBullet"/>
        <w:spacing w:after="60"/>
      </w:pPr>
      <w:hyperlink r:id="rId12">
        <w:r>
          <w:rPr>
            <w:color w:val="236A92"/>
            <w:u w:val="single"/>
          </w:rPr>
          <w:t>Aegro — página oficial</w:t>
        </w:r>
      </w:hyperlink>
    </w:p>
    <w:p>
      <w:pPr>
        <w:pStyle w:val="ListBullet"/>
        <w:spacing w:after="60"/>
      </w:pPr>
      <w:hyperlink r:id="rId13">
        <w:r>
          <w:rPr>
            <w:color w:val="236A92"/>
            <w:u w:val="single"/>
          </w:rPr>
          <w:t>Climate FieldView Brasil</w:t>
        </w:r>
      </w:hyperlink>
    </w:p>
    <w:p>
      <w:pPr>
        <w:pStyle w:val="ListBullet"/>
        <w:spacing w:after="60"/>
      </w:pPr>
      <w:hyperlink r:id="rId14">
        <w:r>
          <w:rPr>
            <w:color w:val="236A92"/>
            <w:u w:val="single"/>
          </w:rPr>
          <w:t>Solinftec — página oficial</w:t>
        </w:r>
      </w:hyperlink>
    </w:p>
    <w:p>
      <w:pPr>
        <w:pStyle w:val="ListBullet"/>
        <w:spacing w:after="60"/>
      </w:pPr>
      <w:hyperlink r:id="rId15">
        <w:r>
          <w:rPr>
            <w:color w:val="236A92"/>
            <w:u w:val="single"/>
          </w:rPr>
          <w:t>Agrosmart — página oficial</w:t>
        </w:r>
      </w:hyperlink>
    </w:p>
    <w:p>
      <w:pPr>
        <w:pStyle w:val="ListBullet"/>
        <w:spacing w:after="60"/>
      </w:pPr>
      <w:hyperlink r:id="rId16">
        <w:r>
          <w:rPr>
            <w:color w:val="236A92"/>
            <w:u w:val="single"/>
          </w:rPr>
          <w:t>Lei Geral de Proteção de Dados — texto compilado</w:t>
        </w:r>
      </w:hyperlink>
    </w:p>
    <w:p>
      <w:pPr>
        <w:pStyle w:val="ListBullet"/>
        <w:spacing w:after="60"/>
      </w:pPr>
      <w:hyperlink r:id="rId17">
        <w:r>
          <w:rPr>
            <w:color w:val="236A92"/>
            <w:u w:val="single"/>
          </w:rPr>
          <w:t>BNDES — Pronaf</w:t>
        </w:r>
      </w:hyperlink>
    </w:p>
    <w:tbl>
      <w:tblPr>
        <w:tblW w:type="dxa" w:w="9676"/>
        <w:jc w:val="center"/>
        <w:tblLayout w:type="fixed"/>
        <w:tblLook w:firstColumn="1" w:firstRow="1" w:lastColumn="0" w:lastRow="0" w:noHBand="0" w:noVBand="1" w:val="04A0"/>
      </w:tblPr>
      <w:tblGrid>
        <w:gridCol w:w="9676"/>
      </w:tblGrid>
      <w:tr>
        <w:tc>
          <w:tcPr>
            <w:tcW w:type="dxa" w:w="96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5DA"/>
          </w:tcPr>
          <w:p>
            <w:pPr>
              <w:spacing w:after="20"/>
            </w:pPr>
            <w:r>
              <w:rPr>
                <w:b/>
                <w:color w:val="B4780F"/>
                <w:sz w:val="18"/>
              </w:rPr>
              <w:t xml:space="preserve">ATUALIZAÇÃO FUTURA  </w:t>
            </w:r>
            <w:r>
              <w:rPr>
                <w:color w:val="18231C"/>
                <w:sz w:val="20"/>
              </w:rPr>
              <w:t>Esta documentação descreve o commit analisado. Sempre atualizar versão, commit, resultados de testes e matriz de funcionalidades antes de apresentar o produto a parceiros ou usuários.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E6B63"/>
        <w:sz w:val="16"/>
      </w:rPr>
      <w:t>Beta funcional Android • Revisão baseada no repositório •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Muted"/>
      <w:jc w:val="right"/>
    </w:pPr>
    <w:r>
      <w:t>AGROGESTÃO PRO  |  DOCUMENTAÇÃO TÉCNICA E ESTRATÉGICA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18231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D1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6A2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3D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D1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ptos Display" w:hAnsi="Aptos Display"/>
      <w:b w:val="0"/>
      <w:i/>
      <w:iCs/>
      <w:color w:val="5E6B6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Muted">
    <w:name w:val="Small Muted"/>
    <w:rPr>
      <w:rFonts w:ascii="Aptos" w:hAnsi="Aptos"/>
      <w:color w:val="5E6B6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OtavioNotFound/AgrogestaoProMobile" TargetMode="External"/><Relationship Id="rId12" Type="http://schemas.openxmlformats.org/officeDocument/2006/relationships/hyperlink" Target="https://aegro.com.br/" TargetMode="External"/><Relationship Id="rId13" Type="http://schemas.openxmlformats.org/officeDocument/2006/relationships/hyperlink" Target="https://www.climatefieldview.com.br/pt-br.html" TargetMode="External"/><Relationship Id="rId14" Type="http://schemas.openxmlformats.org/officeDocument/2006/relationships/hyperlink" Target="https://www.solinftec.com/pt-br/" TargetMode="External"/><Relationship Id="rId15" Type="http://schemas.openxmlformats.org/officeDocument/2006/relationships/hyperlink" Target="https://agrosmart.com.br/" TargetMode="External"/><Relationship Id="rId16" Type="http://schemas.openxmlformats.org/officeDocument/2006/relationships/hyperlink" Target="https://www.planalto.gov.br/ccivil_03/_ato2015-2018/2018/lei/L13709compilado.htm" TargetMode="External"/><Relationship Id="rId17" Type="http://schemas.openxmlformats.org/officeDocument/2006/relationships/hyperlink" Target="https://www.bndes.gov.br/wps/vanityurl/prona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Técnica, Estratégica e Plano de Evolução — AgroGestão Pro</dc:title>
  <dc:subject>Revisão baseada no repositório Android real</dc:subject>
  <dc:creator>AgroGestão Pro</dc:creator>
  <cp:keywords/>
  <dc:description>Versão 3.0 — substitui análise centrada nos protótipos HTML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