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ОАО «ГИДРОПРЕСС»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sz w:val="28"/>
        </w:rPr>
        <w:t>П Р И К А З</w:t>
      </w:r>
    </w:p>
    <w:p>
      <w:pPr>
        <w:jc w:val="center"/>
      </w:pPr>
      <w:r>
        <w:rPr>
          <w:b w:val="0"/>
          <w:i w:val="0"/>
        </w:rPr>
        <w:t>05.05.2023 г.          № 112-ОД</w:t>
      </w:r>
    </w:p>
    <w:p>
      <w:pPr>
        <w:jc w:val="center"/>
      </w:pPr>
      <w:r>
        <w:rPr>
          <w:b w:val="0"/>
          <w:i w:val="0"/>
        </w:rPr>
        <w:t>г. Оренбург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 назначении ответственных лиц за реализацию Программы на предприятии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С целью обеспечения выполнения показателей и мероприятий реализации Программы по повышению производительности труда на предприятии (далее — Программа) в рамках участия в национальном проекте «Производительность труда» и федеральном проекте «Адресная поддержка повышения производительности труда на предприятиях» (далее — Адресная поддержка)</w:t>
      </w:r>
    </w:p>
    <w:p>
      <w:r>
        <w:rPr>
          <w:b w:val="0"/>
          <w:i w:val="0"/>
        </w:rPr>
      </w:r>
    </w:p>
    <w:p>
      <w:r>
        <w:rPr>
          <w:b/>
          <w:i w:val="0"/>
        </w:rPr>
        <w:t>ПРИКАЗЫВАЮ: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Назначить ответственных за реализацию Программы на предприятии:</w:t>
      </w:r>
    </w:p>
    <w:p>
      <w:r>
        <w:rPr>
          <w:b w:val="0"/>
          <w:i w:val="0"/>
        </w:rPr>
        <w:t xml:space="preserve">   1.1. Руководитель Программы от предприятия — ЗГД — руководитель производственной службы, Паняев Е.А., ___;</w:t>
      </w:r>
    </w:p>
    <w:p>
      <w:r>
        <w:rPr>
          <w:b w:val="0"/>
          <w:i w:val="0"/>
        </w:rPr>
        <w:t xml:space="preserve">   1.2. Руководитель направления «Декомпозиция целей» — руководитель финансово-экономической службы, Танаева Т.Н., ___;</w:t>
      </w:r>
    </w:p>
    <w:p>
      <w:r>
        <w:rPr>
          <w:b w:val="0"/>
          <w:i w:val="0"/>
        </w:rPr>
        <w:t xml:space="preserve">   1.3. Руководитель направления «Оптимизация продуктовых потоков» — руководитель производственной службы, Паняев Е.А., ___;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2. Руководителю Программы от предприятия обеспечить:</w:t>
      </w:r>
    </w:p>
    <w:p>
      <w:r>
        <w:rPr>
          <w:b w:val="0"/>
          <w:i w:val="0"/>
        </w:rPr>
        <w:t xml:space="preserve">   — контроль плана ключевых задач реализации Программы;</w:t>
      </w:r>
    </w:p>
    <w:p>
      <w:r>
        <w:rPr>
          <w:b w:val="0"/>
          <w:i w:val="0"/>
        </w:rPr>
        <w:t xml:space="preserve">   — оперативное управление Программой, постановку задач ответственным по направлениям и контроль их выполнения; на регулярной основе (не реже 1 раза в 2 недели) докладывать генеральному директору о прогрессе реализации Программы;</w:t>
      </w:r>
    </w:p>
    <w:p>
      <w:r>
        <w:rPr>
          <w:b w:val="0"/>
          <w:i w:val="0"/>
        </w:rPr>
        <w:t xml:space="preserve">   — рассмотрение и утверждение плана-графика мероприятий по пилотному потоку «производство гидроцилиндров гидравлического пресса»;</w:t>
      </w:r>
    </w:p>
    <w:p>
      <w:r>
        <w:rPr>
          <w:b w:val="0"/>
          <w:i w:val="0"/>
        </w:rPr>
        <w:t xml:space="preserve">   — подтверждение достигнутых результатов в проекте по пилотному потоку;</w:t>
      </w:r>
    </w:p>
    <w:p>
      <w:r>
        <w:rPr>
          <w:b w:val="0"/>
          <w:i w:val="0"/>
        </w:rPr>
        <w:t xml:space="preserve">   — согласование Протокола выполнения мероприятий перед его подписанием со стороны предприятия;</w:t>
      </w:r>
    </w:p>
    <w:p>
      <w:r>
        <w:rPr>
          <w:b w:val="0"/>
          <w:i w:val="0"/>
        </w:rPr>
        <w:t xml:space="preserve">   — обеспечение введения в действие методических материалов, переданных предприятию в рамках Адресной поддержки.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3. Ответственным по п. 1 настоящего приказа создать рабочие группы по направлениям, организовать их работу и обеспечить выполнение ключевых мероприятий Программы, в том числе утверждение целей по повышению производительности труда (направление «Декомпозиция целей») и реализацию проекта по оптимизации пилотного потока «производство гидроцилиндров гидравлического пресса» (направление «Оптимизация продуктовых потоков»).</w:t>
      </w:r>
    </w:p>
    <w:p>
      <w:r>
        <w:rPr>
          <w:b w:val="0"/>
          <w:i w:val="0"/>
        </w:rPr>
        <w:t>4. На период отсутствия ответственных лиц ответственность несут лица, назначенные исполняющими обязанности соответствующими приказами.</w:t>
      </w:r>
    </w:p>
    <w:p>
      <w:r>
        <w:rPr>
          <w:b w:val="0"/>
          <w:i w:val="0"/>
        </w:rPr>
        <w:t>5. Контроль исполнения настоящего приказа оставляю за собой.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t>Генеральный директор ______________________ С.В. Стародубцев</w:t>
      </w:r>
    </w:p>
    <w:p>
      <w:r>
        <w:rPr>
          <w:b w:val="0"/>
          <w:i w:val="0"/>
        </w:rPr>
      </w:r>
    </w:p>
    <w:p>
      <w:r>
        <w:br w:type="page"/>
      </w:r>
    </w:p>
    <w:p>
      <w:pPr>
        <w:jc w:val="right"/>
      </w:pPr>
      <w:r>
        <w:rPr>
          <w:b w:val="0"/>
          <w:i w:val="0"/>
        </w:rPr>
        <w:t>УТВЕРЖДАЮ:</w:t>
      </w:r>
    </w:p>
    <w:p>
      <w:pPr>
        <w:jc w:val="right"/>
      </w:pPr>
      <w:r>
        <w:rPr>
          <w:b w:val="0"/>
          <w:i w:val="0"/>
        </w:rPr>
        <w:t>Генеральный директор ОАО «Гидропресс»</w:t>
      </w:r>
    </w:p>
    <w:p>
      <w:pPr>
        <w:jc w:val="right"/>
      </w:pPr>
      <w:r>
        <w:rPr>
          <w:b w:val="0"/>
          <w:i w:val="0"/>
        </w:rPr>
        <w:t>____________________ С.В. Стародубцев</w:t>
      </w:r>
    </w:p>
    <w:p>
      <w:pPr>
        <w:jc w:val="right"/>
      </w:pPr>
      <w:r>
        <w:rPr>
          <w:b w:val="0"/>
          <w:i w:val="0"/>
        </w:rPr>
        <w:t>«___» ______________________ 2026 г.</w:t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26"/>
        </w:rPr>
        <w:t>Проект по оптимизации: «Оптимизация потока производства гидроцилиндров гидравлического пресса»</w:t>
      </w:r>
    </w:p>
    <w:p>
      <w:r>
        <w:rPr>
          <w:b w:val="0"/>
          <w:i w:val="0"/>
        </w:rPr>
      </w:r>
    </w:p>
    <w:p>
      <w:r>
        <w:rPr>
          <w:b/>
          <w:i w:val="0"/>
        </w:rPr>
        <w:t>Ключевые события проекта</w:t>
      </w:r>
    </w:p>
    <w:p>
      <w:r>
        <w:rPr>
          <w:b w:val="0"/>
          <w:i w:val="0"/>
        </w:rPr>
        <w:t>Старт проекта: 05.05.2023</w:t>
      </w:r>
    </w:p>
    <w:p>
      <w:r>
        <w:rPr>
          <w:b w:val="0"/>
          <w:i w:val="0"/>
        </w:rPr>
        <w:t>Диагностика и целевое состояние: 06.05.2023 – 03.07.2023</w:t>
      </w:r>
    </w:p>
    <w:p>
      <w:r>
        <w:rPr>
          <w:b w:val="0"/>
          <w:i w:val="0"/>
        </w:rPr>
        <w:t>Совещание — старт мероприятий по улучшениям: 17.07.2023</w:t>
      </w:r>
    </w:p>
    <w:p>
      <w:r>
        <w:rPr>
          <w:b w:val="0"/>
          <w:i w:val="0"/>
        </w:rPr>
        <w:t>Внедрение улучшений: 18.07.2023 – 09.10.2023</w:t>
      </w:r>
    </w:p>
    <w:p>
      <w:r>
        <w:rPr>
          <w:b w:val="0"/>
          <w:i w:val="0"/>
        </w:rPr>
        <w:t>Закрепление результатов и закрытие проекта: 16.10.2023</w:t>
      </w:r>
    </w:p>
    <w:p>
      <w:r>
        <w:rPr>
          <w:b w:val="0"/>
          <w:i w:val="0"/>
        </w:rPr>
      </w:r>
    </w:p>
    <w:p>
      <w:r>
        <w:rPr>
          <w:b/>
          <w:i w:val="0"/>
        </w:rPr>
        <w:t>Обоснование выбора</w:t>
      </w:r>
    </w:p>
    <w:p>
      <w:r>
        <w:rPr>
          <w:b w:val="0"/>
          <w:i w:val="0"/>
        </w:rPr>
        <w:t>Ключевой риск: Потеря доли рынка</w:t>
      </w:r>
    </w:p>
    <w:p>
      <w:r>
        <w:rPr>
          <w:b w:val="0"/>
          <w:i w:val="0"/>
        </w:rPr>
        <w:t>Второстепенные риски:</w:t>
      </w:r>
    </w:p>
    <w:p>
      <w:r>
        <w:rPr>
          <w:b w:val="0"/>
          <w:i w:val="0"/>
        </w:rPr>
        <w:t>— Увеличение себестоимости продукции;</w:t>
      </w:r>
    </w:p>
    <w:p>
      <w:r>
        <w:rPr>
          <w:b w:val="0"/>
          <w:i w:val="0"/>
        </w:rPr>
        <w:t>— Репутационные риски предприятия;</w:t>
      </w:r>
    </w:p>
    <w:p>
      <w:r>
        <w:rPr>
          <w:b w:val="0"/>
          <w:i w:val="0"/>
        </w:rPr>
        <w:t>— Сохранение профессионального коллектива;</w:t>
      </w:r>
    </w:p>
    <w:p>
      <w:r>
        <w:rPr>
          <w:b w:val="0"/>
          <w:i w:val="0"/>
        </w:rPr>
        <w:t>— Невыполнение заказов клиентов;</w:t>
      </w:r>
    </w:p>
    <w:p>
      <w:r>
        <w:rPr>
          <w:b w:val="0"/>
          <w:i w:val="0"/>
        </w:rPr>
        <w:t>— Снижение качества продукции;</w:t>
      </w:r>
    </w:p>
    <w:p>
      <w:r>
        <w:rPr>
          <w:b w:val="0"/>
          <w:i w:val="0"/>
        </w:rPr>
      </w:r>
    </w:p>
    <w:p>
      <w:r>
        <w:rPr>
          <w:b/>
          <w:i w:val="0"/>
        </w:rPr>
        <w:t>Цели и плановый эффект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r>
              <w:rPr>
                <w:b/>
              </w:rPr>
              <w:t>Наименование цели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Текущий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Целевой показатель</w:t>
            </w:r>
          </w:p>
        </w:tc>
        <w:tc>
          <w:tcPr>
            <w:tcW w:type="dxa" w:w="2564"/>
          </w:tcPr>
          <w:p>
            <w:r>
              <w:rPr>
                <w:b/>
              </w:rPr>
              <w:t>Показатель идеального состояния</w:t>
            </w:r>
          </w:p>
        </w:tc>
      </w:tr>
      <w:tr>
        <w:tc>
          <w:tcPr>
            <w:tcW w:type="dxa" w:w="2564"/>
          </w:tcPr>
          <w:p>
            <w:r>
              <w:t>1. ВПП, часов</w:t>
            </w:r>
          </w:p>
        </w:tc>
        <w:tc>
          <w:tcPr>
            <w:tcW w:type="dxa" w:w="2564"/>
          </w:tcPr>
          <w:p>
            <w:r>
              <w:t>1179</w:t>
            </w:r>
          </w:p>
        </w:tc>
        <w:tc>
          <w:tcPr>
            <w:tcW w:type="dxa" w:w="2564"/>
          </w:tcPr>
          <w:p>
            <w:r>
              <w:t>945</w:t>
            </w:r>
          </w:p>
        </w:tc>
        <w:tc>
          <w:tcPr>
            <w:tcW w:type="dxa" w:w="2564"/>
          </w:tcPr>
          <w:p>
            <w:r>
              <w:t>707</w:t>
            </w:r>
          </w:p>
        </w:tc>
      </w:tr>
      <w:tr>
        <w:tc>
          <w:tcPr>
            <w:tcW w:type="dxa" w:w="2564"/>
          </w:tcPr>
          <w:p>
            <w:r>
              <w:t>2. Выработка, шт. в мес.</w:t>
            </w:r>
          </w:p>
        </w:tc>
        <w:tc>
          <w:tcPr>
            <w:tcW w:type="dxa" w:w="2564"/>
          </w:tcPr>
          <w:p>
            <w:r>
              <w:t>25</w:t>
            </w:r>
          </w:p>
        </w:tc>
        <w:tc>
          <w:tcPr>
            <w:tcW w:type="dxa" w:w="2564"/>
          </w:tcPr>
          <w:p>
            <w:r>
              <w:t>30</w:t>
            </w:r>
          </w:p>
        </w:tc>
        <w:tc>
          <w:tcPr>
            <w:tcW w:type="dxa" w:w="2564"/>
          </w:tcPr>
          <w:p>
            <w:r>
              <w:t>35</w:t>
            </w:r>
          </w:p>
        </w:tc>
      </w:tr>
      <w:tr>
        <w:tc>
          <w:tcPr>
            <w:tcW w:type="dxa" w:w="2564"/>
          </w:tcPr>
          <w:p>
            <w:r>
              <w:t>3. НЗП, т.</w:t>
            </w:r>
          </w:p>
        </w:tc>
        <w:tc>
          <w:tcPr>
            <w:tcW w:type="dxa" w:w="2564"/>
          </w:tcPr>
          <w:p>
            <w:r>
              <w:t>88</w:t>
            </w:r>
          </w:p>
        </w:tc>
        <w:tc>
          <w:tcPr>
            <w:tcW w:type="dxa" w:w="2564"/>
          </w:tcPr>
          <w:p>
            <w:r>
              <w:t>70</w:t>
            </w:r>
          </w:p>
        </w:tc>
        <w:tc>
          <w:tcPr>
            <w:tcW w:type="dxa" w:w="2564"/>
          </w:tcPr>
          <w:p>
            <w:r>
              <w:t>53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Вовлечённые лица и рамки проекта</w:t>
      </w:r>
    </w:p>
    <w:p>
      <w:r>
        <w:rPr>
          <w:b w:val="0"/>
          <w:i w:val="0"/>
        </w:rPr>
        <w:t>Клиенты процесса: Склад готовой продукции</w:t>
      </w:r>
    </w:p>
    <w:p>
      <w:r>
        <w:rPr>
          <w:b w:val="0"/>
          <w:i w:val="0"/>
        </w:rPr>
        <w:t>Периметр проекта: механический цех, отдел главного механика, отдел главного энергетика, планово-экономический отдел, производственно-диспетчерское бюро, конструкторское бюро, отдел закупок, группа АСУ, группа по подготовке производства, отдел кадров, отдел охраны труда и техники безопасности</w:t>
      </w:r>
    </w:p>
    <w:p>
      <w:r>
        <w:rPr>
          <w:b w:val="0"/>
          <w:i w:val="0"/>
        </w:rPr>
        <w:t>Границы процесса: от вывоза заготовок с эстакады до передачи на склад готовой продукции</w:t>
      </w:r>
    </w:p>
    <w:p>
      <w:r>
        <w:rPr>
          <w:b w:val="0"/>
          <w:i w:val="0"/>
        </w:rPr>
        <w:t>Владелец процесса: Паняев Е.А.</w:t>
      </w:r>
    </w:p>
    <w:p>
      <w:r>
        <w:rPr>
          <w:b w:val="0"/>
          <w:i w:val="0"/>
        </w:rPr>
        <w:t>Руководитель проекта: Паняев Е.А.</w:t>
      </w:r>
    </w:p>
    <w:p>
      <w:r>
        <w:rPr>
          <w:b w:val="0"/>
          <w:i w:val="0"/>
        </w:rPr>
        <w:t>Команда проекта: Танаева Т.Н., Бесчастнова Н.В., Паняев Е.А., Ермякова А.В., Сидорова В.С., Рогачев И.В., Титов В.О..</w:t>
      </w:r>
    </w:p>
    <w:sectPr w:rsidR="00FC693F" w:rsidRPr="0006063C" w:rsidSect="00034616">
      <w:pgSz w:w="12240" w:h="15840"/>
      <w:pgMar w:top="1440" w:right="85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