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Статус реализации плана мероприятий по достижению целевого состояния процесса в ООО «Д32»</w:t>
      </w:r>
    </w:p>
    <w:p>
      <w:pPr>
        <w:jc w:val="center"/>
      </w:pPr>
      <w:r>
        <w:t>на 2026-09-02</w:t>
      </w:r>
    </w:p>
    <w:p>
      <w:r>
        <w:t>Узкое место: участок «Фальцеосадка». Проблема: Узкое место потока — участок «Фальцеосадка»: время вспомогательных процессов (ВПП) составляет 38,7 % сменного времени; разрыв 23.7 п.п. ВПП; последствие: участок ограничивает выработку всего потока: каждый процент ВПП на УМ — прямая потеря производительности труда потока.</w:t>
      </w:r>
    </w:p>
    <w:p>
      <w:r>
        <w:t>Всего мероприятий: 0 · классы приоритета: A — 0, B — 0, C — 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Мероприятие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Дата начала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Дата окончания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Показатель до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Показатель после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ΔВПП, п.п.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ΔПТ, %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ΔЭЭ, руб/год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Курс ФЦК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Важно (комментарий для проверки)</w:t>
            </w:r>
          </w:p>
        </w:tc>
      </w:tr>
      <w:tr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  <w:t>ИТОГО по плану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  <w:t>Σ ΔВПП 0 п.п.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0,00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</w:tr>
    </w:tbl>
    <w:p/>
    <w:p>
      <w:r>
        <w:rPr>
          <w:i/>
          <w:sz w:val="16"/>
        </w:rPr>
        <w:t>Сноска (evidence-допущения): эффекты мероприятий — типовые диапазоны библиотеки инструментов ФЦК, нормированные под разрыв узкого места; ΔЭЭ рассчитан модулем ЭЭ-калькулятора (МР «Оценка экономического эффекта», ред. № 4, модель ФЦК v5.2); трудоёмкость, классы рисков и длительность мероприятий — допущения (помечены в прогоне явно). Ветки потерь с классом evidence «gap» требуют замера (хронометраж / фотография рабочего дня / почасовой анализ) до утверждения плана.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