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/>
          <w:b/>
          <w:sz w:val="28"/>
        </w:rPr>
        <w:t>Протокол выполнения мероприятий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по Соглашению о сотрудничестве в целях реализации национального проекта «Производительность труда», федерального и регионального проектов «Адресная поддержка повышения производительности труда на предприятиях» №___ от ___ между ОАО «Гидропресс» и ___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  <w:tc>
          <w:tcPr>
            <w:tcW w:type="dxa" w:w="5128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</w:tbl>
    <w:p>
      <w:pPr>
        <w:spacing w:after="120"/>
        <w:jc w:val="both"/>
      </w:pPr>
      <w:r>
        <w:rPr>
          <w:rFonts w:ascii="Times New Roman" w:hAnsi="Times New Roman"/>
          <w:b w:val="0"/>
          <w:sz w:val="22"/>
        </w:rPr>
        <w:t>Между ___ (далее – РЦК) и ОАО «Гидропресс» (далее – Предприятие) заключено Соглашение о сотрудничестве в целях реализации национального, федерального и регионального проектов повышения производительности труда от ___ (далее – Соглашение о сотрудничестве).</w:t>
      </w:r>
    </w:p>
    <w:p>
      <w:pPr>
        <w:spacing w:after="120"/>
        <w:jc w:val="both"/>
      </w:pPr>
      <w:r>
        <w:rPr>
          <w:rFonts w:ascii="Times New Roman" w:hAnsi="Times New Roman"/>
          <w:b w:val="0"/>
          <w:sz w:val="22"/>
        </w:rPr>
        <w:t>В рамках реализации Соглашения о сотрудничестве в период с ___ по ___ при поддержке РЦК на Предприятии были успешно реализованы мероприятия, указанные в приложении № 1 к настоящему Протоколу.</w:t>
      </w:r>
    </w:p>
    <w:p>
      <w:pPr>
        <w:spacing w:after="120"/>
        <w:jc w:val="both"/>
      </w:pPr>
      <w:r>
        <w:rPr>
          <w:rFonts w:ascii="Times New Roman" w:hAnsi="Times New Roman"/>
          <w:b w:val="0"/>
          <w:sz w:val="22"/>
        </w:rPr>
        <w:t>Выполненные мероприятия позволили достичь следующих результатов в потоке ключевого продукта ___: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709"/>
        <w:gridCol w:w="1709"/>
        <w:gridCol w:w="1709"/>
        <w:gridCol w:w="1709"/>
        <w:gridCol w:w="1709"/>
        <w:gridCol w:w="1709"/>
      </w:tblGrid>
      <w:tr>
        <w:tc>
          <w:tcPr>
            <w:tcW w:type="dxa" w:w="170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№</w:t>
            </w:r>
          </w:p>
        </w:tc>
        <w:tc>
          <w:tcPr>
            <w:tcW w:type="dxa" w:w="170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Показатель</w:t>
            </w:r>
          </w:p>
        </w:tc>
        <w:tc>
          <w:tcPr>
            <w:tcW w:type="dxa" w:w="170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Ед. изм.</w:t>
            </w:r>
          </w:p>
        </w:tc>
        <w:tc>
          <w:tcPr>
            <w:tcW w:type="dxa" w:w="170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До проекта</w:t>
            </w:r>
          </w:p>
        </w:tc>
        <w:tc>
          <w:tcPr>
            <w:tcW w:type="dxa" w:w="170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Цель</w:t>
            </w:r>
          </w:p>
        </w:tc>
        <w:tc>
          <w:tcPr>
            <w:tcW w:type="dxa" w:w="170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Факт</w:t>
            </w:r>
          </w:p>
        </w:tc>
      </w:tr>
      <w:tr>
        <w:tc>
          <w:tcPr>
            <w:tcW w:type="dxa" w:w="170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70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  <w:tc>
          <w:tcPr>
            <w:tcW w:type="dxa" w:w="170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  <w:tc>
          <w:tcPr>
            <w:tcW w:type="dxa" w:w="170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  <w:tc>
          <w:tcPr>
            <w:tcW w:type="dxa" w:w="170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  <w:tc>
          <w:tcPr>
            <w:tcW w:type="dxa" w:w="170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</w:tbl>
    <w:p>
      <w:pPr>
        <w:spacing w:after="120"/>
        <w:jc w:val="both"/>
      </w:pPr>
      <w:r>
        <w:rPr>
          <w:rFonts w:ascii="Times New Roman" w:hAnsi="Times New Roman"/>
          <w:b w:val="0"/>
          <w:sz w:val="22"/>
        </w:rPr>
        <w:t>В рамках реализации Соглашения предприятием открыты проекты и установлены следующие цели: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709"/>
        <w:gridCol w:w="1709"/>
        <w:gridCol w:w="1709"/>
        <w:gridCol w:w="1709"/>
        <w:gridCol w:w="1709"/>
        <w:gridCol w:w="1709"/>
      </w:tblGrid>
      <w:tr>
        <w:tc>
          <w:tcPr>
            <w:tcW w:type="dxa" w:w="170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</w:r>
          </w:p>
        </w:tc>
        <w:tc>
          <w:tcPr>
            <w:tcW w:type="dxa" w:w="170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Проект по оптимизации продуктового потока/процесса</w:t>
            </w:r>
          </w:p>
        </w:tc>
        <w:tc>
          <w:tcPr>
            <w:tcW w:type="dxa" w:w="170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ВПП</w:t>
            </w:r>
          </w:p>
        </w:tc>
        <w:tc>
          <w:tcPr>
            <w:tcW w:type="dxa" w:w="170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Запасы</w:t>
            </w:r>
          </w:p>
        </w:tc>
        <w:tc>
          <w:tcPr>
            <w:tcW w:type="dxa" w:w="170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Выработка</w:t>
            </w:r>
          </w:p>
        </w:tc>
        <w:tc>
          <w:tcPr>
            <w:tcW w:type="dxa" w:w="170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Дополнительный показатель</w:t>
            </w:r>
          </w:p>
        </w:tc>
      </w:tr>
      <w:tr>
        <w:tc>
          <w:tcPr>
            <w:tcW w:type="dxa" w:w="170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70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  <w:tc>
          <w:tcPr>
            <w:tcW w:type="dxa" w:w="170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  <w:tc>
          <w:tcPr>
            <w:tcW w:type="dxa" w:w="170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  <w:tc>
          <w:tcPr>
            <w:tcW w:type="dxa" w:w="170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  <w:tc>
          <w:tcPr>
            <w:tcW w:type="dxa" w:w="170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</w:tbl>
    <w:p>
      <w:pPr>
        <w:spacing w:after="120"/>
        <w:jc w:val="both"/>
      </w:pPr>
      <w:r>
        <w:rPr>
          <w:rFonts w:ascii="Times New Roman" w:hAnsi="Times New Roman"/>
          <w:b w:val="0"/>
          <w:sz w:val="22"/>
        </w:rPr>
        <w:t>РЦК и Предприятие пришли к единому мнению, что:</w:t>
      </w:r>
    </w:p>
    <w:p>
      <w:pPr>
        <w:spacing w:after="120"/>
        <w:jc w:val="both"/>
      </w:pPr>
      <w:r>
        <w:rPr>
          <w:rFonts w:ascii="Times New Roman" w:hAnsi="Times New Roman"/>
          <w:b w:val="0"/>
          <w:sz w:val="22"/>
        </w:rPr>
        <w:t>Мероприятия, реализованные согласно приложению № 1, и запланированные в рамках реализации дополнительных проектов, реализуемых предприятием самостоятельно, в том числе указанных выше, позволят повысить производительность труда на ___% к базовому году и на ___% к 3 году участия Предприятия в национальном проекте.</w:t>
      </w:r>
    </w:p>
    <w:p>
      <w:pPr>
        <w:spacing w:after="120"/>
        <w:jc w:val="both"/>
      </w:pPr>
      <w:r>
        <w:rPr>
          <w:rFonts w:ascii="Times New Roman" w:hAnsi="Times New Roman"/>
          <w:b w:val="0"/>
          <w:sz w:val="22"/>
        </w:rPr>
        <w:t>Мероприятия, реализованные согласно приложению № 1, позволили достичь целевого уровня развития производственной системы и создать поток-образец ключевого продукта (результаты оценки Предприятия по критериям развития производственной системы в приложении № 2).</w:t>
      </w:r>
    </w:p>
    <w:p>
      <w:pPr>
        <w:spacing w:after="120"/>
        <w:jc w:val="both"/>
      </w:pPr>
      <w:r>
        <w:rPr>
          <w:rFonts w:ascii="Times New Roman" w:hAnsi="Times New Roman"/>
          <w:b w:val="0"/>
          <w:sz w:val="22"/>
        </w:rPr>
        <w:t>Экономический эффект от реализованных мероприятий составит 8 571 429 руб. в год.</w:t>
      </w:r>
    </w:p>
    <w:p>
      <w:pPr>
        <w:spacing w:after="120"/>
        <w:jc w:val="both"/>
      </w:pPr>
      <w:r>
        <w:rPr>
          <w:rFonts w:ascii="Times New Roman" w:hAnsi="Times New Roman"/>
          <w:b w:val="0"/>
          <w:sz w:val="22"/>
        </w:rPr>
        <w:t>Предприятие дает согласие на использование РЦК информации, полученной в процессе реализации Мероприятий, для целей формирования и последующего тиражирования лучших практик повышения производительности труда.</w:t>
      </w:r>
    </w:p>
    <w:p>
      <w:pPr>
        <w:spacing w:after="120"/>
        <w:jc w:val="both"/>
      </w:pPr>
      <w:r>
        <w:rPr>
          <w:rFonts w:ascii="Times New Roman" w:hAnsi="Times New Roman"/>
          <w:b w:val="0"/>
          <w:sz w:val="22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28"/>
        <w:gridCol w:w="5128"/>
      </w:tblGrid>
      <w:tr>
        <w:tc>
          <w:tcPr>
            <w:tcW w:type="dxa" w:w="5128"/>
          </w:tcPr>
          <w:p>
            <w:r/>
            <w:r>
              <w:rPr>
                <w:rFonts w:ascii="Times New Roman" w:hAnsi="Times New Roman" w:cs="Times New Roman"/>
                <w:b/>
                <w:sz w:val="20"/>
              </w:rPr>
              <w:t>от Предприятия:</w:t>
              <w:br/>
              <w:t>___</w:t>
            </w:r>
          </w:p>
        </w:tc>
        <w:tc>
          <w:tcPr>
            <w:tcW w:type="dxa" w:w="5128"/>
          </w:tcPr>
          <w:p>
            <w:r/>
            <w:r>
              <w:rPr>
                <w:rFonts w:ascii="Times New Roman" w:hAnsi="Times New Roman" w:cs="Times New Roman"/>
                <w:b/>
                <w:sz w:val="20"/>
              </w:rPr>
              <w:t>от РЦК:</w:t>
              <w:br/>
              <w:t>___</w:t>
            </w:r>
          </w:p>
        </w:tc>
      </w:tr>
      <w:tr>
        <w:tc>
          <w:tcPr>
            <w:tcW w:type="dxa" w:w="5128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_____________________ /___/</w:t>
              <w:br/>
              <w:t>М.П.</w:t>
            </w:r>
          </w:p>
        </w:tc>
        <w:tc>
          <w:tcPr>
            <w:tcW w:type="dxa" w:w="5128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_____________________ /___/</w:t>
              <w:br/>
              <w:t>М.П.</w:t>
            </w:r>
          </w:p>
        </w:tc>
      </w:tr>
    </w:tbl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/>
          <w:b/>
          <w:sz w:val="22"/>
        </w:rPr>
        <w:t>Приложение № 1</w:t>
      </w:r>
    </w:p>
    <w:p>
      <w:pPr>
        <w:spacing w:after="120"/>
        <w:jc w:val="center"/>
      </w:pPr>
      <w:r>
        <w:rPr>
          <w:rFonts w:ascii="Times New Roman" w:hAnsi="Times New Roman"/>
          <w:b w:val="0"/>
          <w:sz w:val="22"/>
        </w:rPr>
        <w:t>к Протоколу выполнения мероприятий</w:t>
      </w:r>
    </w:p>
    <w:p>
      <w:pPr>
        <w:spacing w:after="120"/>
        <w:jc w:val="center"/>
      </w:pPr>
      <w:r>
        <w:rPr>
          <w:rFonts w:ascii="Times New Roman" w:hAnsi="Times New Roman"/>
          <w:b w:val="0"/>
          <w:sz w:val="22"/>
        </w:rPr>
        <w:t>от ___</w:t>
      </w:r>
    </w:p>
    <w:p>
      <w:pPr>
        <w:spacing w:after="120"/>
        <w:jc w:val="both"/>
      </w:pPr>
      <w:r>
        <w:rPr>
          <w:rFonts w:ascii="Times New Roman" w:hAnsi="Times New Roman"/>
          <w:b w:val="0"/>
          <w:sz w:val="22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419"/>
        <w:gridCol w:w="3419"/>
        <w:gridCol w:w="3419"/>
      </w:tblGrid>
      <w:tr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№ п/п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Наименование мероприятия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Результат мероприятия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/>
                <w:sz w:val="20"/>
              </w:rPr>
              <w:t>1.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ДЕКОМПОЗИЦИЯ ЦЕЛЕЙ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1.1.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Разработка Предприятием дерева целей.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1.2.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Разработка Предприятием КПЭ руководителей Предприятия.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1.3.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Внедрение системы премирования по результатам выполнения КПЭ.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1.4.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Внедрение Предприятием информационного центра предприятия.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/>
                <w:sz w:val="20"/>
              </w:rPr>
              <w:t>2.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ОПТИМИЗАЦИЯ ПОТОКОВ ПО ПРОИЗВОДСТВУ ПРОДУКЦИИ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2.1.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Выбор пилотного потока с целью создания потока образца.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2.2.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Открытие проекта по оптимизации пилотного потока.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2.3.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Внедрение Предприятием производственного анализа в пилотном потоке.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2.4.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Картирование текущего состояния пилотного потока Предприятия, выявление проблем.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2.5.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Разработка Предприятием планов развития продуктового потока (комплект документов).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2.6.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Создание эталонного производственного участка.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2.7.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Реализация Предприятием плана мероприятий по достижению целевого состояния продуктового потока.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2.8.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Закрытие проекта по оптимизации пилотного потока, анализ достижения целей. Признание потока образцом для Предприятия.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2.9.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Разработка плана по охвату (вовлечению) ключевых потоков предприятия на период реализации Программы повышения производительности труда на предприятии.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2.10.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Открытие проектов по оптимизации потоков по производству продукции согласно плану по охвату (вовлечению) ключевых потоков предприятия.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/>
                <w:sz w:val="20"/>
              </w:rPr>
              <w:t>3.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ОБУЧЕНИЕ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3.1.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[При наличии пункта в соглашении] Стартовое совещание на модельном предприятии. В рамках стартового совещания проходит обучение и ознакомление участников с результатами реализации проектов по оптимизации процессов и практикой внедрения производственной системы на модельном предприятии. Целевая аудитория: генеральный директор и/или заместитель генерального директора по производству.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3.2.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Обучение рабочей группы проекта: Модуль 1. Обязательные курсы: 1) «Основы бережливого производства». Программа обучения направлена на изучение применения инструментов производственной системы, которые позволяют минимизировать потери и повысить эффективность текущей деятельности. 2) «Реализация проекта по улучшению». Программа обучения направлена на изучение основных фаз и этапов реализации проекта по оптимизации продуктового потока/процесса. 3) «5С на производстве». Программа обучения направлена на изучение и получение практического навыка применения инструмента «5С», предназначенного для организации безопасного и эффективного рабочего места. 4) «Картирование». Программа обучения направлена на изучение и получение практического навыка применения инструмента «Картирование», предназначенного для выявления и устранения потерь и оптимизацию продуктового потока/процесса. 5) «Производственный анализ». Программа обучения направлена на изучение и получение практического навыка применения инструмента «Производственный анализ», предназначенного для оперативного выявления проблем, влияющих на ритмичность продуктового потока/процесса. Модуль 2. Обязательные курсы: 6) «Стандартизированная работа». Программа обучения направлена на изучение и получение практического навыка применения «Стандартизированная работа», предназначенного для повышения эффективности работы персонала, повышение качества выполняемых работ. 7) Дополнительные 2 (два) тренинга на выбор из 3-х: 7.1) «Быстрая переналадка (SMED)». Программа обучения направлена на изучение и получение практического навыка применения инструмента «Быстрая переналадка (SMED)», предназначенного для сокращения времени переналадки оборудования и стандартизацию процесса переналадки. 7.2) «ОЕЕ» Программа обучения направлена на изучение и получение практического навыка применения показателя «Общая эффективность оборудования» с целью выявления и устранения потерь на оборудовании. 7.3) «Автономное обслуживание» Программа обучения направлена на изучение и получение практического навыка внедрения инструмента «Автономное обслуживание», предназначенного для снижения аварийных простоев оборудования, стандартизацию и внедрение процессам самостоятельного обслуживания оборудования. Целевая аудитория: Обязательные курсы: участники рабочей группы. На тренинги «Быстрая переналадка (SMED)» и «Автономное обслуживание» допускается приглашать функциональных специалистов, связанных с проведением переналадок оборудования или обслуживанием и ремонтом оборудования.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3.3.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Отбор кандидатов на инструкторов – сотрудников Предприятия. Целевая аудитория: сотрудники предприятия, участники рабочей группы.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3.4.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Сертификация на право проведения программ инструкторов – сотрудников Предприятия. Целевая аудитория: сотрудники предприятия, участники рабочей группы, отобранные для данного мероприятия в рамках предыдущего мероприятия (3.3.) и прошедшие подготовку на инструктора.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3.5.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Стажировка сотрудников Предприятия на предприятии «предыдущей волны». Целевая аудитория: сотрудники предприятия- будущие участники рабочей группы, не более 3-х сотрудников из расчета 1 чел. на 500 чел. численности предприятия).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3.6.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Дистанционное обучение персонала Предприятия. Целевая аудитория: руководители высшего звена управления, руководители среднего звена управления, линейные руководители, участники рабочих групп проектов, персонал предприятия (специалисты и рабочие).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/>
                <w:sz w:val="20"/>
              </w:rPr>
              <w:t>4.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УПРАВЛЕНИЕ ПРОЕКТАМИ И ИЗМЕНЕНИЯМИ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4.1.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Стартовое совещание по Программе на Предприятии (в т. ч. запуску проекта в пилотном потоке).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4.2.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Опрос по готовности рабочей группы к реализации Программы на Предприятии, в т. ч. проекта по оптимизации пилотного потока.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4.3.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Создание базы данных, сбор фото и видеоматериалов по текущему состоянию пилотного потока.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4.4.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Организация регулярных выходов руководителей Предприятия (топ-менеджмент) на производство.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4.5.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День информирования по результатам трех месяцев.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4.6.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День информирования по результатам шести месяцев.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4.7.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Внедрение системы подачи и реализации предложений по улучшениям.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4.8.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Внедрение конкурсов проектов и предложений по улучшениям.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/>
                <w:sz w:val="20"/>
              </w:rPr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Реализация проектного подхода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4.9.</w:t>
            </w:r>
          </w:p>
        </w:tc>
        <w:tc>
          <w:tcPr>
            <w:tcW w:type="dxa" w:w="3419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Создание Предприятием проектного офиса.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</w:t>
            </w:r>
          </w:p>
        </w:tc>
      </w:tr>
    </w:tbl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/>
          <w:b/>
          <w:sz w:val="22"/>
        </w:rPr>
        <w:t>Приложение № 2</w:t>
      </w:r>
    </w:p>
    <w:p>
      <w:pPr>
        <w:spacing w:after="120"/>
        <w:jc w:val="center"/>
      </w:pPr>
      <w:r>
        <w:rPr>
          <w:rFonts w:ascii="Times New Roman" w:hAnsi="Times New Roman"/>
          <w:b w:val="0"/>
          <w:sz w:val="22"/>
        </w:rPr>
        <w:t>к Протоколу выполнения мероприятий</w:t>
      </w:r>
    </w:p>
    <w:p>
      <w:pPr>
        <w:spacing w:after="120"/>
        <w:jc w:val="center"/>
      </w:pPr>
      <w:r>
        <w:rPr>
          <w:rFonts w:ascii="Times New Roman" w:hAnsi="Times New Roman"/>
          <w:b w:val="0"/>
          <w:sz w:val="22"/>
        </w:rPr>
        <w:t>от ___</w:t>
      </w:r>
    </w:p>
    <w:p>
      <w:pPr>
        <w:spacing w:after="120"/>
        <w:jc w:val="center"/>
      </w:pPr>
      <w:r>
        <w:rPr>
          <w:rFonts w:ascii="Times New Roman" w:hAnsi="Times New Roman"/>
          <w:b/>
          <w:sz w:val="22"/>
        </w:rPr>
        <w:t>Оценка уровня развития производственной системы Предприятия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0"/>
        </w:rPr>
        <w:t>Методика оценки: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0"/>
        </w:rPr>
        <w:t>Оценка выполнения требований осуществляется последовательно от уровня «1» до уровня «3».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0"/>
        </w:rPr>
        <w:t>Не допускается переходить к оценке следующего уровня при невыполнении требований предыдущего уровня частично или полностью.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0"/>
        </w:rPr>
        <w:t>Например: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0"/>
        </w:rPr>
        <w:t>Если требования уровня «2» содержат два условия, одно из которых не выполняется, то данное направление развития оценивается в 1 балл (при полном выполнении требований уровня «1»).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0"/>
        </w:rPr>
        <w:t>Если требования уровня «3» содержат три условия, одно из которых не выполняется, то данное направление развития оценивается в 2 балла (при полном выполнении требований уровня «1» и «2»).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0"/>
        </w:rPr>
        <w:t>Числовое значение уровня соответствия (1, 2 или 3) является оценкой в баллах данного направления развития.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0"/>
        </w:rPr>
        <w:t>Баллы по всем направлениям развития суммируются в итоговую оценку.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0"/>
        </w:rPr>
        <w:t>Целевой уровень развития производственной системы признается достигнутым при достижении итоговой оценки не менее 21 балла.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  <w:t>№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  <w:t>Направление развития производственной системы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  <w:t>№ требования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  <w:t>Требование производственной системы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  <w:t>Оценка критерия, балл</w:t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Охват потоков проектами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1.1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В пилотном продуктовом потоке реализован проект по повышению производительности труда.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  <w:t>1</w:t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1.2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В пилотном продуктовом потоке открыт следующий проект по повышению производительности труда.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1.3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Проект по повышению производительности труда открыт в еще одном продуктовом потоке (при наличии).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1.4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Доля охваченных проектами по повышению производительности труда продуктов предприятия в общей выручке более 50 %.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1.5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Доля охваченных проектами по повышению производительности труда продуктов предприятия в общей выручке более 80 %.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1.6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Реализован проект(проекты) по оптимизации одного из ключевых непроизводственных бизнес-процессов.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2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Достижение целей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2.1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Целевые показатели в пилотном продуктовом потоке улучшены не менее чем на 10 %.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  <w:t>1</w:t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2.2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Целевые показатели в пилотном продуктовом потоке улучшены не менее чем на 30 %.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2.3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Показатель оборачиваемости запасов предприятия улучшен не менее чем на 5% к аналогичному периоду предыдущего года.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2.4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Достигнутые результаты (изменение трудоемкости, снижение запасов и т. п.) закреплены в нормативах и введены в действие как обязательные к использованию в операционной деятельности.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2.5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Показатель оборачиваемости запасов предприятия улучшен не менее чем на 10% к аналогичному периоду предыдущего года.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2.6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Целевые показатели проектов обеспечивают достижение целей предприятия по повышению производительности труда в текущий отчетный год.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3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Инструменты диагностики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3.1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В потоке разработаны карты текущего и целевого состояний потока создания ценности. Выявлены и документально зафиксированы проблемы, связанные с организацией процессов в потоке. Утвержден план мероприятий по достижению целевого состояния.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  <w:t>1</w:t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3.2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Проанализировано расстояние и маршруты перемещений материального потока, разработана диаграмма «спагетти». Зафиксированы проблемы, связанные с перемещениями в пространстве, слияниями/разделениями потоков. Разработана целевая планировка.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3.3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На критических с точки зрения производительности рабочих местах (участках) ведется почасовый (поштучный) производственный анализ с указанием отклонений и анализом причин их появления.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3.4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Проведен анализ/хронометраж технологических операций, выявлены потери, зафиксированы проблемы, связанные с действиями операторов при производстве продукции.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3.5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Для выявления проблем и отклонений используются методы статистического управления (SPC, «6 сигма», FMEA и т. п.).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4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Планирование и логистика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4.1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Производству устанавливаются планы производства продукции на определенные отчетные периоды (квартал, месяц, неделя). Планы производства декомпозируются до сменного (суточного) задания каждому сотруднику.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  <w:t>1</w:t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4.2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Разработаны правила перемещения изделий и материалов в потоке, устанавливающие маршруты, способы перемещений, тара и т. п.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4.3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Устанавливаются графики запуска продукции в производство, обеспечивающие выполнение графика отгрузок (передачи на склад готовой продукции). Дата запуска определяется с помощью установленного норматива времени протекания процесса или времени выполнения заказа.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4.4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Транспортировка организована по принципам тянущей системы (при возникновении потребности на следующем переделе).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4.5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Производство на каждом этапе запускается по возникновению потребности следующего передела. Используются системы пополнения запасов, организован информационный поток сигналов на запуск производства и перемещение материалов.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4.6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Транспортировка до рабочих мест осуществляется без промежуточных перекладываний, без использования ГПМ, авто- и электротранспорта.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5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Управление запасами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5.1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В потоке проведен структурированный анализ запасов (ABC-анализ, XYZ-анализ, и т. п.), определены категории запасов. Установлены нормативы запасов в потоке по категориям.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  <w:t>1</w:t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5.2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Определены места складирования (в т. ч. временного хранения) для сырья и материалов, полуфабрикатов, готовой продукции, отходов, вспомогательных материалов на производстве.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5.3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С периодичностью не реже 1 раза в месяц ведется статистика по плановому и фактическому уровню запасов, фиксируются отклонения от нормативов, разрабатываются корректирующие меры.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5.4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В местах хранения определены (подписаны, выделены цветом) места размещения под каждую номенклатуру.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5.5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В местах хранения установлены и визуализированы правила работы с запасами (нормативы, правила пополнения и т. п.).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5.6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На промежуточных складах в потоке реализовано адресное хранение материалов, полуфабрикатов, инструментов и т. п.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5.7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Способы организации мест хранения позволяют реализовать принцип «Первым вошел - первым вышел» (FIFO) без перекладок и дополнительных трудозатрат.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6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5С и визуализация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6.1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В потоке созданы эталонные рабочие места, на которых внедрены первые 4 шага системы 5С до разработки стандартов рабочих мест. Стандарты включают требования по расстановке оборудования, материалов, инструмента на рабочем месте, уборке рабочей зоны.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  <w:t>1</w:t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6.2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По основной продукции непосредственно на производстве визуализирована информация о плановом и фактическом объемах производства, визуализирована система решения и эскалации проблем (листы проблем, доски решения проблем или другие инструменты, позволяющие определить актуальный статус решения проблем).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6.3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Соответствие рабочих мест стандартам регулярно контролируется (проводятся аудиты 5С или другие мероприятия по обеспечению соответствия стандартам и их улучшению).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6.4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Реализованы инструменты и методы совершенствования 5С (конкурсы, система поощрения, и т. п.).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6.5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На производстве визуализирована информация о реализации проектов по оптимизации процессов (проектов по улучшению).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6.6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Первые 4 шага системы 5С реализованы на всех рабочих местах в потоке.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6.7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Рабочее пространство в потоке визуализировано (проходы, проезды, ограждения опасных зон, места хранения и т. п.).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7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Развитие персонала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7.1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В потоке сформирован набор необходимых компетенций персонала, общих по потоку и уникальных для участка.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  <w:t>1</w:t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7.2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Визуализированы матрицы компетенций, определены «узкие места».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7.3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Проводится обучение персонала как по уникальным, так и по общим необходимым компетенциям для повышения взаимозаменяемости.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7.4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Внедрена система адаптации вновь принятого персонала.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7.5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Разрабатываются и реализуются планы развития малых групп (бригад).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7.6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Используются методики передачи знаний от наставников (TWI и т. п.).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8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Стандартизированная работа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8.1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На основе проведенного анализа определены критические операции в потоке (с наибольшей трудоемкостью), требующие проведения стандартизированной работы. Составлен план проведения стандартизированной работы для повышения производительности труда.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  <w:t>1</w:t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8.2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Проведена стандартизированная работа пилотных критических операций и разработаны комплекты карт стандартизированной работы и стандартные операционные процедуры (стандарты выполнения работ).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8.3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Утвержденные нормативы трудоемкости соответствуют разработанным стандартным операционным процедурам (стандартам выполнения работ).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8.4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Проведена перебалансировка работы между операторами / внедрено многостаночное обслуживание / расширены зоны обслуживания с результатом увеличения выработки.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8.5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Стандарты выполнения операций на регулярной основе проверяются, пересматриваются в случае выявления отклонений фактических замеров от нормативных или внедрения улучшений.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9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Качество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9.1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На предприятии установлены цели по повышению качества (снижение внутренней дефектности, затрат на доработки и исправления и т. п.).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  <w:t>1</w:t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9.2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Определяются первопричины возникновения дефектов (используются методы «5 почему», «4М», «рыбья кость» и т. п.) Разрабатываются и реализуются меры по устранению первопричин.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9.3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По выявленным причинам возникновения дефектов реализованы инструменты «защиты от ошибок» («пока-йоке» или аналогичные).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9.4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Используются структурированные методы решения проблем (8D, «одна за одной» и т. п.).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10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Эффективность оборудования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10.1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Утвержден перечень критичного с точки зрения производительности оборудования в потоке.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  <w:t>1</w:t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10.2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Проведен расчет эффективности использования критичного оборудования (ОЕЕ). Определены наиболее значимые факторы снижения эффективности критичного оборудования.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10.3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Реализуются мероприятия по повышению эффективности оборудования за счет устранения выявленных факторов.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10.4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Внедрены механизмы оперативного информирования и реагирования сервисных служб в случае возникновения внеплановых простоев.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10.5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Стандартизированы плановые простои критичного оборудования (переналадки, плановое обслуживание и т. п.).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11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Управление проектами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11.1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На предприятии утвержден функционал и установлена ответственность за управление проектами и изменениями (создан проектный офис).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  <w:t>1</w:t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11.2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Проектный офис осуществляет ведение реестра реализуемых проектов, с отслеживанием статусов ключевых событий проектов.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11.3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Утверждены организационные документы, определяющие требования к реализации проектного подхода к улучшениям.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11.4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Утвержден план тиражирования проектов по оптимизации на все ключевые потоки предприятия.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11.5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Проекты на предприятии реализуются в соответствии с утвержденным планом.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11.6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Внедрен механизм инициирования проектов по оптимизации потоков и процессов на основе анализа проблем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12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Декомпозиция целей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12.1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Разработано и утверждено дерево целей.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  <w:t>1</w:t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12.2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Разработаны и утверждены КПЭ до уровня ГД-1.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12.3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Организован информационный центр предприятия, разработан регламент работы ИЦ.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12.4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Показатели дерева целей оцифрованы и отражены в картах КПЭ руководителей.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12.5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Целевые значения КПЭ установлены на основе дерева целей и ключевых обязанностей руководителя, учтены цели по повышению производительности труда.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12.6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Организованы информационные центры предприятия и цеха (где выбран пилотный поток), в инфоцентрах регулярно проводятся совещания.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12.7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Показатели дерева целей синхронизированы с бизнес-планом предприятия, целями по повышению производительности труда и картами КПЭ руководителей.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12.8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Разработаны и утверждены КПЭ до уровня руководителей подразделений (цехов и отделов), проводятся промежуточные и итоговая оценки достижения КПЭ.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12.9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Организованы информационные центры предприятия, цехов и малых групп (смен, бригад), информация на инфоцентрах разных уровней взаимосвязана (цели, задачи, отклонения, проблемы и др.), реализован механизм эскалации проблем.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12.10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Внедрена система премирования сотрудников на основе выполнения КПЭ.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13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Обучение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13.1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На предприятии есть внутренний тренер (инструктор) для проведения обучения инструментам повышения производительности труда/бережливого производства.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  <w:t>1</w:t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13.2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График обучения привязан к графику реализации проектов. Все проектные команды проходят обучение в рамках проектов.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13.3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Организован процесс сбора и анализа обратной связи после обучения.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13.4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Программы обучения адаптированы к специфике предприятия, дополнены примерами реализованных на предприятии проектов и улучшений.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13.5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На предприятии создана инфраструктура для площадочного обучения (программа, тренеры, учебные помещения, раздаточные материалы).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13.6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На предприятии развернута система дистанционного обучения персонала (организованы: регистрация персонала, участвующего в программе повышения производительности труда, прохождение электронных курсов по инструментам повышения производительности труда, мониторинг результатов)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14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Управление изменениями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14.1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На производстве и в зонах с высокой проходимостью размещена информация о программе повышения производительности на предприятии, реализации проектов, результатах и достижениях.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  <w:t>1</w:t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14.2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На предприятии проводятся регулярные встречи Генерального директора и высшего руководства с сотрудниками предприятия в соответствии с утвержденным планом мероприятий по коммуникациям.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14.3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Производственные участки, выбранные в качестве эталонных по внедрению инструментов повышения производительности труда, обозначены и визуализированы.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14.4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Генеральным директором и/или высшим руководством предприятия проводятся регулярные обходы производства, во время которых оценивается развитие производственной системы, выявляются и решаются проблемы.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14.5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В корпоративных СМИ размещается информация о ходе и результатах программы повышения производительности труда на предприятии. Проводятся награждения лучших участников рабочих групп проектов и вовлеченных в улучшения сотрудников.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14.6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Руководители производственных подразделений предприятия проводят регулярные встречи с мастерами/бригадирами по внедрению производственной системы в соответствии с утвержденным планом мероприятий по коммуникациям.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14.7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Мастера/бригадиры потока не реже 1 раза неделю предоставляют проектной команде и руководству предприятия (ГД/ЗГД) обратную связь (от себя и сотрудников) о ходе внедрения производственной системы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14.8</w:t>
            </w:r>
          </w:p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 w:val="0"/>
                <w:sz w:val="18"/>
              </w:rPr>
              <w:t>Во внешних СМИ размещается информация о ходе и результатах программы повышения производительности труда на предприятии.</w:t>
            </w:r>
          </w:p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18"/>
              </w:rPr>
            </w:r>
          </w:p>
        </w:tc>
      </w:tr>
      <w:tr>
        <w:tc>
          <w:tcPr>
            <w:tcW w:type="dxa" w:w="2051"/>
          </w:tcPr>
          <w:p/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/>
                <w:sz w:val="20"/>
              </w:rPr>
              <w:t>Итого, баллов:</w:t>
            </w:r>
          </w:p>
        </w:tc>
        <w:tc>
          <w:tcPr>
            <w:tcW w:type="dxa" w:w="2051"/>
          </w:tcPr>
          <w:p/>
        </w:tc>
        <w:tc>
          <w:tcPr>
            <w:tcW w:type="dxa" w:w="2051"/>
          </w:tcPr>
          <w:p/>
        </w:tc>
        <w:tc>
          <w:tcPr>
            <w:tcW w:type="dxa" w:w="2051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sz w:val="20"/>
              </w:rPr>
              <w:t>14</w:t>
            </w:r>
          </w:p>
        </w:tc>
      </w:tr>
      <w:tr>
        <w:tc>
          <w:tcPr>
            <w:tcW w:type="dxa" w:w="2051"/>
          </w:tcPr>
          <w:p/>
        </w:tc>
        <w:tc>
          <w:tcPr>
            <w:tcW w:type="dxa" w:w="2051"/>
          </w:tcPr>
          <w:p>
            <w:r/>
            <w:r>
              <w:rPr>
                <w:rFonts w:ascii="Times New Roman" w:hAnsi="Times New Roman" w:cs="Times New Roman"/>
                <w:b/>
                <w:sz w:val="20"/>
              </w:rPr>
              <w:t>Вывод: Предприятие не достигло целевого уровня развития производственной системы.</w:t>
            </w:r>
          </w:p>
        </w:tc>
        <w:tc>
          <w:tcPr>
            <w:tcW w:type="dxa" w:w="2051"/>
          </w:tcPr>
          <w:p/>
        </w:tc>
        <w:tc>
          <w:tcPr>
            <w:tcW w:type="dxa" w:w="2051"/>
          </w:tcPr>
          <w:p/>
        </w:tc>
        <w:tc>
          <w:tcPr>
            <w:tcW w:type="dxa" w:w="2051"/>
          </w:tcPr>
          <w:p/>
        </w:tc>
      </w:tr>
    </w:tbl>
    <w:p>
      <w:r>
        <w:br w:type="page"/>
      </w:r>
    </w:p>
    <w:p>
      <w:pPr>
        <w:spacing w:after="120"/>
      </w:pPr>
      <w:r>
        <w:rPr>
          <w:rFonts w:ascii="Times New Roman" w:hAnsi="Times New Roman"/>
          <w:b/>
          <w:sz w:val="24"/>
        </w:rPr>
        <w:t>Поля, требующие заполнения («домерить»)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Соглашение: номер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Соглашение: дата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Реквизиты: РЦК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Место подписания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Дата протокола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Период реализации: с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Период реализации: по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Поток ключевого продукта (пилотный поток)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Показатели потока (до/цель/факт) — хотя бы одна строка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Показатели потока: незаполненные ячейки (до/цель/факт)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Открытые проекты и их цели (таблица после показателей)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Цель ПТ: прирост к базовому году, %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Цель ПТ: прирост к 3-му году, %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Подписант от Предприятия: должность и ФИО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Подписант от РЦК: должность и ФИО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1: результат мероприятия 1.1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1: результат мероприятия 1.2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1: результат мероприятия 1.3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1: результат мероприятия 1.4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1: результат мероприятия 2.1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1: результат мероприятия 2.2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1: результат мероприятия 2.3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1: результат мероприятия 2.4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1: результат мероприятия 2.5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1: результат мероприятия 2.6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1: результат мероприятия 2.7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1: результат мероприятия 2.8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1: результат мероприятия 2.9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1: результат мероприятия 2.10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1: результат мероприятия 3.1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1: результат мероприятия 3.2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1: результат мероприятия 3.3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1: результат мероприятия 3.4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1: результат мероприятия 3.5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1: результат мероприятия 3.6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1: результат мероприятия 4.1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1: результат мероприятия 4.2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1: результат мероприятия 4.3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1: результат мероприятия 4.4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1: результат мероприятия 4.5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1: результат мероприятия 4.6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1: результат мероприятия 4.7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1: результат мероприятия 4.8</w:t>
      </w:r>
    </w:p>
    <w:p>
      <w:pPr>
        <w:spacing w:after="40"/>
      </w:pPr>
      <w:r>
        <w:rPr>
          <w:rFonts w:ascii="Times New Roman" w:hAnsi="Times New Roman"/>
          <w:b w:val="0"/>
          <w:sz w:val="20"/>
        </w:rPr>
        <w:t>– Прил. № 1: результат мероприятия 4.9</w:t>
      </w:r>
    </w:p>
    <w:sectPr w:rsidR="00FC693F" w:rsidRPr="0006063C" w:rsidSect="00034616">
      <w:pgSz w:w="12240" w:h="15840"/>
      <w:pgMar w:top="1134" w:right="850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