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355"/>
          <w:sz w:val="46"/>
        </w:rPr>
        <w:t>Especificação de Requisitos da Solução</w:t>
      </w:r>
    </w:p>
    <w:p>
      <w:pPr>
        <w:spacing w:after="320"/>
      </w:pPr>
      <w:r>
        <w:rPr>
          <w:i/>
          <w:color w:val="444A55"/>
          <w:sz w:val="26"/>
        </w:rPr>
        <w:t>Plataforma de Dados Descentralizada — Data Mesh Zero-Copy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Cliente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Grupo Aurora Varejo S.A. (cenário ilustrativo)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Documento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Especificação de Requisitos da Solução (ERS)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Norma de referência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ISO/IEC/IEEE 29148:2018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Versão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Data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30 de junho de 2026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Elaborado por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Equipe de Engenharia de Dados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Classificação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Uso interno — engenharia e validação</w:t>
            </w:r>
          </w:p>
        </w:tc>
      </w:tr>
    </w:tbl>
    <w:p>
      <w:pPr>
        <w:spacing w:after="40"/>
      </w:pPr>
    </w:p>
    <w:p>
      <w:pPr>
        <w:spacing w:after="200"/>
        <w:pBdr>
          <w:bottom w:val="single" w:sz="6" w:space="1" w:color="1F3355"/>
        </w:pBdr>
      </w:pPr>
    </w:p>
    <w:p>
      <w:pPr>
        <w:pStyle w:val="Heading1"/>
      </w:pPr>
      <w:r>
        <w:t>1. Introdução</w:t>
      </w:r>
    </w:p>
    <w:p>
      <w:pPr>
        <w:pStyle w:val="Heading2"/>
      </w:pPr>
      <w:r>
        <w:t>1.1 Objetivo do documento</w:t>
      </w:r>
    </w:p>
    <w:p>
      <w:pPr>
        <w:jc w:val="both"/>
      </w:pPr>
      <w:r>
        <w:t>Este documento especifica os requisitos da solução de plataforma de dados descentralizada (data mesh) desenvolvida para o Grupo Aurora Varejo. Seu propósito é registrar, de forma estruturada e verificável, o que a solução deve fazer (requisitos funcionais) e com qual qualidade (requisitos não funcionais), servindo de referência comum entre as áreas de negócio, a engenharia de dados e a validação.</w:t>
      </w:r>
    </w:p>
    <w:p>
      <w:pPr>
        <w:pStyle w:val="Heading2"/>
      </w:pPr>
      <w:r>
        <w:t>1.2 Escopo</w:t>
      </w:r>
    </w:p>
    <w:p>
      <w:pPr>
        <w:jc w:val="both"/>
      </w:pPr>
      <w:r>
        <w:t>A solução estabelece um repositório central de dados sobre o qual diferentes domínios de negócio publicam e consultam informações sem duplicação. Abrange a ingestão dos domínios, o armazenamento em formato aberto, a consulta federada entre domínios, a governança do dado com versionamento (branches, publicação e reversão) e a validação de qualidade antes de cada publicação. Itens explicitamente fora de escopo estão listados na Seção 8.</w:t>
      </w:r>
    </w:p>
    <w:p>
      <w:pPr>
        <w:pStyle w:val="Heading2"/>
      </w:pPr>
      <w:r>
        <w:t>1.3 Definições e siglas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16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056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Data mesh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Abordagem descentralizada em que cada domínio é dono de seus dados, publicados em um lake comum.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Lakehouse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Data lake com recursos transacionais de data warehouse (tabelas, snapshots, time-travel).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Zero-copy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Capacidade de cruzar dados entre domínios sem duplicá-los fisicamente.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Data-as-Code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Tratamento do dado com versionamento estilo Git (branch, merge, rollback).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WAP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Write-Audit-Publish: escrever em ramo isolado, validar e só então publicar.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 / RNF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Requisito Funcional / Requisito Não Funcional.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Camada Gold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Camada analítica consolidada, derivada do cruzamento entre domínios.</w:t>
            </w:r>
          </w:p>
        </w:tc>
      </w:tr>
    </w:tbl>
    <w:p>
      <w:pPr>
        <w:spacing w:after="80"/>
      </w:pPr>
    </w:p>
    <w:p>
      <w:pPr>
        <w:pStyle w:val="Heading2"/>
      </w:pPr>
      <w:r>
        <w:t>1.4 Referências</w:t>
      </w:r>
    </w:p>
    <w:p>
      <w:pPr>
        <w:jc w:val="both"/>
      </w:pPr>
      <w:r>
        <w:t>ISO/IEC/IEEE 29148:2018 (Systems and software engineering — Life cycle processes — Requirements engineering); documentação do projeto (README bilíngue e PORTFOLIO-ROADMAP); especificações abertas dos componentes utilizados (formato de tabela, catálogo e engine de consulta).</w:t>
      </w:r>
    </w:p>
    <w:p>
      <w:pPr>
        <w:pStyle w:val="Heading1"/>
      </w:pPr>
      <w:r>
        <w:t>2. Descrição Geral</w:t>
      </w:r>
    </w:p>
    <w:p>
      <w:pPr>
        <w:pStyle w:val="Heading2"/>
      </w:pPr>
      <w:r>
        <w:t>2.1 Contexto da solução</w:t>
      </w:r>
    </w:p>
    <w:p>
      <w:pPr>
        <w:jc w:val="both"/>
      </w:pPr>
      <w:r>
        <w:t>A solução substitui o modelo tradicional de cópias de dados entre áreas por um repositório central único, consultado de forma federada. O dado de cada domínio permanece em um único local; o cruzamento entre domínios ocorre no momento da consulta, sem movimentação ou duplicação. A governança é exercida por meio de um catálogo com versionamento, e a qualidade é verificada antes de qualquer publicação.</w:t>
      </w:r>
    </w:p>
    <w:p>
      <w:pPr>
        <w:pStyle w:val="Heading2"/>
      </w:pPr>
      <w:r>
        <w:t>2.2 Funcionalidades principais</w:t>
      </w:r>
    </w:p>
    <w:p>
      <w:pPr>
        <w:jc w:val="both"/>
      </w:pPr>
      <w:r>
        <w:t>Em alto nível, a solução oferece: ingestão dos domínios para o repositório central; consulta integrada entre domínios sem cópia; um fluxo de publicação controlado (escrever em ramo isolado, auditar e publicar ou reverter); verificação automática de qualidade bloqueante; e uma camada analítica consolidada para consumo do negócio.</w:t>
      </w:r>
    </w:p>
    <w:p>
      <w:pPr>
        <w:pStyle w:val="Heading2"/>
      </w:pPr>
      <w:r>
        <w:t>2.3 Stakeholders e usuários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3024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type="dxa" w:w="3168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Principal interesse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Patrocinador executivo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Aprova e financia o projeto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Retorno, custo e risco controlados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Áreas de negócio (Vendas, Marketing)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Produzem e consomem dados de domínio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Dados confiáveis e integrados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Engenharia de dados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Constrói e opera a plataforma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Manutenibilidade e governança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Analistas e consumidores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Consomem a camada analítica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Consistência e autoatendimento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Governança / Qualidade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Define e fiscaliza regras de dados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Rastreabilidade e conformidade</w:t>
            </w:r>
          </w:p>
        </w:tc>
      </w:tr>
    </w:tbl>
    <w:p>
      <w:pPr>
        <w:spacing w:after="80"/>
      </w:pPr>
    </w:p>
    <w:p>
      <w:pPr>
        <w:pStyle w:val="Heading2"/>
      </w:pPr>
      <w:r>
        <w:t>2.4 Restrições</w:t>
      </w:r>
    </w:p>
    <w:p>
      <w:pPr>
        <w:jc w:val="both"/>
      </w:pPr>
      <w:r>
        <w:t>A solução é executada localmente em contêineres (Docker é pré-requisito). O catálogo opera em modo em memória, o que torna o estado de versionamento efêmero entre reinícios — decisão consciente para facilitar a demonstração. A ingestão, no estágio atual, é feita por inserção direta, adequada a volumes didáticos. A topologia é de nó único, sem alta disponibilidade.</w:t>
      </w:r>
    </w:p>
    <w:p>
      <w:pPr>
        <w:pStyle w:val="Heading2"/>
      </w:pPr>
      <w:r>
        <w:t>2.5 Premissas e dependências</w:t>
      </w:r>
    </w:p>
    <w:p>
      <w:pPr>
        <w:jc w:val="both"/>
      </w:pPr>
      <w:r>
        <w:t>Assume-se um host com recursos mínimos de CPU e memória, com as portas de serviço disponíveis (orquestração, engine de consulta, armazenamento e catálogo) e acesso para obtenção das imagens de contêiner. A solução depende de componentes open-source amplamente adotados, todos baseados em especificações abertas para evitar dependência de fornecedor.</w:t>
      </w:r>
    </w:p>
    <w:p>
      <w:pPr>
        <w:pStyle w:val="Heading1"/>
      </w:pPr>
      <w:r>
        <w:t>3. Requisitos Funcionais</w:t>
      </w:r>
    </w:p>
    <w:p>
      <w:pPr>
        <w:jc w:val="both"/>
      </w:pPr>
      <w:r>
        <w:t>Cada requisito é identificado, redigido na forma normativa (“A solução deve…”), priorizado segundo MoSCoW e associado a um método de verificação.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64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048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Requisito — A solução deve…</w:t>
            </w:r>
          </w:p>
        </w:tc>
        <w:tc>
          <w:tcPr>
            <w:tcW w:type="dxa" w:w="1008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1152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Verificação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RF-01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ingerir os dados dos domínios de negócio (vendas e marketing) das fontes de origem para o repositório central.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Must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Demonstração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RF-02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persistir os dados em formato de tabela aberto sobre armazenamento de objetos compatível com S3.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Must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Inspeção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RF-03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permitir consultas que cruzem dois ou mais domínios em uma única requisição, sem duplicar fisicamente os dados.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Must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Demonstração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RF-04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disponibilizar um catálogo com versionamento que permita criar ramificações isoladas para escrita.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Must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Demonstração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RF-05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submeter todo dado candidato a regras de qualidade antes da publicação oficial (write-audit-publish).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Must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Demonstração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RF-06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publicar de forma atômica, no ramo principal, apenas os dados aprovados nas regras de qualidade.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Must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Demonstração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RF-07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descartar integralmente os dados reprovados, sem impacto ao ramo principal consumido pelos usuários.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Must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Demonstração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RF-08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materializar uma camada analítica consolidada (gold) derivada do cruzamento entre domínios.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Must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Demonstração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RF-09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orquestrar os pipelines com visibilidade de dependências (lineage) e resultados de qualidade.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Should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Inspeção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RF-10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aplicar otimizações físicas às tabelas (particionamento, compactação e ordenação) para reduzir o volume lido.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Should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Demonstração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RF-11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permitir a consulta a versões históricas dos dados (time-travel) por meio dos snapshots da tabela.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Could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Demonstração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RF-12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gerar dados de exemplo de forma determinística e reproduzível para sustentar as demonstrações.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Should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Teste</w:t>
            </w:r>
          </w:p>
        </w:tc>
      </w:tr>
    </w:tbl>
    <w:p>
      <w:pPr>
        <w:spacing w:after="80"/>
      </w:pPr>
    </w:p>
    <w:p>
      <w:pPr>
        <w:pStyle w:val="Heading1"/>
      </w:pPr>
      <w:r>
        <w:t>4.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728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4176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Requisito — A solução deve…</w:t>
            </w:r>
          </w:p>
        </w:tc>
        <w:tc>
          <w:tcPr>
            <w:tcW w:type="dxa" w:w="2160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Critério / Métrica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RNF-01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Custo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operar integralmente em ambiente local com tecnologias open-source.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Custo de execução nulo; sem conta de nuvem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Portabilidade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ser executável em qualquer host com contêineres, sem lock-in de fornecedor.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Sobe em Windows/Linux/macOS; formatos abertos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RNF-03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Reprodutibilidade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provisionar o ambiente completo com um único comando e dados determinísticos.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 comando; seeds reproduzíveis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RNF-04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Desempenho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reduzir os arquivos lidos via partition pruning e compactação.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Pruning no EXPLAIN; menos arquivos após otimização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RNF-05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Consistência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isolar escrita de produção e publicar de forma atômica.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Ramo isolado; principal inalterado durante o processo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RNF-06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Auditabilidade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manter histórico versionado e rastreável das alterações de dados.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Snapshots e commits consultáveis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RNF-07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Qualidade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validar não-nulidade, unicidade, faixa e domínio de valores, bloqueando publicação em falha.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Regras cobertas; publicação bloqueada na reprovação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Manutenibilidade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organizar o código em módulos com responsabilidades separadas e documentação bilíngue.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Separação por camadas; README EN/PT-BR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RNF-09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Observabilidade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expor estado de execução, metadados e resultados de qualidade em interface própria.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UI com status, metadata e checks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RNF-10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Segurança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parametrizar credenciais por variáveis de ambiente e isolar a rede entre serviços.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Sem credenciais fixas no código; rede dedicada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RNF-11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Escalabilidade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permitir evolução da ingestão para maior volume sem trocar o formato de armazenamento.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Formato aberto suporta processamento distribuído</w:t>
            </w:r>
          </w:p>
        </w:tc>
      </w:tr>
    </w:tbl>
    <w:p>
      <w:pPr>
        <w:spacing w:after="80"/>
      </w:pPr>
    </w:p>
    <w:p>
      <w:pPr>
        <w:pStyle w:val="Heading1"/>
      </w:pPr>
      <w:r>
        <w:t>5. Requisitos de Dados</w:t>
      </w:r>
    </w:p>
    <w:p>
      <w:pPr>
        <w:jc w:val="both"/>
      </w:pPr>
      <w:r>
        <w:t>A solução organiza os dados em domínios (cada qual um schema) e em uma camada analítica derivada. As entidades, suas chaves e a qualidade esperada estão descritas a seguir. Os volumes referem-se ao conjunto de exemplo; a arquitetura está preparada para crescer sem alteração de formato.</w:t>
      </w:r>
    </w:p>
    <w:p>
      <w:pPr>
        <w:pStyle w:val="Heading2"/>
      </w:pPr>
      <w:r>
        <w:t>5.1 Entidades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36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Entidade (domínio)</w:t>
            </w:r>
          </w:p>
        </w:tc>
        <w:tc>
          <w:tcPr>
            <w:tcW w:type="dxa" w:w="4320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Atributos-chave</w:t>
            </w:r>
          </w:p>
        </w:tc>
        <w:tc>
          <w:tcPr>
            <w:tcW w:type="dxa" w:w="2880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marketing.campaigns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campaign_id (PK), campaign_name, channel, start_date, end_date, budget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Domínio Marketing (~8 registros de exemplo)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sales.orders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order_id (PK), order_ts, customer_id, campaign_id (FK), product, quantity, unit_price, amount, country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Domínio Vendas; particionada por dia de order_ts (~400 registros)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analytics.revenue_by_campaign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campaign_id, campaign_name, channel, budget, orders_count, revenue, roi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Camada gold derivada do cruzamento Vendas × Marketing</w:t>
            </w:r>
          </w:p>
        </w:tc>
      </w:tr>
    </w:tbl>
    <w:p>
      <w:pPr>
        <w:spacing w:after="80"/>
      </w:pPr>
    </w:p>
    <w:p>
      <w:pPr>
        <w:pStyle w:val="Heading2"/>
      </w:pPr>
      <w:r>
        <w:t>5.2 Qualidade de dados esperada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744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Regra</w:t>
            </w:r>
          </w:p>
        </w:tc>
        <w:tc>
          <w:tcPr>
            <w:tcW w:type="dxa" w:w="5328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Aplica-se a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Identificador único e não nulo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sales.orders.order_id; marketing.campaigns.campaign_id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Campo obrigatório (não nulo)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sales.orders.campaign_id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Valor não negativo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sales.orders.amount; marketing.campaigns.budget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Faixa válida (1 a 100)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sales.orders.quantity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Domínio de categorias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sales.orders.country ∈ {BR, US, PT, DE, MX, AR}</w:t>
            </w:r>
          </w:p>
        </w:tc>
      </w:tr>
    </w:tbl>
    <w:p>
      <w:pPr>
        <w:spacing w:after="80"/>
      </w:pPr>
    </w:p>
    <w:p>
      <w:pPr>
        <w:pStyle w:val="Heading1"/>
      </w:pPr>
      <w:r>
        <w:t>6. Critérios de Aceite e Rastreabilidade</w:t>
      </w:r>
    </w:p>
    <w:p>
      <w:pPr>
        <w:jc w:val="both"/>
      </w:pPr>
      <w:r>
        <w:t>A matriz liga cada requisito-chave à necessidade de negócio e ao cenário de demonstração que o comprova em execução (os “show me” do projeto).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40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Req.</w:t>
            </w:r>
          </w:p>
        </w:tc>
        <w:tc>
          <w:tcPr>
            <w:tcW w:type="dxa" w:w="3168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Necessidade atendida</w:t>
            </w:r>
          </w:p>
        </w:tc>
        <w:tc>
          <w:tcPr>
            <w:tcW w:type="dxa" w:w="4464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Cenário de verificação / evidência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RF-03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Cruzar áreas sem cópia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Consulta da camada analytics cruzando Vendas × Marketing (sql/10).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RF-05/06/07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Publicar só dado bom; reverter o ruim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Demo data-as-code: lote ruim reprovado e revertido; lote bom publicado por merge.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RF-10 / RNF-04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Reduzir custo de consulta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Partition pruning no EXPLAIN e redução de arquivos após otimização (sql/20).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RF-04 / RNF-06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Governança versionada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Criação de ramo isolado e histórico de snapshots/commits (sql/30).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RNF-05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Sem estados parciais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Ramo de escrita isolado enquanto o ramo principal permanece inalterado.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RNF-07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Qualidade no write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Verificações bloqueantes impedem a publicação de dado reprovado.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RNF-03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Subir com um comando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Provisionamento completo via Docker e dados de exemplo determinísticos.</w:t>
            </w:r>
          </w:p>
        </w:tc>
      </w:tr>
    </w:tbl>
    <w:p>
      <w:pPr>
        <w:spacing w:after="80"/>
      </w:pPr>
    </w:p>
    <w:p>
      <w:pPr>
        <w:pStyle w:val="Heading1"/>
      </w:pPr>
      <w:r>
        <w:t>7. Riscos e Premissas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464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Risco / Premissa</w:t>
            </w:r>
          </w:p>
        </w:tc>
        <w:tc>
          <w:tcPr>
            <w:tcW w:type="dxa" w:w="4608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Mitigação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Estado de versionamento efêmero (catálogo em memória)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Migrar o catálogo para armazenamento persistente com volume quando exigido.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Ingestão por inserção direta não escala para grandes volumes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Formato de tabela aberto já suporta evolução para processamento distribuído.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Recursos do host insuficientes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Definir requisitos mínimos de CPU/memória e portas no guia de execução.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Ausência de autenticação de usuário final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Tratada como evolução futura; ambiente atual é de demonstração controlada.</w:t>
            </w:r>
          </w:p>
        </w:tc>
      </w:tr>
    </w:tbl>
    <w:p>
      <w:pPr>
        <w:spacing w:after="80"/>
      </w:pPr>
    </w:p>
    <w:p>
      <w:pPr>
        <w:pStyle w:val="Heading1"/>
      </w:pPr>
      <w:r>
        <w:t>8. Itens Fora de Escopo</w:t>
      </w:r>
    </w:p>
    <w:p>
      <w:pPr>
        <w:pStyle w:val="ListBullet"/>
      </w:pPr>
      <w:r>
        <w:t>Autenticação e autorização de usuários finais.</w:t>
      </w:r>
    </w:p>
    <w:p>
      <w:pPr>
        <w:pStyle w:val="ListBullet"/>
      </w:pPr>
      <w:r>
        <w:t>Ingestão de dados em tempo real (prevista para projeto subsequente do portfólio).</w:t>
      </w:r>
    </w:p>
    <w:p>
      <w:pPr>
        <w:pStyle w:val="ListBullet"/>
      </w:pPr>
      <w:r>
        <w:t>Alta disponibilidade e tolerância a falhas em ambiente produtivo.</w:t>
      </w:r>
    </w:p>
    <w:p>
      <w:pPr>
        <w:pStyle w:val="ListBullet"/>
      </w:pPr>
      <w:r>
        <w:t>Catálogo gerenciado/persistente com controle de acesso granular (RBAC).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A55"/>
        <w:sz w:val="16"/>
      </w:rPr>
      <w:t xml:space="preserve">Grupo Aurora Varejo S.A.  ·  Especificação de Requisitos da Solução  ·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3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3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da Solução — Data Mesh Zero-Copy</dc:title>
  <dc:subject>ERS — ISO/IEC/IEEE 29148:2018</dc:subject>
  <dc:creator>Equipe de Engenharia de Dados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Documento Técnico</cp:category>
</cp:coreProperties>
</file>