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355"/>
          <w:sz w:val="46"/>
        </w:rPr>
        <w:t>Documento de Arquitetura da Solução</w:t>
      </w:r>
    </w:p>
    <w:p>
      <w:pPr>
        <w:spacing w:after="320"/>
      </w:pPr>
      <w:r>
        <w:rPr>
          <w:i/>
          <w:color w:val="444A55"/>
          <w:sz w:val="26"/>
        </w:rPr>
        <w:t>Plataforma de Dados Descentralizada — Data Mesh Zero-Copy</w:t>
      </w:r>
    </w:p>
    <w:tbl>
      <w:tblPr>
        <w:tblW w:type="auto" w:w="0"/>
        <w:tblLook w:firstColumn="1" w:firstRow="1" w:lastColumn="0" w:lastRow="0" w:noHBand="0" w:noVBand="1" w:val="04A0"/>
      </w:tblPr>
      <w:tblGrid>
        <w:gridCol w:w="4536"/>
        <w:gridCol w:w="4536"/>
      </w:tblGrid>
      <w:tr>
        <w:tc>
          <w:tcPr>
            <w:tcW w:type="dxa" w:w="2880"/>
          </w:tcPr>
          <w:p>
            <w:pPr>
              <w:spacing w:after="40"/>
            </w:pPr>
            <w:r>
              <w:rPr>
                <w:b/>
                <w:color w:val="1F3355"/>
                <w:sz w:val="20"/>
              </w:rPr>
              <w:t>Cliente</w:t>
            </w:r>
          </w:p>
        </w:tc>
        <w:tc>
          <w:tcPr>
            <w:tcW w:type="dxa" w:w="6192"/>
          </w:tcPr>
          <w:p>
            <w:pPr>
              <w:spacing w:after="40"/>
            </w:pPr>
            <w:r>
              <w:rPr>
                <w:sz w:val="20"/>
              </w:rPr>
              <w:t>Grupo Aurora Varejo S.A. (cenário ilustrativo)</w:t>
            </w:r>
          </w:p>
        </w:tc>
      </w:tr>
      <w:tr>
        <w:tc>
          <w:tcPr>
            <w:tcW w:type="dxa" w:w="2880"/>
          </w:tcPr>
          <w:p>
            <w:pPr>
              <w:spacing w:after="40"/>
            </w:pPr>
            <w:r>
              <w:rPr>
                <w:b/>
                <w:color w:val="1F3355"/>
                <w:sz w:val="20"/>
              </w:rPr>
              <w:t>Documento</w:t>
            </w:r>
          </w:p>
        </w:tc>
        <w:tc>
          <w:tcPr>
            <w:tcW w:type="dxa" w:w="6192"/>
          </w:tcPr>
          <w:p>
            <w:pPr>
              <w:spacing w:after="40"/>
            </w:pPr>
            <w:r>
              <w:rPr>
                <w:sz w:val="20"/>
              </w:rPr>
              <w:t>Documento de Arquitetura da Solução (DAS)</w:t>
            </w:r>
          </w:p>
        </w:tc>
      </w:tr>
      <w:tr>
        <w:tc>
          <w:tcPr>
            <w:tcW w:type="dxa" w:w="2880"/>
          </w:tcPr>
          <w:p>
            <w:pPr>
              <w:spacing w:after="40"/>
            </w:pPr>
            <w:r>
              <w:rPr>
                <w:b/>
                <w:color w:val="1F3355"/>
                <w:sz w:val="20"/>
              </w:rPr>
              <w:t>Versão</w:t>
            </w:r>
          </w:p>
        </w:tc>
        <w:tc>
          <w:tcPr>
            <w:tcW w:type="dxa" w:w="6192"/>
          </w:tcPr>
          <w:p>
            <w:pPr>
              <w:spacing w:after="40"/>
            </w:pPr>
            <w:r>
              <w:rPr>
                <w:sz w:val="20"/>
              </w:rPr>
              <w:t>1.0</w:t>
            </w:r>
          </w:p>
        </w:tc>
      </w:tr>
      <w:tr>
        <w:tc>
          <w:tcPr>
            <w:tcW w:type="dxa" w:w="2880"/>
          </w:tcPr>
          <w:p>
            <w:pPr>
              <w:spacing w:after="40"/>
            </w:pPr>
            <w:r>
              <w:rPr>
                <w:b/>
                <w:color w:val="1F3355"/>
                <w:sz w:val="20"/>
              </w:rPr>
              <w:t>Data</w:t>
            </w:r>
          </w:p>
        </w:tc>
        <w:tc>
          <w:tcPr>
            <w:tcW w:type="dxa" w:w="6192"/>
          </w:tcPr>
          <w:p>
            <w:pPr>
              <w:spacing w:after="40"/>
            </w:pPr>
            <w:r>
              <w:rPr>
                <w:sz w:val="20"/>
              </w:rPr>
              <w:t>30 de junho de 2026</w:t>
            </w:r>
          </w:p>
        </w:tc>
      </w:tr>
      <w:tr>
        <w:tc>
          <w:tcPr>
            <w:tcW w:type="dxa" w:w="2880"/>
          </w:tcPr>
          <w:p>
            <w:pPr>
              <w:spacing w:after="40"/>
            </w:pPr>
            <w:r>
              <w:rPr>
                <w:b/>
                <w:color w:val="1F3355"/>
                <w:sz w:val="20"/>
              </w:rPr>
              <w:t>Elaborado por</w:t>
            </w:r>
          </w:p>
        </w:tc>
        <w:tc>
          <w:tcPr>
            <w:tcW w:type="dxa" w:w="6192"/>
          </w:tcPr>
          <w:p>
            <w:pPr>
              <w:spacing w:after="40"/>
            </w:pPr>
            <w:r>
              <w:rPr>
                <w:sz w:val="20"/>
              </w:rPr>
              <w:t>Equipe de Engenharia de Dados</w:t>
            </w:r>
          </w:p>
        </w:tc>
      </w:tr>
      <w:tr>
        <w:tc>
          <w:tcPr>
            <w:tcW w:type="dxa" w:w="2880"/>
          </w:tcPr>
          <w:p>
            <w:pPr>
              <w:spacing w:after="40"/>
            </w:pPr>
            <w:r>
              <w:rPr>
                <w:b/>
                <w:color w:val="1F3355"/>
                <w:sz w:val="20"/>
              </w:rPr>
              <w:t>Classificação</w:t>
            </w:r>
          </w:p>
        </w:tc>
        <w:tc>
          <w:tcPr>
            <w:tcW w:type="dxa" w:w="6192"/>
          </w:tcPr>
          <w:p>
            <w:pPr>
              <w:spacing w:after="40"/>
            </w:pPr>
            <w:r>
              <w:rPr>
                <w:sz w:val="20"/>
              </w:rPr>
              <w:t>Uso interno — engenharia e revisão técnica</w:t>
            </w:r>
          </w:p>
        </w:tc>
      </w:tr>
    </w:tbl>
    <w:p>
      <w:pPr>
        <w:spacing w:after="40"/>
      </w:pPr>
    </w:p>
    <w:p>
      <w:pPr>
        <w:spacing w:after="200"/>
        <w:pBdr>
          <w:bottom w:val="single" w:sz="6" w:space="1" w:color="1F3355"/>
        </w:pBdr>
      </w:pPr>
    </w:p>
    <w:p>
      <w:pPr>
        <w:pStyle w:val="Heading1"/>
      </w:pPr>
      <w:r>
        <w:t>1. Visão de Arquitetura</w:t>
      </w:r>
    </w:p>
    <w:p>
      <w:pPr>
        <w:jc w:val="both"/>
      </w:pPr>
      <w:r>
        <w:t>A solução implementa um data mesh sobre uma arquitetura de lakehouse. O dado de cada domínio é persistido uma única vez, em formato de tabela aberto, sobre um armazenamento de objetos compatível com S3. As consultas são federadas por uma engine única, que cruza domínios no momento da execução — sem mover ou duplicar dados entre eles.</w:t>
      </w:r>
    </w:p>
    <w:p>
      <w:pPr>
        <w:jc w:val="both"/>
      </w:pPr>
      <w:r>
        <w:t>O princípio de zero-copy decorre da separação de responsabilidades: a engine de consulta é quem lê e escreve os arquivos no armazenamento, enquanto o catálogo guarda apenas ponteiros para esses arquivos, versionados por referência (ramo). Criar um ramo não duplica dados — aponta para os mesmos arquivos do ramo principal e grava somente o que muda (copy-on-write).</w:t>
      </w:r>
    </w:p>
    <w:p>
      <w:pPr>
        <w:shd w:val="clear" w:fill="F2F4F7"/>
        <w:pBdr>
          <w:top w:val="single" w:sz="4" w:space="4" w:color="C9CED6"/>
          <w:bottom w:val="single" w:sz="4" w:space="4" w:color="C9CED6"/>
          <w:left w:val="single" w:sz="4" w:space="4" w:color="C9CED6"/>
          <w:right w:val="single" w:sz="4" w:space="4" w:color="C9CED6"/>
        </w:pBdr>
        <w:spacing w:before="80" w:after="200"/>
      </w:pPr>
      <w:r>
        <w:rPr>
          <w:rFonts w:ascii="Consolas" w:hAnsi="Consolas"/>
          <w:sz w:val="18"/>
        </w:rPr>
        <w:t xml:space="preserve">  Domínios (CSV)        Orquestração+Qualidade        Data Lake (S3/MinIO)</w:t>
        <w:br/>
        <w:t xml:space="preserve">  sales.orders   ─┐                                   ┌───────────────────┐</w:t>
        <w:br/>
        <w:t xml:space="preserve">  marketing.cmp ─┴─►  Dagster + Great Expectations ──►│ Apache Iceberg     │</w:t>
        <w:br/>
        <w:t xml:space="preserve">                         (write-audit-publish)        │ Parquet + metadata │</w:t>
        <w:br/>
        <w:t xml:space="preserve">                                  │                    └─────────┬─────────┘</w:t>
        <w:br/>
        <w:t xml:space="preserve">                                  │ branch/merge/rollback        │ lê/escreve</w:t>
        <w:br/>
        <w:t xml:space="preserve">                                  ▼                              ▼</w:t>
        <w:br/>
        <w:t xml:space="preserve">                            Project Nessie  ◄──metadados──►   Trino</w:t>
        <w:br/>
        <w:t xml:space="preserve">                         (catálogo git-like)              (SQL federado)</w:t>
        <w:br/>
        <w:t xml:space="preserve">                          main / etl_branch                     │</w:t>
        <w:br/>
        <w:t xml:space="preserve">                                                                ▼</w:t>
        <w:br/>
        <w:t xml:space="preserve">                                         analytics.revenue_by_campaign (gold)</w:t>
      </w:r>
    </w:p>
    <w:p>
      <w:pPr>
        <w:pStyle w:val="Heading1"/>
      </w:pPr>
      <w:r>
        <w:t>2. Componentes e Responsabilidades</w:t>
      </w:r>
    </w:p>
    <w:tbl>
      <w:tblPr>
        <w:tblStyle w:val="TableGrid"/>
        <w:tblW w:type="auto" w:w="0"/>
        <w:jc w:val="center"/>
        <w:tblLook w:firstColumn="1" w:firstRow="1" w:lastColumn="0" w:lastRow="0" w:noHBand="0" w:noVBand="1" w:val="04A0"/>
      </w:tblPr>
      <w:tblGrid>
        <w:gridCol w:w="4536"/>
        <w:gridCol w:w="4536"/>
      </w:tblGrid>
      <w:tr>
        <w:tc>
          <w:tcPr>
            <w:tcW w:type="dxa" w:w="2304"/>
            <w:shd w:val="clear" w:fill="1F3355"/>
          </w:tcPr>
          <w:p>
            <w:pPr>
              <w:spacing w:after="40" w:before="40"/>
            </w:pPr>
            <w:r/>
            <w:r>
              <w:rPr>
                <w:b/>
                <w:color w:val="FFFFFF"/>
                <w:sz w:val="19"/>
              </w:rPr>
              <w:t>Componente</w:t>
            </w:r>
          </w:p>
        </w:tc>
        <w:tc>
          <w:tcPr>
            <w:tcW w:type="dxa" w:w="6768"/>
            <w:shd w:val="clear" w:fill="1F3355"/>
          </w:tcPr>
          <w:p>
            <w:pPr>
              <w:spacing w:after="40" w:before="40"/>
            </w:pPr>
            <w:r/>
            <w:r>
              <w:rPr>
                <w:b/>
                <w:color w:val="FFFFFF"/>
                <w:sz w:val="19"/>
              </w:rPr>
              <w:t>Responsabilidade</w:t>
            </w:r>
          </w:p>
        </w:tc>
      </w:tr>
      <w:tr>
        <w:tc>
          <w:tcPr>
            <w:tcW w:type="dxa" w:w="2304"/>
          </w:tcPr>
          <w:p>
            <w:pPr>
              <w:spacing w:after="40" w:before="40"/>
            </w:pPr>
            <w:r/>
            <w:r>
              <w:rPr>
                <w:b w:val="0"/>
                <w:sz w:val="19"/>
              </w:rPr>
              <w:t>MinIO</w:t>
            </w:r>
          </w:p>
        </w:tc>
        <w:tc>
          <w:tcPr>
            <w:tcW w:type="dxa" w:w="6768"/>
          </w:tcPr>
          <w:p>
            <w:pPr>
              <w:spacing w:after="40" w:before="40"/>
            </w:pPr>
            <w:r/>
            <w:r>
              <w:rPr>
                <w:b w:val="0"/>
                <w:sz w:val="19"/>
              </w:rPr>
              <w:t>Armazenamento de objetos S3-compatible: arquivos de dados (Parquet) e de metadados do Iceberg.</w:t>
            </w:r>
          </w:p>
        </w:tc>
      </w:tr>
      <w:tr>
        <w:tc>
          <w:tcPr>
            <w:tcW w:type="dxa" w:w="2304"/>
          </w:tcPr>
          <w:p>
            <w:pPr>
              <w:spacing w:after="40" w:before="40"/>
            </w:pPr>
            <w:r/>
            <w:r>
              <w:rPr>
                <w:b w:val="0"/>
                <w:sz w:val="19"/>
              </w:rPr>
              <w:t>Apache Iceberg</w:t>
            </w:r>
          </w:p>
        </w:tc>
        <w:tc>
          <w:tcPr>
            <w:tcW w:type="dxa" w:w="6768"/>
          </w:tcPr>
          <w:p>
            <w:pPr>
              <w:spacing w:after="40" w:before="40"/>
            </w:pPr>
            <w:r/>
            <w:r>
              <w:rPr>
                <w:b w:val="0"/>
                <w:sz w:val="19"/>
              </w:rPr>
              <w:t>Formato de tabela aberto: snapshots imutáveis, particionamento escondido e time-travel.</w:t>
            </w:r>
          </w:p>
        </w:tc>
      </w:tr>
      <w:tr>
        <w:tc>
          <w:tcPr>
            <w:tcW w:type="dxa" w:w="2304"/>
          </w:tcPr>
          <w:p>
            <w:pPr>
              <w:spacing w:after="40" w:before="40"/>
            </w:pPr>
            <w:r/>
            <w:r>
              <w:rPr>
                <w:b w:val="0"/>
                <w:sz w:val="19"/>
              </w:rPr>
              <w:t>Project Nessie</w:t>
            </w:r>
          </w:p>
        </w:tc>
        <w:tc>
          <w:tcPr>
            <w:tcW w:type="dxa" w:w="6768"/>
          </w:tcPr>
          <w:p>
            <w:pPr>
              <w:spacing w:after="40" w:before="40"/>
            </w:pPr>
            <w:r/>
            <w:r>
              <w:rPr>
                <w:b w:val="0"/>
                <w:sz w:val="19"/>
              </w:rPr>
              <w:t>Catálogo com versionamento git-like; mantém ponteiros de metadados por ramo (main, etl_branch).</w:t>
            </w:r>
          </w:p>
        </w:tc>
      </w:tr>
      <w:tr>
        <w:tc>
          <w:tcPr>
            <w:tcW w:type="dxa" w:w="2304"/>
          </w:tcPr>
          <w:p>
            <w:pPr>
              <w:spacing w:after="40" w:before="40"/>
            </w:pPr>
            <w:r/>
            <w:r>
              <w:rPr>
                <w:b w:val="0"/>
                <w:sz w:val="19"/>
              </w:rPr>
              <w:t>Trino</w:t>
            </w:r>
          </w:p>
        </w:tc>
        <w:tc>
          <w:tcPr>
            <w:tcW w:type="dxa" w:w="6768"/>
          </w:tcPr>
          <w:p>
            <w:pPr>
              <w:spacing w:after="40" w:before="40"/>
            </w:pPr>
            <w:r/>
            <w:r>
              <w:rPr>
                <w:b w:val="0"/>
                <w:sz w:val="19"/>
              </w:rPr>
              <w:t>Engine de consulta distribuída e cliente Iceberg; lê/escreve no S3 e executa o SQL federado entre domínios.</w:t>
            </w:r>
          </w:p>
        </w:tc>
      </w:tr>
      <w:tr>
        <w:tc>
          <w:tcPr>
            <w:tcW w:type="dxa" w:w="2304"/>
          </w:tcPr>
          <w:p>
            <w:pPr>
              <w:spacing w:after="40" w:before="40"/>
            </w:pPr>
            <w:r/>
            <w:r>
              <w:rPr>
                <w:b w:val="0"/>
                <w:sz w:val="19"/>
              </w:rPr>
              <w:t>Dagster</w:t>
            </w:r>
          </w:p>
        </w:tc>
        <w:tc>
          <w:tcPr>
            <w:tcW w:type="dxa" w:w="6768"/>
          </w:tcPr>
          <w:p>
            <w:pPr>
              <w:spacing w:after="40" w:before="40"/>
            </w:pPr>
            <w:r/>
            <w:r>
              <w:rPr>
                <w:b w:val="0"/>
                <w:sz w:val="19"/>
              </w:rPr>
              <w:t>Orquestração: tabelas como assets, verificações de qualidade (asset checks), linhagem e jobs.</w:t>
            </w:r>
          </w:p>
        </w:tc>
      </w:tr>
      <w:tr>
        <w:tc>
          <w:tcPr>
            <w:tcW w:type="dxa" w:w="2304"/>
          </w:tcPr>
          <w:p>
            <w:pPr>
              <w:spacing w:after="40" w:before="40"/>
            </w:pPr>
            <w:r/>
            <w:r>
              <w:rPr>
                <w:b w:val="0"/>
                <w:sz w:val="19"/>
              </w:rPr>
              <w:t>Great Expectations</w:t>
            </w:r>
          </w:p>
        </w:tc>
        <w:tc>
          <w:tcPr>
            <w:tcW w:type="dxa" w:w="6768"/>
          </w:tcPr>
          <w:p>
            <w:pPr>
              <w:spacing w:after="40" w:before="40"/>
            </w:pPr>
            <w:r/>
            <w:r>
              <w:rPr>
                <w:b w:val="0"/>
                <w:sz w:val="19"/>
              </w:rPr>
              <w:t>Motor de regras de qualidade executado antes da publicação (auditoria do write-audit-publish).</w:t>
            </w:r>
          </w:p>
        </w:tc>
      </w:tr>
    </w:tbl>
    <w:p>
      <w:pPr>
        <w:spacing w:after="80"/>
      </w:pPr>
    </w:p>
    <w:p>
      <w:pPr>
        <w:pStyle w:val="Heading1"/>
      </w:pPr>
      <w:r>
        <w:t>3. Fluxo de Dados</w:t>
      </w:r>
    </w:p>
    <w:p>
      <w:pPr>
        <w:jc w:val="both"/>
      </w:pPr>
      <w:r>
        <w:t>Ingestão. Para cada domínio, o Dagster carrega os dados de origem, submete-os às regras de qualidade e, somente em caso de aprovação, os grava na tabela Iceberg correspondente no ramo principal — o write efetivo é feito pelo Trino no armazenamento S3.</w:t>
      </w:r>
    </w:p>
    <w:p>
      <w:pPr>
        <w:jc w:val="both"/>
      </w:pPr>
      <w:r>
        <w:t>Consulta cross-domain. A camada analítica (gold) é materializada por uma consulta que cruza os domínios de Vendas e Marketing em uma única requisição, sem cópia intermediária — a integração existe apenas no instante da consulta.</w:t>
      </w:r>
    </w:p>
    <w:p>
      <w:pPr>
        <w:jc w:val="both"/>
      </w:pPr>
      <w:r>
        <w:t>Publicação governada (write-audit-publish). Para alterações controladas, o dado candidato é escrito em um ramo isolado (etl_branch, via um segundo catálogo apontado a essa referência), auditado pelas regras de qualidade e, se aprovado, publicado no ramo principal por um merge atômico; se reprovado, o ramo é descartado (rollback), sem qualquer efeito sobre o ambiente consumido.</w:t>
      </w:r>
    </w:p>
    <w:p>
      <w:pPr>
        <w:pStyle w:val="Heading1"/>
      </w:pPr>
      <w:r>
        <w:t>4. Stack Tecnológica e Justificativa das Escolhas</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val="clear" w:fill="1F3355"/>
          </w:tcPr>
          <w:p>
            <w:pPr>
              <w:spacing w:after="40" w:before="40"/>
            </w:pPr>
            <w:r/>
            <w:r>
              <w:rPr>
                <w:b/>
                <w:color w:val="FFFFFF"/>
                <w:sz w:val="19"/>
              </w:rPr>
              <w:t>Camada</w:t>
            </w:r>
          </w:p>
        </w:tc>
        <w:tc>
          <w:tcPr>
            <w:tcW w:type="dxa" w:w="2016"/>
            <w:shd w:val="clear" w:fill="1F3355"/>
          </w:tcPr>
          <w:p>
            <w:pPr>
              <w:spacing w:after="40" w:before="40"/>
            </w:pPr>
            <w:r/>
            <w:r>
              <w:rPr>
                <w:b/>
                <w:color w:val="FFFFFF"/>
                <w:sz w:val="19"/>
              </w:rPr>
              <w:t>Escolha</w:t>
            </w:r>
          </w:p>
        </w:tc>
        <w:tc>
          <w:tcPr>
            <w:tcW w:type="dxa" w:w="5184"/>
            <w:shd w:val="clear" w:fill="1F3355"/>
          </w:tcPr>
          <w:p>
            <w:pPr>
              <w:spacing w:after="40" w:before="40"/>
            </w:pPr>
            <w:r/>
            <w:r>
              <w:rPr>
                <w:b/>
                <w:color w:val="FFFFFF"/>
                <w:sz w:val="19"/>
              </w:rPr>
              <w:t>Justificativa / alternativa descartada</w:t>
            </w:r>
          </w:p>
        </w:tc>
      </w:tr>
      <w:tr>
        <w:tc>
          <w:tcPr>
            <w:tcW w:type="dxa" w:w="1872"/>
          </w:tcPr>
          <w:p>
            <w:pPr>
              <w:spacing w:after="40" w:before="40"/>
            </w:pPr>
            <w:r/>
            <w:r>
              <w:rPr>
                <w:b w:val="0"/>
                <w:sz w:val="19"/>
              </w:rPr>
              <w:t>Armazenamento</w:t>
            </w:r>
          </w:p>
        </w:tc>
        <w:tc>
          <w:tcPr>
            <w:tcW w:type="dxa" w:w="2016"/>
          </w:tcPr>
          <w:p>
            <w:pPr>
              <w:spacing w:after="40" w:before="40"/>
            </w:pPr>
            <w:r/>
            <w:r>
              <w:rPr>
                <w:b w:val="0"/>
                <w:sz w:val="19"/>
              </w:rPr>
              <w:t>MinIO</w:t>
            </w:r>
          </w:p>
        </w:tc>
        <w:tc>
          <w:tcPr>
            <w:tcW w:type="dxa" w:w="5184"/>
          </w:tcPr>
          <w:p>
            <w:pPr>
              <w:spacing w:after="40" w:before="40"/>
            </w:pPr>
            <w:r/>
            <w:r>
              <w:rPr>
                <w:b w:val="0"/>
                <w:sz w:val="19"/>
              </w:rPr>
              <w:t>S3-compatible local, custo zero; idêntico a S3 em produção.</w:t>
            </w:r>
          </w:p>
        </w:tc>
      </w:tr>
      <w:tr>
        <w:tc>
          <w:tcPr>
            <w:tcW w:type="dxa" w:w="1872"/>
          </w:tcPr>
          <w:p>
            <w:pPr>
              <w:spacing w:after="40" w:before="40"/>
            </w:pPr>
            <w:r/>
            <w:r>
              <w:rPr>
                <w:b w:val="0"/>
                <w:sz w:val="19"/>
              </w:rPr>
              <w:t>Formato de tabela</w:t>
            </w:r>
          </w:p>
        </w:tc>
        <w:tc>
          <w:tcPr>
            <w:tcW w:type="dxa" w:w="2016"/>
          </w:tcPr>
          <w:p>
            <w:pPr>
              <w:spacing w:after="40" w:before="40"/>
            </w:pPr>
            <w:r/>
            <w:r>
              <w:rPr>
                <w:b w:val="0"/>
                <w:sz w:val="19"/>
              </w:rPr>
              <w:t>Apache Iceberg</w:t>
            </w:r>
          </w:p>
        </w:tc>
        <w:tc>
          <w:tcPr>
            <w:tcW w:type="dxa" w:w="5184"/>
          </w:tcPr>
          <w:p>
            <w:pPr>
              <w:spacing w:after="40" w:before="40"/>
            </w:pPr>
            <w:r/>
            <w:r>
              <w:rPr>
                <w:b w:val="0"/>
                <w:sz w:val="19"/>
              </w:rPr>
              <w:t>Padrão aberto com snapshots, hidden partitioning e time-travel.</w:t>
            </w:r>
          </w:p>
        </w:tc>
      </w:tr>
      <w:tr>
        <w:tc>
          <w:tcPr>
            <w:tcW w:type="dxa" w:w="1872"/>
          </w:tcPr>
          <w:p>
            <w:pPr>
              <w:spacing w:after="40" w:before="40"/>
            </w:pPr>
            <w:r/>
            <w:r>
              <w:rPr>
                <w:b w:val="0"/>
                <w:sz w:val="19"/>
              </w:rPr>
              <w:t>Catálogo</w:t>
            </w:r>
          </w:p>
        </w:tc>
        <w:tc>
          <w:tcPr>
            <w:tcW w:type="dxa" w:w="2016"/>
          </w:tcPr>
          <w:p>
            <w:pPr>
              <w:spacing w:after="40" w:before="40"/>
            </w:pPr>
            <w:r/>
            <w:r>
              <w:rPr>
                <w:b w:val="0"/>
                <w:sz w:val="19"/>
              </w:rPr>
              <w:t>Project Nessie</w:t>
            </w:r>
          </w:p>
        </w:tc>
        <w:tc>
          <w:tcPr>
            <w:tcW w:type="dxa" w:w="5184"/>
          </w:tcPr>
          <w:p>
            <w:pPr>
              <w:spacing w:after="40" w:before="40"/>
            </w:pPr>
            <w:r/>
            <w:r>
              <w:rPr>
                <w:b w:val="0"/>
                <w:sz w:val="19"/>
              </w:rPr>
              <w:t>Versionamento git-like (branch/merge/rollback); o AWS Glue não oferece branching.</w:t>
            </w:r>
          </w:p>
        </w:tc>
      </w:tr>
      <w:tr>
        <w:tc>
          <w:tcPr>
            <w:tcW w:type="dxa" w:w="1872"/>
          </w:tcPr>
          <w:p>
            <w:pPr>
              <w:spacing w:after="40" w:before="40"/>
            </w:pPr>
            <w:r/>
            <w:r>
              <w:rPr>
                <w:b w:val="0"/>
                <w:sz w:val="19"/>
              </w:rPr>
              <w:t>Engine de consulta</w:t>
            </w:r>
          </w:p>
        </w:tc>
        <w:tc>
          <w:tcPr>
            <w:tcW w:type="dxa" w:w="2016"/>
          </w:tcPr>
          <w:p>
            <w:pPr>
              <w:spacing w:after="40" w:before="40"/>
            </w:pPr>
            <w:r/>
            <w:r>
              <w:rPr>
                <w:b w:val="0"/>
                <w:sz w:val="19"/>
              </w:rPr>
              <w:t>Trino</w:t>
            </w:r>
          </w:p>
        </w:tc>
        <w:tc>
          <w:tcPr>
            <w:tcW w:type="dxa" w:w="5184"/>
          </w:tcPr>
          <w:p>
            <w:pPr>
              <w:spacing w:after="40" w:before="40"/>
            </w:pPr>
            <w:r/>
            <w:r>
              <w:rPr>
                <w:b w:val="0"/>
                <w:sz w:val="19"/>
              </w:rPr>
              <w:t>SQL federado e distribuído; cliente Iceberg que escreve direto no S3 (habilita zero-copy).</w:t>
            </w:r>
          </w:p>
        </w:tc>
      </w:tr>
      <w:tr>
        <w:tc>
          <w:tcPr>
            <w:tcW w:type="dxa" w:w="1872"/>
          </w:tcPr>
          <w:p>
            <w:pPr>
              <w:spacing w:after="40" w:before="40"/>
            </w:pPr>
            <w:r/>
            <w:r>
              <w:rPr>
                <w:b w:val="0"/>
                <w:sz w:val="19"/>
              </w:rPr>
              <w:t>Orquestração</w:t>
            </w:r>
          </w:p>
        </w:tc>
        <w:tc>
          <w:tcPr>
            <w:tcW w:type="dxa" w:w="2016"/>
          </w:tcPr>
          <w:p>
            <w:pPr>
              <w:spacing w:after="40" w:before="40"/>
            </w:pPr>
            <w:r/>
            <w:r>
              <w:rPr>
                <w:b w:val="0"/>
                <w:sz w:val="19"/>
              </w:rPr>
              <w:t>Dagster</w:t>
            </w:r>
          </w:p>
        </w:tc>
        <w:tc>
          <w:tcPr>
            <w:tcW w:type="dxa" w:w="5184"/>
          </w:tcPr>
          <w:p>
            <w:pPr>
              <w:spacing w:after="40" w:before="40"/>
            </w:pPr>
            <w:r/>
            <w:r>
              <w:rPr>
                <w:b w:val="0"/>
                <w:sz w:val="19"/>
              </w:rPr>
              <w:t>Orientado a assets, com linhagem e checks bloqueantes; mais aderente que Airflow a este caso.</w:t>
            </w:r>
          </w:p>
        </w:tc>
      </w:tr>
      <w:tr>
        <w:tc>
          <w:tcPr>
            <w:tcW w:type="dxa" w:w="1872"/>
          </w:tcPr>
          <w:p>
            <w:pPr>
              <w:spacing w:after="40" w:before="40"/>
            </w:pPr>
            <w:r/>
            <w:r>
              <w:rPr>
                <w:b w:val="0"/>
                <w:sz w:val="19"/>
              </w:rPr>
              <w:t>Qualidade</w:t>
            </w:r>
          </w:p>
        </w:tc>
        <w:tc>
          <w:tcPr>
            <w:tcW w:type="dxa" w:w="2016"/>
          </w:tcPr>
          <w:p>
            <w:pPr>
              <w:spacing w:after="40" w:before="40"/>
            </w:pPr>
            <w:r/>
            <w:r>
              <w:rPr>
                <w:b w:val="0"/>
                <w:sz w:val="19"/>
              </w:rPr>
              <w:t>Great Expectations</w:t>
            </w:r>
          </w:p>
        </w:tc>
        <w:tc>
          <w:tcPr>
            <w:tcW w:type="dxa" w:w="5184"/>
          </w:tcPr>
          <w:p>
            <w:pPr>
              <w:spacing w:after="40" w:before="40"/>
            </w:pPr>
            <w:r/>
            <w:r>
              <w:rPr>
                <w:b w:val="0"/>
                <w:sz w:val="19"/>
              </w:rPr>
              <w:t>Regras declarativas de qualidade integradas como gate de publicação.</w:t>
            </w:r>
          </w:p>
        </w:tc>
      </w:tr>
    </w:tbl>
    <w:p>
      <w:pPr>
        <w:spacing w:after="80"/>
      </w:pPr>
    </w:p>
    <w:p>
      <w:pPr>
        <w:pStyle w:val="Heading1"/>
      </w:pPr>
      <w:r>
        <w:t>5. Decisões de Arquitetura (ADR)</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val="clear" w:fill="1F3355"/>
          </w:tcPr>
          <w:p>
            <w:pPr>
              <w:spacing w:after="40" w:before="40"/>
            </w:pPr>
            <w:r/>
            <w:r>
              <w:rPr>
                <w:b/>
                <w:color w:val="FFFFFF"/>
                <w:sz w:val="19"/>
              </w:rPr>
              <w:t>ID</w:t>
            </w:r>
          </w:p>
        </w:tc>
        <w:tc>
          <w:tcPr>
            <w:tcW w:type="dxa" w:w="4032"/>
            <w:shd w:val="clear" w:fill="1F3355"/>
          </w:tcPr>
          <w:p>
            <w:pPr>
              <w:spacing w:after="40" w:before="40"/>
            </w:pPr>
            <w:r/>
            <w:r>
              <w:rPr>
                <w:b/>
                <w:color w:val="FFFFFF"/>
                <w:sz w:val="19"/>
              </w:rPr>
              <w:t>Decisão</w:t>
            </w:r>
          </w:p>
        </w:tc>
        <w:tc>
          <w:tcPr>
            <w:tcW w:type="dxa" w:w="4032"/>
            <w:shd w:val="clear" w:fill="1F3355"/>
          </w:tcPr>
          <w:p>
            <w:pPr>
              <w:spacing w:after="40" w:before="40"/>
            </w:pPr>
            <w:r/>
            <w:r>
              <w:rPr>
                <w:b/>
                <w:color w:val="FFFFFF"/>
                <w:sz w:val="19"/>
              </w:rPr>
              <w:t>Consequência</w:t>
            </w:r>
          </w:p>
        </w:tc>
      </w:tr>
      <w:tr>
        <w:tc>
          <w:tcPr>
            <w:tcW w:type="dxa" w:w="1008"/>
          </w:tcPr>
          <w:p>
            <w:pPr>
              <w:spacing w:after="40" w:before="40"/>
            </w:pPr>
            <w:r/>
            <w:r>
              <w:rPr>
                <w:b w:val="0"/>
                <w:sz w:val="19"/>
              </w:rPr>
              <w:t>ADR-01</w:t>
            </w:r>
          </w:p>
        </w:tc>
        <w:tc>
          <w:tcPr>
            <w:tcW w:type="dxa" w:w="4032"/>
          </w:tcPr>
          <w:p>
            <w:pPr>
              <w:spacing w:after="40" w:before="40"/>
            </w:pPr>
            <w:r/>
            <w:r>
              <w:rPr>
                <w:b w:val="0"/>
                <w:sz w:val="19"/>
              </w:rPr>
              <w:t>Catálogo Nessie nativo (em vez de Glue/REST).</w:t>
            </w:r>
          </w:p>
        </w:tc>
        <w:tc>
          <w:tcPr>
            <w:tcW w:type="dxa" w:w="4032"/>
          </w:tcPr>
          <w:p>
            <w:pPr>
              <w:spacing w:after="40" w:before="40"/>
            </w:pPr>
            <w:r/>
            <w:r>
              <w:rPr>
                <w:b w:val="0"/>
                <w:sz w:val="19"/>
              </w:rPr>
              <w:t>Habilita data-as-code (branches); estado de versionamento sob controle do projeto.</w:t>
            </w:r>
          </w:p>
        </w:tc>
      </w:tr>
      <w:tr>
        <w:tc>
          <w:tcPr>
            <w:tcW w:type="dxa" w:w="1008"/>
          </w:tcPr>
          <w:p>
            <w:pPr>
              <w:spacing w:after="40" w:before="40"/>
            </w:pPr>
            <w:r/>
            <w:r>
              <w:rPr>
                <w:b w:val="0"/>
                <w:sz w:val="19"/>
              </w:rPr>
              <w:t>ADR-02</w:t>
            </w:r>
          </w:p>
        </w:tc>
        <w:tc>
          <w:tcPr>
            <w:tcW w:type="dxa" w:w="4032"/>
          </w:tcPr>
          <w:p>
            <w:pPr>
              <w:spacing w:after="40" w:before="40"/>
            </w:pPr>
            <w:r/>
            <w:r>
              <w:rPr>
                <w:b w:val="0"/>
                <w:sz w:val="19"/>
              </w:rPr>
              <w:t>Trino com filesystem S3 nativo; Nessie guarda só ponteiros.</w:t>
            </w:r>
          </w:p>
        </w:tc>
        <w:tc>
          <w:tcPr>
            <w:tcW w:type="dxa" w:w="4032"/>
          </w:tcPr>
          <w:p>
            <w:pPr>
              <w:spacing w:after="40" w:before="40"/>
            </w:pPr>
            <w:r/>
            <w:r>
              <w:rPr>
                <w:b w:val="0"/>
                <w:sz w:val="19"/>
              </w:rPr>
              <w:t>A escrita de dados fica na engine; o catálogo não duplica dados — base do zero-copy.</w:t>
            </w:r>
          </w:p>
        </w:tc>
      </w:tr>
      <w:tr>
        <w:tc>
          <w:tcPr>
            <w:tcW w:type="dxa" w:w="1008"/>
          </w:tcPr>
          <w:p>
            <w:pPr>
              <w:spacing w:after="40" w:before="40"/>
            </w:pPr>
            <w:r/>
            <w:r>
              <w:rPr>
                <w:b w:val="0"/>
                <w:sz w:val="19"/>
              </w:rPr>
              <w:t>ADR-03</w:t>
            </w:r>
          </w:p>
        </w:tc>
        <w:tc>
          <w:tcPr>
            <w:tcW w:type="dxa" w:w="4032"/>
          </w:tcPr>
          <w:p>
            <w:pPr>
              <w:spacing w:after="40" w:before="40"/>
            </w:pPr>
            <w:r/>
            <w:r>
              <w:rPr>
                <w:b w:val="0"/>
                <w:sz w:val="19"/>
              </w:rPr>
              <w:t>Orquestração orientada a assets (Dagster).</w:t>
            </w:r>
          </w:p>
        </w:tc>
        <w:tc>
          <w:tcPr>
            <w:tcW w:type="dxa" w:w="4032"/>
          </w:tcPr>
          <w:p>
            <w:pPr>
              <w:spacing w:after="40" w:before="40"/>
            </w:pPr>
            <w:r/>
            <w:r>
              <w:rPr>
                <w:b w:val="0"/>
                <w:sz w:val="19"/>
              </w:rPr>
              <w:t>Tabelas viram assets versionáveis; checks bloqueantes barram dado ruim a montante.</w:t>
            </w:r>
          </w:p>
        </w:tc>
      </w:tr>
      <w:tr>
        <w:tc>
          <w:tcPr>
            <w:tcW w:type="dxa" w:w="1008"/>
          </w:tcPr>
          <w:p>
            <w:pPr>
              <w:spacing w:after="40" w:before="40"/>
            </w:pPr>
            <w:r/>
            <w:r>
              <w:rPr>
                <w:b w:val="0"/>
                <w:sz w:val="19"/>
              </w:rPr>
              <w:t>ADR-04</w:t>
            </w:r>
          </w:p>
        </w:tc>
        <w:tc>
          <w:tcPr>
            <w:tcW w:type="dxa" w:w="4032"/>
          </w:tcPr>
          <w:p>
            <w:pPr>
              <w:spacing w:after="40" w:before="40"/>
            </w:pPr>
            <w:r/>
            <w:r>
              <w:rPr>
                <w:b w:val="0"/>
                <w:sz w:val="19"/>
              </w:rPr>
              <w:t>Dois catálogos Trino: ramo principal e ramo de trabalho.</w:t>
            </w:r>
          </w:p>
        </w:tc>
        <w:tc>
          <w:tcPr>
            <w:tcW w:type="dxa" w:w="4032"/>
          </w:tcPr>
          <w:p>
            <w:pPr>
              <w:spacing w:after="40" w:before="40"/>
            </w:pPr>
            <w:r/>
            <w:r>
              <w:rPr>
                <w:b w:val="0"/>
                <w:sz w:val="19"/>
              </w:rPr>
              <w:t>Permite escrita isolada e publicação atômica por merge (write-audit-publish).</w:t>
            </w:r>
          </w:p>
        </w:tc>
      </w:tr>
      <w:tr>
        <w:tc>
          <w:tcPr>
            <w:tcW w:type="dxa" w:w="1008"/>
          </w:tcPr>
          <w:p>
            <w:pPr>
              <w:spacing w:after="40" w:before="40"/>
            </w:pPr>
            <w:r/>
            <w:r>
              <w:rPr>
                <w:b w:val="0"/>
                <w:sz w:val="19"/>
              </w:rPr>
              <w:t>ADR-05</w:t>
            </w:r>
          </w:p>
        </w:tc>
        <w:tc>
          <w:tcPr>
            <w:tcW w:type="dxa" w:w="4032"/>
          </w:tcPr>
          <w:p>
            <w:pPr>
              <w:spacing w:after="40" w:before="40"/>
            </w:pPr>
            <w:r/>
            <w:r>
              <w:rPr>
                <w:b w:val="0"/>
                <w:sz w:val="19"/>
              </w:rPr>
              <w:t>Catálogo em memória no ambiente de demonstração.</w:t>
            </w:r>
          </w:p>
        </w:tc>
        <w:tc>
          <w:tcPr>
            <w:tcW w:type="dxa" w:w="4032"/>
          </w:tcPr>
          <w:p>
            <w:pPr>
              <w:spacing w:after="40" w:before="40"/>
            </w:pPr>
            <w:r/>
            <w:r>
              <w:rPr>
                <w:b w:val="0"/>
                <w:sz w:val="19"/>
              </w:rPr>
              <w:t>Simplicidade máxima; trade-off: estado de versionamento é efêmero entre reinícios.</w:t>
            </w:r>
          </w:p>
        </w:tc>
      </w:tr>
      <w:tr>
        <w:tc>
          <w:tcPr>
            <w:tcW w:type="dxa" w:w="1008"/>
          </w:tcPr>
          <w:p>
            <w:pPr>
              <w:spacing w:after="40" w:before="40"/>
            </w:pPr>
            <w:r/>
            <w:r>
              <w:rPr>
                <w:b w:val="0"/>
                <w:sz w:val="19"/>
              </w:rPr>
              <w:t>ADR-06</w:t>
            </w:r>
          </w:p>
        </w:tc>
        <w:tc>
          <w:tcPr>
            <w:tcW w:type="dxa" w:w="4032"/>
          </w:tcPr>
          <w:p>
            <w:pPr>
              <w:spacing w:after="40" w:before="40"/>
            </w:pPr>
            <w:r/>
            <w:r>
              <w:rPr>
                <w:b w:val="0"/>
                <w:sz w:val="19"/>
              </w:rPr>
              <w:t>Ingestão por inserção direta no estágio atual.</w:t>
            </w:r>
          </w:p>
        </w:tc>
        <w:tc>
          <w:tcPr>
            <w:tcW w:type="dxa" w:w="4032"/>
          </w:tcPr>
          <w:p>
            <w:pPr>
              <w:spacing w:after="40" w:before="40"/>
            </w:pPr>
            <w:r/>
            <w:r>
              <w:rPr>
                <w:b w:val="0"/>
                <w:sz w:val="19"/>
              </w:rPr>
              <w:t>Adequada a volumes didáticos; evolução prevista para processamento distribuído.</w:t>
            </w:r>
          </w:p>
        </w:tc>
      </w:tr>
    </w:tbl>
    <w:p>
      <w:pPr>
        <w:spacing w:after="80"/>
      </w:pPr>
    </w:p>
    <w:p>
      <w:pPr>
        <w:pStyle w:val="Heading1"/>
      </w:pPr>
      <w:r>
        <w:t>6. Considerações de Segurança e Operação</w:t>
      </w:r>
    </w:p>
    <w:p>
      <w:pPr>
        <w:jc w:val="both"/>
      </w:pPr>
      <w:r>
        <w:t>As credenciais de acesso ao armazenamento são parametrizadas por variáveis de ambiente, e a comunicação entre os serviços ocorre em uma rede de contêineres dedicada. Cada serviço expõe verificação de saúde (healthcheck), e o ambiente é provisionado e operado por orquestração de contêineres.</w:t>
      </w:r>
    </w:p>
    <w:p>
      <w:pPr>
        <w:jc w:val="both"/>
      </w:pPr>
      <w:r>
        <w:t>Operação típica: provisionamento do ambiente com um único comando; materialização dos assets para popular o ramo principal; execução da rotina de publicação governada; e consulta pela engine. As interfaces de orquestração, consulta, armazenamento e catálogo ficam acessíveis localmente em portas dedicadas.</w:t>
      </w:r>
    </w:p>
    <w:p>
      <w:pPr>
        <w:pStyle w:val="Heading1"/>
      </w:pPr>
      <w:r>
        <w:t>7. Limitações Conhecidas</w:t>
      </w:r>
    </w:p>
    <w:p>
      <w:pPr>
        <w:pStyle w:val="ListBullet"/>
      </w:pPr>
      <w:r>
        <w:t>Estado de versionamento efêmero, em razão do catálogo em memória (mitigável com armazenamento persistente).</w:t>
      </w:r>
    </w:p>
    <w:p>
      <w:pPr>
        <w:pStyle w:val="ListBullet"/>
      </w:pPr>
      <w:r>
        <w:t>Topologia de nó único, sem alta disponibilidade.</w:t>
      </w:r>
    </w:p>
    <w:p>
      <w:pPr>
        <w:pStyle w:val="ListBullet"/>
      </w:pPr>
      <w:r>
        <w:t>Ausência de autenticação/autorização de usuários finais.</w:t>
      </w:r>
    </w:p>
    <w:p>
      <w:pPr>
        <w:pStyle w:val="ListBullet"/>
      </w:pPr>
      <w:r>
        <w:t>Ingestão por inserção direta, não destinada a grandes volumes no estágio atual.</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A55"/>
        <w:sz w:val="16"/>
      </w:rPr>
      <w:t xml:space="preserve">Grupo Aurora Varejo S.A.  ·  Documento de Arquitetura da Solução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3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3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Arquitetura da Solução — Data Mesh Zero-Copy</dc:title>
  <dc:subject>Arquitetura da Solução</dc:subject>
  <dc:creator>Equipe de Engenharia de Dados</dc:creator>
  <cp:keywords/>
  <dc:description>generated by python-docx</dc:description>
  <cp:lastModifiedBy/>
  <cp:revision>1</cp:revision>
  <dcterms:created xsi:type="dcterms:W3CDTF">2013-12-23T23:15:00Z</dcterms:created>
  <dcterms:modified xsi:type="dcterms:W3CDTF">2013-12-23T23:15:00Z</dcterms:modified>
  <cp:category>Documento Técnico</cp:category>
</cp:coreProperties>
</file>