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355"/>
          <w:sz w:val="46"/>
        </w:rPr>
        <w:t>Plano de Validação e Aceite</w:t>
      </w:r>
    </w:p>
    <w:p>
      <w:pPr>
        <w:spacing w:after="320"/>
      </w:pPr>
      <w:r>
        <w:rPr>
          <w:i/>
          <w:color w:val="444A55"/>
          <w:sz w:val="26"/>
        </w:rPr>
        <w:t>Plataforma de Dados Descentralizada — Data Mesh Zero-Copy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Cliente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Grupo Aurora Varejo S.A. (cenário ilustrativo)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Documento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Plano de Validação e Aceite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Versão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Data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30 de junho de 2026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Elaborado por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Equipe de Engenharia de Dados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355"/>
                <w:sz w:val="20"/>
              </w:rPr>
              <w:t>Classificação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Uso interno — validação e aceite</w:t>
            </w:r>
          </w:p>
        </w:tc>
      </w:tr>
    </w:tbl>
    <w:p>
      <w:pPr>
        <w:spacing w:after="40"/>
      </w:pPr>
    </w:p>
    <w:p>
      <w:pPr>
        <w:spacing w:after="200"/>
        <w:pBdr>
          <w:bottom w:val="single" w:sz="6" w:space="1" w:color="1F3355"/>
        </w:pBdr>
      </w:pPr>
    </w:p>
    <w:p>
      <w:pPr>
        <w:pStyle w:val="Heading1"/>
      </w:pPr>
      <w:r>
        <w:t>1. Estratégia de Validação</w:t>
      </w:r>
    </w:p>
    <w:p>
      <w:pPr>
        <w:jc w:val="both"/>
      </w:pPr>
      <w:r>
        <w:t>A validação é conduzida por demonstração e execução real do ambiente, de ponta a ponta. Cada requisito-chave é coberto por um caso de aceite com pré-condição, passos, resultado esperado e resultado efetivamente obtido. As evidências da Seção 4 reproduzem a saída real registrada durante a execução. Adota-se como princípio que uma funcionalidade só é considerada aceita quando observada em funcionamento — não basta estar implementada.</w:t>
      </w:r>
    </w:p>
    <w:p>
      <w:pPr>
        <w:pStyle w:val="Heading1"/>
      </w:pPr>
      <w:r>
        <w:t>2. Casos de Aceite</w:t>
      </w:r>
    </w:p>
    <w:p>
      <w:pPr>
        <w:pStyle w:val="Heading2"/>
      </w:pPr>
      <w:r>
        <w:t>CA-01 — Provisionamento do 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Requisitos cobertos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RNF-02, RNF-03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Pré-condição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Host com contêineres disponível.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Passos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Provisionar o ambiente com um único comando e verificar a saúde dos serviços.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Todos os serviços saudáveis e interfaces acessíveis.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obtido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Serviços de armazenamento, catálogo, consulta e orquestração saudáveis; interfaces responderam HTTP 200 (orquestração, consulta e catálogo).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</w:tbl>
    <w:p>
      <w:pPr>
        <w:spacing w:after="80"/>
      </w:pPr>
    </w:p>
    <w:p>
      <w:pPr>
        <w:pStyle w:val="Heading2"/>
      </w:pPr>
      <w:r>
        <w:t>CA-02 — Ingestão e materialização dos domínios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Requisitos cobertos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RF-01, RF-02, RF-08, RF-09, RNF-09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Pré-condição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Ambiente provisionado (CA-01).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Passos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Materializar os assets de Vendas, Marketing e da camada analítica.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Execução concluída com sucesso e tabelas populadas.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obtido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Execução concluída com sucesso; Vendas = 400 registros, Marketing = 8, camada analítica = 8.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</w:tbl>
    <w:p>
      <w:pPr>
        <w:spacing w:after="80"/>
      </w:pPr>
    </w:p>
    <w:p>
      <w:pPr>
        <w:pStyle w:val="Heading2"/>
      </w:pPr>
      <w:r>
        <w:t>CA-03 — Consulta cross-domain sem cópia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Requisitos cobertos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RF-03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Pré-condição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Domínios materializados (CA-02).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Passos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Consultar a camada analítica que cruza Vendas e Marketing em uma única requisição.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Receita e ROI por campanha, sem duplicação de dados entre domínios.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obtido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Retornadas 8 campanhas com receita e ROI (ex.: campanha com 54 pedidos e receita de 51.896,29).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</w:tbl>
    <w:p>
      <w:pPr>
        <w:spacing w:after="80"/>
      </w:pPr>
    </w:p>
    <w:p>
      <w:pPr>
        <w:pStyle w:val="Heading2"/>
      </w:pPr>
      <w:r>
        <w:t>CA-04 — Qualidade no write (bloqueio)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Requisitos cobertos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RF-05, RNF-07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Pré-condição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Ambiente provisionado.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Passos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Submeter um lote com valor negativo e identificador de campanha nulo.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As regras de qualidade reprovam o lote e a publicação é bloqueada.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obtido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Validação reprovada: falhas em não-nulidade (campaign_id) e faixa de valores (amount). Dado não publicado.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</w:tbl>
    <w:p>
      <w:pPr>
        <w:spacing w:after="80"/>
      </w:pPr>
    </w:p>
    <w:p>
      <w:pPr>
        <w:pStyle w:val="Heading2"/>
      </w:pPr>
      <w:r>
        <w:t>CA-05 — Publicação governada e reversão (data-as-code)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Requisitos cobertos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RF-04, RF-06, RF-07, RNF-05, RNF-06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Pré-condição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Ambiente provisionado e domínios materializados.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Passos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Executar a rotina write-audit-publish com um lote reprovável e um lote válido.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Lote reprovado é revertido sem afetar o ramo principal; lote válido é publicado por merge atômico.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obtido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Ramo principal permaneceu em 400 durante a reprovação (rollback) e passou a 403 após o merge do lote válido (delta +3).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</w:tbl>
    <w:p>
      <w:pPr>
        <w:spacing w:after="80"/>
      </w:pPr>
    </w:p>
    <w:p>
      <w:pPr>
        <w:pStyle w:val="Heading2"/>
      </w:pPr>
      <w:r>
        <w:t>CA-06 — Otimização física das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Requisitos cobertos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RF-10, RNF-04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Pré-condição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Domínio de Vendas materializado.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Passos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Inspecionar as partições, aplicar ordenação e compactação, e recontar arquivos.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Partições por dia (particionamento escondido) e compactação executada.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obtido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Partições por dia de order_ts listadas; ordenação definida e rotina de compactação executada com sucesso.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</w:tbl>
    <w:p>
      <w:pPr>
        <w:spacing w:after="80"/>
      </w:pPr>
    </w:p>
    <w:p>
      <w:pPr>
        <w:pStyle w:val="Heading2"/>
      </w:pPr>
      <w:r>
        <w:t>CA-07 — Histórico e time-travel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Requisitos cobertos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RF-11 (prioridade Could), RNF-06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Pré-condição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Tabela com mais de um snapshot.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Passos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Consultar o histórico de snapshots e ler uma versão histórica da tabela.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Histórico disponível e leitura por versão funcional.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Resultado obtido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Os snapshots são gerados automaticamente a cada escrita; a consulta formal de histórico/time-travel não foi executada neste ciclo de validação.</w:t>
            </w:r>
          </w:p>
        </w:tc>
      </w:tr>
      <w:tr>
        <w:tc>
          <w:tcPr>
            <w:tcW w:type="dxa" w:w="2448"/>
            <w:shd w:val="clear" w:fill="EEF1F5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/>
                <w:color w:val="B76E00"/>
                <w:sz w:val="19"/>
              </w:rPr>
              <w:t>Pendente de execução formal</w:t>
            </w:r>
          </w:p>
        </w:tc>
      </w:tr>
    </w:tbl>
    <w:p>
      <w:pPr>
        <w:spacing w:after="80"/>
      </w:pPr>
    </w:p>
    <w:p>
      <w:pPr>
        <w:pStyle w:val="Heading1"/>
      </w:pPr>
      <w:r>
        <w:t>3. Matriz de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52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5328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Requisitos cobertos</w:t>
            </w:r>
          </w:p>
        </w:tc>
        <w:tc>
          <w:tcPr>
            <w:tcW w:type="dxa" w:w="2592"/>
            <w:shd w:val="clear" w:fill="1F3355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CA-01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RNF-02, RNF-03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CA-02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RF-01, RF-02, RF-08, RF-09, RNF-09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CA-03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RF-03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CA-04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RF-05, RNF-07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CA-05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RF-04, RF-06, RF-07, RNF-05, RNF-06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CA-06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RF-10, RNF-04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color w:val="1E7D32"/>
                <w:sz w:val="19"/>
              </w:rPr>
              <w:t>Aprovado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CA-07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RF-11, RNF-06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color w:val="B76E00"/>
                <w:sz w:val="19"/>
              </w:rPr>
              <w:t>Pendente</w:t>
            </w:r>
          </w:p>
        </w:tc>
      </w:tr>
    </w:tbl>
    <w:p>
      <w:pPr>
        <w:spacing w:after="80"/>
      </w:pPr>
    </w:p>
    <w:p>
      <w:pPr>
        <w:pStyle w:val="Heading1"/>
      </w:pPr>
      <w:r>
        <w:t>4. Evidências de Execução</w:t>
      </w:r>
    </w:p>
    <w:p>
      <w:pPr>
        <w:jc w:val="both"/>
      </w:pPr>
      <w:r>
        <w:t>As saídas a seguir foram registradas durante a execução real do ambiente e sustentam os casos de aceite da Seção 2.</w:t>
      </w:r>
    </w:p>
    <w:p>
      <w:pPr>
        <w:spacing w:after="40"/>
      </w:pPr>
      <w:r>
        <w:rPr>
          <w:b/>
          <w:color w:val="1F3355"/>
          <w:sz w:val="20"/>
        </w:rPr>
        <w:t>4.1 Saúde dos serviços (CA-01)</w:t>
      </w:r>
    </w:p>
    <w:p>
      <w:pPr>
        <w:shd w:val="clear" w:fill="F2F4F7"/>
        <w:pBdr>
          <w:top w:val="single" w:sz="4" w:space="4" w:color="C9CED6"/>
          <w:bottom w:val="single" w:sz="4" w:space="4" w:color="C9CED6"/>
          <w:left w:val="single" w:sz="4" w:space="4" w:color="C9CED6"/>
          <w:right w:val="single" w:sz="4" w:space="4" w:color="C9CED6"/>
        </w:pBdr>
        <w:spacing w:before="40" w:after="200"/>
      </w:pPr>
      <w:r>
        <w:rPr>
          <w:rFonts w:ascii="Consolas" w:hAnsi="Consolas"/>
          <w:sz w:val="17"/>
        </w:rPr>
        <w:t>dagster :3000  -&gt; 200</w:t>
        <w:br/>
        <w:t>trino   :8085  -&gt; 200</w:t>
        <w:br/>
        <w:t>nessie  :19120 -&gt; 200</w:t>
      </w:r>
    </w:p>
    <w:p>
      <w:pPr>
        <w:spacing w:after="40"/>
      </w:pPr>
      <w:r>
        <w:rPr>
          <w:b/>
          <w:color w:val="1F3355"/>
          <w:sz w:val="20"/>
        </w:rPr>
        <w:t>4.2 Materialização e contagens (CA-02)</w:t>
      </w:r>
    </w:p>
    <w:p>
      <w:pPr>
        <w:shd w:val="clear" w:fill="F2F4F7"/>
        <w:pBdr>
          <w:top w:val="single" w:sz="4" w:space="4" w:color="C9CED6"/>
          <w:bottom w:val="single" w:sz="4" w:space="4" w:color="C9CED6"/>
          <w:left w:val="single" w:sz="4" w:space="4" w:color="C9CED6"/>
          <w:right w:val="single" w:sz="4" w:space="4" w:color="C9CED6"/>
        </w:pBdr>
        <w:spacing w:before="40" w:after="200"/>
      </w:pPr>
      <w:r>
        <w:rPr>
          <w:rFonts w:ascii="Consolas" w:hAnsi="Consolas"/>
          <w:sz w:val="17"/>
        </w:rPr>
        <w:t>RUN_SUCCESS - Finished execution of run for "__ASSET_JOB".</w:t>
        <w:br/>
        <w:t>marketing.campaigns           = 8</w:t>
        <w:br/>
        <w:t>sales.orders                  = 400</w:t>
        <w:br/>
        <w:t>analytics.revenue_by_campaign = 8</w:t>
      </w:r>
    </w:p>
    <w:p>
      <w:pPr>
        <w:spacing w:after="40"/>
      </w:pPr>
      <w:r>
        <w:rPr>
          <w:b/>
          <w:color w:val="1F3355"/>
          <w:sz w:val="20"/>
        </w:rPr>
        <w:t>4.3 Consulta cross-domain — camada analítica (CA-03)</w:t>
      </w:r>
    </w:p>
    <w:p>
      <w:pPr>
        <w:shd w:val="clear" w:fill="F2F4F7"/>
        <w:pBdr>
          <w:top w:val="single" w:sz="4" w:space="4" w:color="C9CED6"/>
          <w:bottom w:val="single" w:sz="4" w:space="4" w:color="C9CED6"/>
          <w:left w:val="single" w:sz="4" w:space="4" w:color="C9CED6"/>
          <w:right w:val="single" w:sz="4" w:space="4" w:color="C9CED6"/>
        </w:pBdr>
        <w:spacing w:before="40" w:after="200"/>
      </w:pPr>
      <w:r>
        <w:rPr>
          <w:rFonts w:ascii="Consolas" w:hAnsi="Consolas"/>
          <w:sz w:val="17"/>
        </w:rPr>
        <w:t>campaign_name   channel       orders  revenue     roi</w:t>
        <w:br/>
        <w:t>Pro Bundle      paid_search   54      51896.29    1.153</w:t>
        <w:br/>
        <w:t>Spring Refresh  affiliate     61      49490.71    3.299</w:t>
        <w:br/>
        <w:t>Loyalty Rewards email         53      44787.48    2.239</w:t>
        <w:br/>
        <w:t>Back to Work    social        50      42663.28    1.422</w:t>
      </w:r>
    </w:p>
    <w:p>
      <w:pPr>
        <w:spacing w:after="40"/>
      </w:pPr>
      <w:r>
        <w:rPr>
          <w:b/>
          <w:color w:val="1F3355"/>
          <w:sz w:val="20"/>
        </w:rPr>
        <w:t>4.4 Qualidade no write e data-as-code (CA-04 / CA-05)</w:t>
      </w:r>
    </w:p>
    <w:p>
      <w:pPr>
        <w:shd w:val="clear" w:fill="F2F4F7"/>
        <w:pBdr>
          <w:top w:val="single" w:sz="4" w:space="4" w:color="C9CED6"/>
          <w:bottom w:val="single" w:sz="4" w:space="4" w:color="C9CED6"/>
          <w:left w:val="single" w:sz="4" w:space="4" w:color="C9CED6"/>
          <w:right w:val="single" w:sz="4" w:space="4" w:color="C9CED6"/>
        </w:pBdr>
        <w:spacing w:before="40" w:after="200"/>
      </w:pPr>
      <w:r>
        <w:rPr>
          <w:rFonts w:ascii="Consolas" w:hAnsi="Consolas"/>
          <w:sz w:val="17"/>
        </w:rPr>
        <w:t>main.orders ANTES = 400</w:t>
        <w:br/>
        <w:t>=== Lote 'RUIM' === GE success=False</w:t>
        <w:br/>
        <w:t xml:space="preserve">  FALHOU: expect_column_values_to_not_be_null (col=campaign_id)</w:t>
        <w:br/>
        <w:t xml:space="preserve">  FALHOU: expect_column_values_to_be_between  (col=amount)</w:t>
        <w:br/>
        <w:t xml:space="preserve">  [rollback] DROP BRANCH etl_branch. main intacto. Nada publicado.</w:t>
        <w:br/>
        <w:t>=== Lote 'BOM'  === GE success=True</w:t>
        <w:br/>
        <w:t xml:space="preserve">  [publish] MERGE etl_branch -&gt; main (atômico).</w:t>
        <w:br/>
        <w:t>main.orders DEPOIS = 403  (delta = 3)</w:t>
      </w:r>
    </w:p>
    <w:p>
      <w:pPr>
        <w:spacing w:after="40"/>
      </w:pPr>
      <w:r>
        <w:rPr>
          <w:b/>
          <w:color w:val="1F3355"/>
          <w:sz w:val="20"/>
        </w:rPr>
        <w:t>4.5 Particionamento e compactação (CA-06)</w:t>
      </w:r>
    </w:p>
    <w:p>
      <w:pPr>
        <w:shd w:val="clear" w:fill="F2F4F7"/>
        <w:pBdr>
          <w:top w:val="single" w:sz="4" w:space="4" w:color="C9CED6"/>
          <w:bottom w:val="single" w:sz="4" w:space="4" w:color="C9CED6"/>
          <w:left w:val="single" w:sz="4" w:space="4" w:color="C9CED6"/>
          <w:right w:val="single" w:sz="4" w:space="4" w:color="C9CED6"/>
        </w:pBdr>
        <w:spacing w:before="40" w:after="200"/>
      </w:pPr>
      <w:r>
        <w:rPr>
          <w:rFonts w:ascii="Consolas" w:hAnsi="Consolas"/>
          <w:sz w:val="17"/>
        </w:rPr>
        <w:t>partition                     record_count  file_count</w:t>
        <w:br/>
        <w:t>{order_ts_day=2024-01-05}     2             2</w:t>
        <w:br/>
        <w:t>{order_ts_day=2024-01-06}     1             1</w:t>
        <w:br/>
        <w:t>ALTER TABLE ... SET PROPERTIES sorted_by = ARRAY['country','campaign_id']  -&gt; OK</w:t>
        <w:br/>
        <w:t>ALTER TABLE ... EXECUTE optimize                                           -&gt; OK</w:t>
      </w:r>
    </w:p>
    <w:p>
      <w:pPr>
        <w:pStyle w:val="Heading1"/>
      </w:pPr>
      <w:r>
        <w:t>5. Critério de Conclusão</w:t>
      </w:r>
    </w:p>
    <w:p>
      <w:pPr>
        <w:jc w:val="both"/>
      </w:pPr>
      <w:r>
        <w:t>Dos 7 casos de aceite definidos, 6 foram executados e aprovados, cobrindo a totalidade dos requisitos funcionais de prioridade Must e os requisitos não funcionais críticos da solução. O único caso pendente (CA-07) refere-se a um requisito de prioridade Could (histórico/time-travel) e tem execução formal prevista para o próximo ciclo — a capacidade subjacente já existe, uma vez que os snapshots são gerados automaticamente a cada escrita.</w:t>
      </w:r>
    </w:p>
    <w:p>
      <w:pPr>
        <w:jc w:val="both"/>
      </w:pPr>
      <w:r>
        <w:t>Diante do exposto, considera-se que a solução atende aos requisitos acordados para esta etapa e está apta a seguir para aprovação, com a ressalva da execução formal pendente registrada acima.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A55"/>
        <w:sz w:val="16"/>
      </w:rPr>
      <w:t xml:space="preserve">Grupo Aurora Varejo S.A.  ·  Plano de Validação e Aceite  ·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3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3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Validação e Aceite — Data Mesh Zero-Copy</dc:title>
  <dc:subject>Validação e Aceite</dc:subject>
  <dc:creator>Equipe de Engenharia de Dados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Documento Técnico</cp:category>
</cp:coreProperties>
</file>