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3715B" w14:textId="0140B4FF" w:rsidR="006F4103" w:rsidRPr="006F4103" w:rsidRDefault="006F4103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6F4103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Automated Narrative Generation</w:t>
      </w:r>
    </w:p>
    <w:p w14:paraId="1A9AE127" w14:textId="10332587" w:rsidR="00065C41" w:rsidRPr="006F4103" w:rsidRDefault="00B7237E" w:rsidP="006F4103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6F4103">
        <w:rPr>
          <w:rFonts w:ascii="Arial" w:hAnsi="Arial" w:cs="Arial"/>
          <w:color w:val="222222"/>
          <w:sz w:val="20"/>
          <w:szCs w:val="20"/>
          <w:shd w:val="clear" w:color="auto" w:fill="FFFFFF"/>
        </w:rPr>
        <w:t>Ammanabrolu</w:t>
      </w:r>
      <w:proofErr w:type="spellEnd"/>
      <w:r w:rsidRPr="006F410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</w:t>
      </w:r>
      <w:proofErr w:type="spellStart"/>
      <w:r w:rsidRPr="006F4103">
        <w:rPr>
          <w:rFonts w:ascii="Arial" w:hAnsi="Arial" w:cs="Arial"/>
          <w:color w:val="222222"/>
          <w:sz w:val="20"/>
          <w:szCs w:val="20"/>
          <w:shd w:val="clear" w:color="auto" w:fill="FFFFFF"/>
        </w:rPr>
        <w:t>Broniec</w:t>
      </w:r>
      <w:proofErr w:type="spellEnd"/>
      <w:r w:rsidRPr="006F410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W., Mueller, A., Paul, J. and </w:t>
      </w:r>
      <w:proofErr w:type="spellStart"/>
      <w:r w:rsidRPr="006F4103">
        <w:rPr>
          <w:rFonts w:ascii="Arial" w:hAnsi="Arial" w:cs="Arial"/>
          <w:color w:val="222222"/>
          <w:sz w:val="20"/>
          <w:szCs w:val="20"/>
          <w:shd w:val="clear" w:color="auto" w:fill="FFFFFF"/>
        </w:rPr>
        <w:t>Riedl</w:t>
      </w:r>
      <w:proofErr w:type="spellEnd"/>
      <w:r w:rsidRPr="006F4103">
        <w:rPr>
          <w:rFonts w:ascii="Arial" w:hAnsi="Arial" w:cs="Arial"/>
          <w:color w:val="222222"/>
          <w:sz w:val="20"/>
          <w:szCs w:val="20"/>
          <w:shd w:val="clear" w:color="auto" w:fill="FFFFFF"/>
        </w:rPr>
        <w:t>, M.O., 2019. Toward automated quest generation in text-adventure games. </w:t>
      </w:r>
      <w:proofErr w:type="spellStart"/>
      <w:r w:rsidRPr="006F410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 w:rsidRPr="006F410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arXiv:1909.06283</w:t>
      </w:r>
      <w:r w:rsidRPr="006F4103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3D0119B0" w14:textId="6E434F39" w:rsidR="00B7237E" w:rsidRDefault="00B7237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7433931" w14:textId="51CCFEAD" w:rsidR="00B7237E" w:rsidRDefault="00301EB8" w:rsidP="006F4103">
      <w:pPr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Automated narrative generation for in-game scenarios was explored as an alternative to manual generation</w:t>
      </w:r>
      <w:r w:rsidR="00760B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for the purpose of saving time and reduction of scope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B7237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This paper </w:t>
      </w:r>
      <w:r w:rsidR="00DF43CC">
        <w:rPr>
          <w:rFonts w:ascii="Arial" w:hAnsi="Arial" w:cs="Arial"/>
          <w:color w:val="222222"/>
          <w:sz w:val="20"/>
          <w:szCs w:val="20"/>
          <w:shd w:val="clear" w:color="auto" w:fill="FFFFFF"/>
        </w:rPr>
        <w:t>showcases</w:t>
      </w:r>
      <w:r w:rsidR="00B7237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automated quest generation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methods </w:t>
      </w:r>
      <w:r w:rsidR="00B7237E">
        <w:rPr>
          <w:rFonts w:ascii="Arial" w:hAnsi="Arial" w:cs="Arial"/>
          <w:color w:val="222222"/>
          <w:sz w:val="20"/>
          <w:szCs w:val="20"/>
          <w:shd w:val="clear" w:color="auto" w:fill="FFFFFF"/>
        </w:rPr>
        <w:t>in text adventure games. The authors present and evaluate</w:t>
      </w:r>
      <w:r w:rsidR="0076552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games using</w:t>
      </w:r>
      <w:r w:rsidR="00B7237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two generation techniques: (1) a Markov model, and (2) a neural generative model. </w:t>
      </w:r>
      <w:r w:rsidR="0076552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Results are measured using four metrics: coherence, unpredictability (surprise), novelty (originality) and value (accomplishment). The authors conclude that their automatically generated games </w:t>
      </w:r>
      <w:r w:rsidR="0076552C" w:rsidRPr="0076552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“consistently perform at least as well as human designed games”</w:t>
      </w:r>
      <w:r w:rsidR="0076552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r w:rsidR="002D4CB6">
        <w:rPr>
          <w:rFonts w:ascii="Arial" w:hAnsi="Arial" w:cs="Arial"/>
          <w:color w:val="222222"/>
          <w:sz w:val="20"/>
          <w:szCs w:val="20"/>
          <w:shd w:val="clear" w:color="auto" w:fill="FFFFFF"/>
        </w:rPr>
        <w:t>state</w:t>
      </w:r>
      <w:r w:rsidR="0076552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that </w:t>
      </w:r>
      <w:r w:rsidR="0076552C" w:rsidRPr="0076552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“the generative process can be automated without a loss in perceived game quality”.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It is noted</w:t>
      </w:r>
      <w:r w:rsidR="00B13B96">
        <w:rPr>
          <w:rFonts w:ascii="Arial" w:hAnsi="Arial" w:cs="Arial"/>
          <w:color w:val="222222"/>
          <w:sz w:val="20"/>
          <w:szCs w:val="20"/>
          <w:shd w:val="clear" w:color="auto" w:fill="FFFFFF"/>
        </w:rPr>
        <w:t>, however,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that both generation techniques require continuous fine-tuning of data at </w:t>
      </w:r>
      <w:r w:rsidR="0069446E">
        <w:rPr>
          <w:rFonts w:ascii="Arial" w:hAnsi="Arial" w:cs="Arial"/>
          <w:color w:val="222222"/>
          <w:sz w:val="20"/>
          <w:szCs w:val="20"/>
          <w:shd w:val="clear" w:color="auto" w:fill="FFFFFF"/>
        </w:rPr>
        <w:t>various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stages of the process</w:t>
      </w:r>
      <w:r w:rsidR="00760BCD">
        <w:rPr>
          <w:rFonts w:ascii="Arial" w:hAnsi="Arial" w:cs="Arial"/>
          <w:color w:val="222222"/>
          <w:sz w:val="20"/>
          <w:szCs w:val="20"/>
          <w:shd w:val="clear" w:color="auto" w:fill="FFFFFF"/>
        </w:rPr>
        <w:t>. 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hus</w:t>
      </w:r>
      <w:r w:rsidR="002D439B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conclusion is reached that implementation of automated narrative generation </w:t>
      </w:r>
      <w:r w:rsidR="00760BCD">
        <w:rPr>
          <w:rFonts w:ascii="Arial" w:hAnsi="Arial" w:cs="Arial"/>
          <w:color w:val="222222"/>
          <w:sz w:val="20"/>
          <w:szCs w:val="20"/>
          <w:shd w:val="clear" w:color="auto" w:fill="FFFFFF"/>
        </w:rPr>
        <w:t>is an involved and resource consuming effort, therefore contradicting the original goal of a time-saving method to generate narrative for the project.</w:t>
      </w:r>
      <w:r w:rsidR="005D54F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Implementing </w:t>
      </w:r>
      <w:r w:rsidR="002E5632">
        <w:rPr>
          <w:rFonts w:ascii="Arial" w:hAnsi="Arial" w:cs="Arial"/>
          <w:color w:val="222222"/>
          <w:sz w:val="20"/>
          <w:szCs w:val="20"/>
          <w:shd w:val="clear" w:color="auto" w:fill="FFFFFF"/>
        </w:rPr>
        <w:t>automatic narrative generation</w:t>
      </w:r>
      <w:r w:rsidR="005D54F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would perhaps be more suited to projects with greater scope, or in an environment where the system would be used in the generation of multiple games.</w:t>
      </w:r>
    </w:p>
    <w:p w14:paraId="4993B0CB" w14:textId="41F2446C" w:rsidR="00A54F83" w:rsidRDefault="00A54F83" w:rsidP="0076552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637B390" w14:textId="21F04400" w:rsidR="00A54F83" w:rsidRDefault="00A54F83" w:rsidP="0076552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14CF78B" w14:textId="6E1FB614" w:rsidR="00A54F83" w:rsidRDefault="00A54F83" w:rsidP="0076552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19921AA" w14:textId="5615C1DD" w:rsidR="00B927D2" w:rsidRDefault="00B927D2" w:rsidP="0076552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FADC1C6" w14:textId="2A6C3F5A" w:rsidR="00773BBF" w:rsidRPr="006F4103" w:rsidRDefault="006F4103" w:rsidP="0076552C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6F4103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Game Experience Measurement (Questionnaire)</w:t>
      </w:r>
    </w:p>
    <w:p w14:paraId="6EFFB670" w14:textId="5188F9E7" w:rsidR="00B927D2" w:rsidRPr="006F4103" w:rsidRDefault="006236C3" w:rsidP="006F4103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6F4103">
        <w:rPr>
          <w:rFonts w:ascii="Arial" w:hAnsi="Arial" w:cs="Arial"/>
          <w:color w:val="222222"/>
          <w:sz w:val="20"/>
          <w:szCs w:val="20"/>
          <w:shd w:val="clear" w:color="auto" w:fill="FFFFFF"/>
        </w:rPr>
        <w:t>Poels</w:t>
      </w:r>
      <w:proofErr w:type="spellEnd"/>
      <w:r w:rsidRPr="006F410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K., de </w:t>
      </w:r>
      <w:proofErr w:type="spellStart"/>
      <w:r w:rsidRPr="006F4103">
        <w:rPr>
          <w:rFonts w:ascii="Arial" w:hAnsi="Arial" w:cs="Arial"/>
          <w:color w:val="222222"/>
          <w:sz w:val="20"/>
          <w:szCs w:val="20"/>
          <w:shd w:val="clear" w:color="auto" w:fill="FFFFFF"/>
        </w:rPr>
        <w:t>Kort</w:t>
      </w:r>
      <w:proofErr w:type="spellEnd"/>
      <w:r w:rsidRPr="006F410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Y.A. and </w:t>
      </w:r>
      <w:proofErr w:type="spellStart"/>
      <w:r w:rsidRPr="006F4103">
        <w:rPr>
          <w:rFonts w:ascii="Arial" w:hAnsi="Arial" w:cs="Arial"/>
          <w:color w:val="222222"/>
          <w:sz w:val="20"/>
          <w:szCs w:val="20"/>
          <w:shd w:val="clear" w:color="auto" w:fill="FFFFFF"/>
        </w:rPr>
        <w:t>IJsselsteijn</w:t>
      </w:r>
      <w:proofErr w:type="spellEnd"/>
      <w:r w:rsidRPr="006F4103">
        <w:rPr>
          <w:rFonts w:ascii="Arial" w:hAnsi="Arial" w:cs="Arial"/>
          <w:color w:val="222222"/>
          <w:sz w:val="20"/>
          <w:szCs w:val="20"/>
          <w:shd w:val="clear" w:color="auto" w:fill="FFFFFF"/>
        </w:rPr>
        <w:t>, W.A., 2007. D3. 3: Game Experience Questionnaire: development of a self-report measure to assess the psychological impact of digital games.</w:t>
      </w:r>
    </w:p>
    <w:p w14:paraId="0EE7FC92" w14:textId="77777777" w:rsidR="006236C3" w:rsidRDefault="006236C3" w:rsidP="0076552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6995500" w14:textId="1B4EA9A0" w:rsidR="00B927D2" w:rsidRDefault="00B927D2" w:rsidP="006F4103">
      <w:pPr>
        <w:ind w:left="36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This paper discusses game experience measurement, mainly through the form of a Game Experience Questionnaire (GEQ). The GEQ is intended to be a </w:t>
      </w:r>
      <w:r w:rsidRPr="00B927D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“</w:t>
      </w:r>
      <w:r w:rsidRPr="00B927D2">
        <w:rPr>
          <w:i/>
          <w:iCs/>
        </w:rPr>
        <w:t>freely available and widely applicable measure which allows researchers to obtain a reliable and valid indication of participants’ subjective experiences associated with digital gameplay</w:t>
      </w:r>
      <w:r w:rsidRPr="00B927D2">
        <w:rPr>
          <w:i/>
          <w:iCs/>
        </w:rPr>
        <w:t>”</w:t>
      </w:r>
      <w:r>
        <w:rPr>
          <w:i/>
          <w:iCs/>
        </w:rPr>
        <w:t xml:space="preserve"> </w:t>
      </w:r>
      <w:r>
        <w:t>The authors outline several criteria or properties which show a good measure of game experience. These are reliability, validity, sensitivity, robustness, non-intrusiveness, and convenience.</w:t>
      </w:r>
    </w:p>
    <w:p w14:paraId="33CE1706" w14:textId="41FB2377" w:rsidR="00D519A9" w:rsidRPr="00412A6E" w:rsidRDefault="00D519A9" w:rsidP="006F4103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9E4E7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Reliability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</w:t>
      </w:r>
      <w:r w:rsidRPr="00412A6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consistent data</w:t>
      </w:r>
    </w:p>
    <w:p w14:paraId="5A8C6F6F" w14:textId="50C02430" w:rsidR="00D519A9" w:rsidRPr="00412A6E" w:rsidRDefault="00D519A9" w:rsidP="006F4103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9E4E7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Validity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</w:t>
      </w:r>
      <w:r w:rsidRPr="00412A6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relevant data</w:t>
      </w:r>
    </w:p>
    <w:p w14:paraId="76392664" w14:textId="124A26F6" w:rsidR="00D519A9" w:rsidRPr="00412A6E" w:rsidRDefault="00954FDA" w:rsidP="006F4103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9E4E7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Sensitivity</w:t>
      </w:r>
      <w:r w:rsidR="00D519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D519A9" w:rsidRPr="00412A6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– take things into consideration</w:t>
      </w:r>
    </w:p>
    <w:p w14:paraId="45D71161" w14:textId="09AD10AD" w:rsidR="00D519A9" w:rsidRDefault="00D519A9" w:rsidP="006F4103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E4E7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Robustness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</w:t>
      </w:r>
      <w:r w:rsidRPr="00412A6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enough data measurements</w:t>
      </w:r>
    </w:p>
    <w:p w14:paraId="1A1A48F6" w14:textId="55B0DCB0" w:rsidR="00D519A9" w:rsidRDefault="00D519A9" w:rsidP="006F4103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E4E7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Non-intrusiveness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</w:t>
      </w:r>
      <w:r w:rsidRPr="00412A6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don’t distract from task at hand</w:t>
      </w:r>
    </w:p>
    <w:p w14:paraId="7D0F2506" w14:textId="4C59504B" w:rsidR="00D519A9" w:rsidRPr="00D519A9" w:rsidRDefault="00D519A9" w:rsidP="006F4103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E4E7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Convenience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</w:t>
      </w:r>
      <w:r w:rsidRPr="00412A6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simple, easy, cheap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10BAA477" w14:textId="3F231A60" w:rsidR="00FF2E0E" w:rsidRDefault="00ED4942" w:rsidP="00FF2E0E">
      <w:pPr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These criteria will be applied where possible in the creation of the questionnaire for purposes of evaluating the project.</w:t>
      </w:r>
    </w:p>
    <w:p w14:paraId="40B79DC8" w14:textId="5F2CD161" w:rsidR="00A324F1" w:rsidRDefault="00A324F1" w:rsidP="00FF2E0E">
      <w:pPr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5695A44" w14:textId="45B8CF59" w:rsidR="00A324F1" w:rsidRDefault="00A324F1" w:rsidP="00FF2E0E">
      <w:pPr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DF771B5" w14:textId="77777777" w:rsidR="00A324F1" w:rsidRDefault="00A324F1" w:rsidP="00FF2E0E">
      <w:pPr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8FBAED8" w14:textId="32C89D7A" w:rsidR="00FF2E0E" w:rsidRPr="007D4327" w:rsidRDefault="00FF2E0E" w:rsidP="00FF2E0E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7D4327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>Player Modelling</w:t>
      </w:r>
    </w:p>
    <w:p w14:paraId="2054D975" w14:textId="6CAB8C13" w:rsidR="00FF2E0E" w:rsidRDefault="00FF2E0E" w:rsidP="007D4327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D4327">
        <w:rPr>
          <w:rFonts w:ascii="Arial" w:hAnsi="Arial" w:cs="Arial"/>
          <w:color w:val="222222"/>
          <w:sz w:val="20"/>
          <w:szCs w:val="20"/>
          <w:shd w:val="clear" w:color="auto" w:fill="FFFFFF"/>
        </w:rPr>
        <w:t>Quick, J.M. and Atkinson, R.K., 2011, June. A data-driven taxonomy of undergraduate student videogame enjoyment. In </w:t>
      </w:r>
      <w:r w:rsidRPr="007D432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7th international conference on Games+ Learning+ Society Conference</w:t>
      </w:r>
      <w:r w:rsidRPr="007D4327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185-190).</w:t>
      </w:r>
    </w:p>
    <w:p w14:paraId="0C299FFA" w14:textId="503FEAE4" w:rsidR="00A324F1" w:rsidRPr="00A324F1" w:rsidRDefault="00A324F1" w:rsidP="00A324F1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F410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Kahn, A.S., Shen, C., Lu, L., Ratan, R.A., </w:t>
      </w:r>
      <w:proofErr w:type="spellStart"/>
      <w:r w:rsidRPr="006F4103">
        <w:rPr>
          <w:rFonts w:ascii="Arial" w:hAnsi="Arial" w:cs="Arial"/>
          <w:color w:val="222222"/>
          <w:sz w:val="20"/>
          <w:szCs w:val="20"/>
          <w:shd w:val="clear" w:color="auto" w:fill="FFFFFF"/>
        </w:rPr>
        <w:t>Coary</w:t>
      </w:r>
      <w:proofErr w:type="spellEnd"/>
      <w:r w:rsidRPr="006F410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Hou, J., Meng, J., Osborn, J. and Williams, D., 2015. The Trojan Player Typology: A cross-genre, cross-cultural, </w:t>
      </w:r>
      <w:proofErr w:type="spellStart"/>
      <w:r w:rsidRPr="006F4103">
        <w:rPr>
          <w:rFonts w:ascii="Arial" w:hAnsi="Arial" w:cs="Arial"/>
          <w:color w:val="222222"/>
          <w:sz w:val="20"/>
          <w:szCs w:val="20"/>
          <w:shd w:val="clear" w:color="auto" w:fill="FFFFFF"/>
        </w:rPr>
        <w:t>behaviorally</w:t>
      </w:r>
      <w:proofErr w:type="spellEnd"/>
      <w:r w:rsidRPr="006F410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validated scale of video game play motivations. </w:t>
      </w:r>
      <w:r w:rsidRPr="006F410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Computers in Human </w:t>
      </w:r>
      <w:proofErr w:type="spellStart"/>
      <w:r w:rsidRPr="006F410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Behavior</w:t>
      </w:r>
      <w:proofErr w:type="spellEnd"/>
      <w:r w:rsidRPr="006F4103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6F410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49</w:t>
      </w:r>
      <w:r w:rsidRPr="006F4103"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pp.354-361.</w:t>
      </w:r>
    </w:p>
    <w:p w14:paraId="1317F922" w14:textId="19BD3CC9" w:rsidR="00FF2E0E" w:rsidRDefault="00FF2E0E" w:rsidP="00FF2E0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BD19DAD" w14:textId="0DCF7440" w:rsidR="00FF2E0E" w:rsidRDefault="008714D1" w:rsidP="007D4327">
      <w:pPr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24F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Quick, J.M. and Atkinson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present a study into various taxonomies</w:t>
      </w:r>
      <w:r w:rsidR="00A420E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player types</w:t>
      </w:r>
      <w:r w:rsidR="00FF2E0E">
        <w:rPr>
          <w:rFonts w:ascii="Arial" w:hAnsi="Arial" w:cs="Arial"/>
          <w:color w:val="222222"/>
          <w:sz w:val="20"/>
          <w:szCs w:val="20"/>
          <w:shd w:val="clear" w:color="auto" w:fill="FFFFFF"/>
        </w:rPr>
        <w:t>. One of the earliest and most well know is Bartle’s (1996). It provides one of the mo</w:t>
      </w:r>
      <w:r w:rsidR="000C3ED4">
        <w:rPr>
          <w:rFonts w:ascii="Arial" w:hAnsi="Arial" w:cs="Arial"/>
          <w:color w:val="222222"/>
          <w:sz w:val="20"/>
          <w:szCs w:val="20"/>
          <w:shd w:val="clear" w:color="auto" w:fill="FFFFFF"/>
        </w:rPr>
        <w:t>st</w:t>
      </w:r>
      <w:r w:rsidR="00FF2E0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simplistic and succinct categorisations of players – achiever, explorer, killer and socialiser. The categories find strong relevance in a multitude of different games and genres.</w:t>
      </w:r>
    </w:p>
    <w:p w14:paraId="2E773A28" w14:textId="0AB46E50" w:rsidR="00A324F1" w:rsidRDefault="00FF2E0E" w:rsidP="003E584F">
      <w:pPr>
        <w:ind w:left="360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Following from Bartle’s (1996) work,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Heeter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(2008) expands the number of player types to 13. Various other works expand on the core taxonomies, each brining a unique and novel addition to the previous. Over time, taxonomies develop into more specific sets, and bec</w:t>
      </w:r>
      <w:r w:rsidR="00501B65">
        <w:rPr>
          <w:rFonts w:ascii="Arial" w:hAnsi="Arial" w:cs="Arial"/>
          <w:color w:val="222222"/>
          <w:sz w:val="20"/>
          <w:szCs w:val="20"/>
          <w:shd w:val="clear" w:color="auto" w:fill="FFFFFF"/>
        </w:rPr>
        <w:t>omes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more tailored to certain types of games.</w:t>
      </w:r>
      <w:r w:rsidR="000C3ED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While more differing taxonomies appear, their core values and principles stay the same, and </w:t>
      </w:r>
      <w:r w:rsidR="000C3ED4" w:rsidRPr="000C3ED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“</w:t>
      </w:r>
      <w:r w:rsidR="000C3ED4" w:rsidRPr="000C3ED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past and present game design taxonomies show stark similarities</w:t>
      </w:r>
      <w:r w:rsidR="000C3ED4" w:rsidRPr="000C3ED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”</w:t>
      </w:r>
      <w:r w:rsidR="000C3ED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. </w:t>
      </w:r>
    </w:p>
    <w:p w14:paraId="12B2BF13" w14:textId="7A6CEB78" w:rsidR="00A324F1" w:rsidRDefault="00A324F1" w:rsidP="00A324F1">
      <w:pPr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24F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Kahn, A.S., et.al.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present an interesting take on player typology. The authors study two cases involving two different game types in two wildly different global markets: (1) </w:t>
      </w:r>
      <w:r w:rsidRPr="00A324F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League of Legends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(2) </w:t>
      </w:r>
      <w:r w:rsidRPr="00A324F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Chevalier’s</w:t>
      </w:r>
      <w:r w:rsidRPr="00A324F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 w:rsidRPr="00A324F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Romance Online 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The paper presents a “Trojan Player Typology” which is applied to both cases. It consists of 6 categorisations: socialisers,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completionists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competitors, escapists, story-driven and smarty-pants. Some of the categories overlap with taxonomies such as Bartle’s (1996) while others present an interesting and unique take on player categorisation. The more notable among which are:</w:t>
      </w:r>
    </w:p>
    <w:p w14:paraId="3F924E5C" w14:textId="341302F4" w:rsidR="00A324F1" w:rsidRDefault="00A324F1" w:rsidP="00A324F1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24F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Escapists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</w:t>
      </w:r>
      <w:r w:rsidRPr="00A324F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“I like to do things in games which I cannot do in real life”, “Video games allow me to pretend I am someone/somewhere else”</w:t>
      </w:r>
    </w:p>
    <w:p w14:paraId="58650861" w14:textId="46F89F6C" w:rsidR="00A324F1" w:rsidRDefault="00A324F1" w:rsidP="00A324F1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A324F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Smarty-pants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</w:t>
      </w:r>
      <w:r w:rsidRPr="00A324F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“Games make me smarter”, “I play games to enhance my intellectual abilities”</w:t>
      </w:r>
    </w:p>
    <w:p w14:paraId="4B08BA17" w14:textId="2D24FD10" w:rsidR="003E584F" w:rsidRPr="003E584F" w:rsidRDefault="003E584F" w:rsidP="003E584F">
      <w:pPr>
        <w:ind w:left="390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Both papers provide interesting an unique classifications of player typology which will be applied          where possible in the player modelling stage of the project.</w:t>
      </w:r>
    </w:p>
    <w:sectPr w:rsidR="003E584F" w:rsidRPr="003E5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5737C"/>
    <w:multiLevelType w:val="hybridMultilevel"/>
    <w:tmpl w:val="4E80D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D32AF"/>
    <w:multiLevelType w:val="hybridMultilevel"/>
    <w:tmpl w:val="27F43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97EB3"/>
    <w:multiLevelType w:val="hybridMultilevel"/>
    <w:tmpl w:val="9DEE2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40554"/>
    <w:multiLevelType w:val="hybridMultilevel"/>
    <w:tmpl w:val="37CCFF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68"/>
    <w:rsid w:val="00023E32"/>
    <w:rsid w:val="00065844"/>
    <w:rsid w:val="000C3ED4"/>
    <w:rsid w:val="002B16A4"/>
    <w:rsid w:val="002D439B"/>
    <w:rsid w:val="002D4CB6"/>
    <w:rsid w:val="002E5632"/>
    <w:rsid w:val="00301EB8"/>
    <w:rsid w:val="003E584F"/>
    <w:rsid w:val="00412A6E"/>
    <w:rsid w:val="00501B65"/>
    <w:rsid w:val="005D54F6"/>
    <w:rsid w:val="006236C3"/>
    <w:rsid w:val="0069446E"/>
    <w:rsid w:val="006F4103"/>
    <w:rsid w:val="00760BCD"/>
    <w:rsid w:val="0076552C"/>
    <w:rsid w:val="00773BBF"/>
    <w:rsid w:val="007D4327"/>
    <w:rsid w:val="008714D1"/>
    <w:rsid w:val="00954FDA"/>
    <w:rsid w:val="009E4E7D"/>
    <w:rsid w:val="00A324F1"/>
    <w:rsid w:val="00A420EE"/>
    <w:rsid w:val="00A54F83"/>
    <w:rsid w:val="00B13B96"/>
    <w:rsid w:val="00B7237E"/>
    <w:rsid w:val="00B927D2"/>
    <w:rsid w:val="00BB5068"/>
    <w:rsid w:val="00D05281"/>
    <w:rsid w:val="00D519A9"/>
    <w:rsid w:val="00D65682"/>
    <w:rsid w:val="00DF43CC"/>
    <w:rsid w:val="00E22782"/>
    <w:rsid w:val="00ED4942"/>
    <w:rsid w:val="00FC2BAF"/>
    <w:rsid w:val="00FF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B836"/>
  <w15:chartTrackingRefBased/>
  <w15:docId w15:val="{5C88E7D0-4CF2-4D11-9209-44918D7F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7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1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AMOSOV</dc:creator>
  <cp:keywords/>
  <dc:description/>
  <cp:lastModifiedBy>OLEG AMOSOV</cp:lastModifiedBy>
  <cp:revision>29</cp:revision>
  <dcterms:created xsi:type="dcterms:W3CDTF">2021-12-10T03:27:00Z</dcterms:created>
  <dcterms:modified xsi:type="dcterms:W3CDTF">2021-12-12T08:50:00Z</dcterms:modified>
</cp:coreProperties>
</file>