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18"/>
          <w:sz-cs w:val="18"/>
          <w:color w:val="B45309"/>
        </w:rPr>
        <w:t xml:space="preserve">BOARD / Q3 2026</w:t>
      </w:r>
    </w:p>
    <w:p>
      <w:pPr/>
      <w:r>
        <w:rPr>
          <w:rFonts w:ascii="Georgia" w:hAnsi="Georgia" w:cs="Georgia"/>
          <w:sz w:val="46"/>
          <w:sz-cs w:val="46"/>
          <w:b/>
          <w:color w:val="0F172A"/>
        </w:rPr>
        <w:t xml:space="preserve">Operating review</w:t>
      </w:r>
      <w:r>
        <w:rPr>
          <w:rFonts w:ascii="Georgia" w:hAnsi="Georgia" w:cs="Georgia"/>
          <w:sz w:val="46"/>
          <w:sz-cs w:val="46"/>
          <w:color w:val="0F172A"/>
        </w:rPr>
        <w:t xml:space="preserve"/>
      </w:r>
    </w:p>
    <w:p>
      <w:pPr/>
      <w:r>
        <w:rPr>
          <w:rFonts w:ascii="Arial" w:hAnsi="Arial" w:cs="Arial"/>
          <w:sz w:val="21"/>
          <w:sz-cs w:val="21"/>
          <w:color w:val="475569"/>
        </w:rPr>
        <w:t xml:space="preserve">Prepared 24 August 2026</w:t>
      </w:r>
    </w:p>
    <w:p>
      <w:pPr/>
      <w:r>
        <w:rPr>
          <w:rFonts w:ascii="Arial" w:hAnsi="Arial" w:cs="Arial"/>
          <w:sz w:val="21"/>
          <w:sz-cs w:val="21"/>
          <w:color w:val="475569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color w:val="0F172A"/>
        </w:rPr>
        <w:t xml:space="preserve">Executive signal</w:t>
      </w:r>
      <w:r>
        <w:rPr>
          <w:rFonts w:ascii="Arial" w:hAnsi="Arial" w:cs="Arial"/>
          <w:sz w:val="21"/>
          <w:sz-cs w:val="21"/>
          <w:color w:val="0F172A"/>
        </w:rPr>
        <w:t xml:space="preserve"/>
      </w:r>
    </w:p>
    <w:p>
      <w:pPr/>
      <w:r>
        <w:rPr>
          <w:rFonts w:ascii="Arial" w:hAnsi="Arial" w:cs="Arial"/>
          <w:sz w:val="21"/>
          <w:sz-cs w:val="21"/>
          <w:color w:val="0F172A"/>
        </w:rPr>
        <w:t xml:space="preserve">Expansion revenue and delivery quality are ahead of plan; one partner dependency remains the primary schedule risk.</w:t>
      </w:r>
    </w:p>
    <w:p>
      <w:pPr/>
      <w:r>
        <w:rPr>
          <w:rFonts w:ascii="Arial" w:hAnsi="Arial" w:cs="Arial"/>
          <w:sz w:val="21"/>
          <w:sz-cs w:val="21"/>
          <w:color w:val="0F172A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color w:val="0F172A"/>
        </w:rPr>
        <w:t xml:space="preserve">Decisions required</w:t>
      </w:r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1. Approve security acceleration budget - Owner: CFO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2. Confirm enterprise launch window - Owner: CPO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3. Authorize partner escalation - Owner: CEO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0F172A"/>
        </w:rPr>
        <w:t xml:space="preserve">Risk requiring attention</w:t>
      </w:r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Partner certification is nine business days behind plan. The mitigation preserves the customer launch date but consumes schedule buffer.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475569"/>
        </w:rPr>
        <w:t xml:space="preserve">Distribution: Board and executive team only.</w:t>
      </w:r>
    </w:p>
    <w:sectPr>
      <w:pgSz w:w="15840" w:h="12240"/>
      <w:pgMar w:top="720" w:right="900" w:bottom="720" w:left="9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