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40" w:after="120"/>
        <w:keepNext/>
      </w:pPr>
      <w:r>
        <w:rPr>
          <w:b/>
          <w:color w:val="0F172A"/>
          <w:sz w:val="52"/>
          <w:szCs w:val="52"/>
          <w:rFonts w:ascii="Arial" w:hAnsi="Arial" w:cs="Arial"/>
        </w:rPr>
        <w:t>Dual-output contract</w:t>
      </w:r>
    </w:p>
    <w:p>
      <w:pPr>
        <w:pStyle w:val="Heading1"/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Contents</w:t>
      </w:r>
    </w:p>
    <w:p>
      <w:fldSimple w:instr=" TOC \o &quot;1-3&quot; \h \z \u ">
        <w:r>
          <w:rPr>
            <w:sz w:val="22"/>
            <w:szCs w:val="22"/>
            <w:rFonts w:ascii="Arial" w:hAnsi="Arial" w:cs="Arial"/>
          </w:rPr>
          <w:t>Dual-output contract</w:t>
          <w:br/>
          <w:t>Interactive semantics</w:t>
          <w:br/>
          <w:t>Rich and paginated tables</w:t>
          <w:br/>
          <w:t>Next-page section</w:t>
        </w:r>
      </w:fldSimple>
    </w:p>
    <w:p>
      <w:pPr>
        <w:pStyle w:val="Heading1"/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Interactive semantics</w:t>
      </w:r>
    </w:p>
    <w:p>
      <w:pPr>
        <w:spacing w:after="140"/>
      </w:pPr>
      <w:bookmarkStart w:id="1" w:name="overview"/>
      <w:r>
        <w:rPr>
          <w:b/>
          <w:sz w:val="22"/>
          <w:szCs w:val="22"/>
          <w:rFonts w:ascii="Arial" w:hAnsi="Arial" w:cs="Arial"/>
        </w:rPr>
        <w:t>Overview</w:t>
      </w:r>
      <w:bookmarkEnd w:id="1"/>
      <w:r>
        <w:rPr>
          <w:sz w:val="22"/>
          <w:szCs w:val="22"/>
          <w:rFonts w:ascii="Arial" w:hAnsi="Arial" w:cs="Arial"/>
        </w:rPr>
        <w:t xml:space="preserve"> demonstrates an </w:t>
      </w:r>
      <w:fldSimple w:instr=" HYPERLINK &quot;https://github.com/OthmaneBlial/rusdox&quot; ">
        <w:r>
          <w:rPr>
            <w:u w:val="single"/>
            <w:color w:val="0F766E"/>
            <w:sz w:val="22"/>
            <w:szCs w:val="22"/>
            <w:rFonts w:ascii="Arial" w:hAnsi="Arial" w:cs="Arial"/>
          </w:rPr>
          <w:t>external link</w:t>
        </w:r>
      </w:fldSimple>
      <w:r>
        <w:rPr>
          <w:sz w:val="22"/>
          <w:szCs w:val="22"/>
          <w:rFonts w:ascii="Arial" w:hAnsi="Arial" w:cs="Arial"/>
        </w:rPr>
        <w:t xml:space="preserve"> and a generated footnote</w:t>
      </w:r>
      <w:r>
        <w:footnoteReference w:id="1"/>
      </w:r>
      <w:r>
        <w:rPr>
          <w:sz w:val="22"/>
          <w:szCs w:val="22"/>
          <w:rFonts w:ascii="Arial" w:hAnsi="Arial" w:cs="Arial"/>
        </w:rPr>
        <w:t>.</w:t>
      </w:r>
    </w:p>
    <w:p>
      <w:fldSimple w:instr=" HYPERLINK \l &quot;overview&quot; ">
        <w:r>
          <w:rPr>
            <w:u w:val="single"/>
            <w:color w:val="2563EB"/>
            <w:sz w:val="22"/>
            <w:szCs w:val="22"/>
            <w:rFonts w:ascii="Arial" w:hAnsi="Arial" w:cs="Arial"/>
          </w:rPr>
          <w:t>Jump back to Overview</w:t>
        </w:r>
      </w:fldSimple>
    </w:p>
    <w:p>
      <w:pPr>
        <w:pageBreakBefore/>
      </w:pPr>
    </w:p>
    <w:p>
      <w:pPr>
        <w:pStyle w:val="Heading1"/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Rich and paginated tables</w:t>
      </w:r>
    </w:p>
    <w:tbl>
      <w:tblPr>
        <w:tblW w:type="dxa" w:w="960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rPr>
          <w:tblHeader/>
        </w:trP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Capability</w:t>
            </w:r>
          </w:p>
        </w:tc>
        <w:tc>
          <w:tcPr>
            <w:tcW w:type="dxa" w:w="4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Evidence</w:t>
            </w:r>
          </w:p>
        </w:tc>
        <w:tc>
          <w:tcPr>
            <w:tcW w:type="dxa" w:w="2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State</w:t>
            </w:r>
          </w:p>
        </w:tc>
      </w:tr>
      <w:tr>
        <w:trPr>
          <w:tblHeader/>
          <w:cantSplit/>
        </w:trP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Repeated semantic header</w:t>
            </w:r>
          </w:p>
        </w:tc>
        <w:tc>
          <w:tcPr>
            <w:tcW w:type="dxa" w:w="4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Row properties survive OOXML reopen and PDF pagination.</w:t>
            </w:r>
          </w:p>
        </w:tc>
        <w:tc>
          <w:tcPr>
            <w:tcW w:type="dxa" w:w="2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Verified</w:t>
            </w:r>
          </w:p>
        </w:tc>
      </w:tr>
      <w:tr>
        <w:trPr>
          <w:cantSplit/>
        </w:trPr>
        <w:tc>
          <w:tcPr>
            <w:tcW w:type="dxa" w:w="7400"/>
            <w:gridSpan w:val="2"/>
            <w:shd w:val="clear" w:color="auto" w:fill="ECFDF5"/>
          </w:tcPr>
          <w:p>
            <w:r>
              <w:rPr>
                <w:b/>
                <w:sz w:val="22"/>
                <w:szCs w:val="22"/>
                <w:rFonts w:ascii="Arial" w:hAnsi="Arial" w:cs="Arial"/>
              </w:rPr>
              <w:t>Merged rich cell</w:t>
            </w:r>
          </w:p>
          <w:p>
            <w:r>
              <w:rPr>
                <w:i/>
                <w:sz w:val="22"/>
                <w:szCs w:val="22"/>
                <w:rFonts w:ascii="Arial" w:hAnsi="Arial" w:cs="Arial"/>
              </w:rPr>
              <w:t>Multiple paragraphs, mixed formatting, and a nested table share one typed cell model.</w:t>
            </w:r>
          </w:p>
          <w:tbl>
            <w:tblPr>
              <w:tblW w:type="dxa" w:w="5300"/>
              <w:tblBorders>
                <w:top w:val="single" w:sz="8" w:color="CBD5E1"/>
                <w:bottom w:val="single" w:sz="8" w:color="CBD5E1"/>
                <w:left w:val="single" w:sz="8" w:color="CBD5E1"/>
                <w:right w:val="single" w:sz="8" w:color="CBD5E1"/>
                <w:insideH w:val="single" w:sz="8" w:color="CBD5E1"/>
                <w:insideV w:val="single" w:sz="8" w:color="CBD5E1"/>
              </w:tblBorders>
            </w:tblPr>
            <w:tr>
              <w:trPr>
                <w:tblHeader/>
              </w:trPr>
              <w:tc>
                <w:tcPr>
                  <w:tcW w:type="dxa" w:w="2300"/>
                  <w:tcBorders>
                    <w:top w:val="single" w:sz="8" w:color="CBD5E1"/>
                    <w:bottom w:val="single" w:sz="8" w:color="CBD5E1"/>
                    <w:left w:val="single" w:sz="8" w:color="CBD5E1"/>
                    <w:right w:val="single" w:sz="8" w:color="CBD5E1"/>
                    <w:insideH w:val="single" w:sz="8" w:color="CBD5E1"/>
                    <w:insideV w:val="single" w:sz="8" w:color="CBD5E1"/>
                  </w:tcBorders>
                  <w:shd w:val="clear" w:color="auto" w:fill="E2E8F0"/>
                </w:tcPr>
                <w:p>
                  <w:pPr>
                    <w:spacing w:before="50" w:after="50"/>
                  </w:pPr>
                  <w:r>
                    <w:rPr>
                      <w:b/>
                      <w:color w:val="0F172A"/>
                      <w:sz w:val="20"/>
                      <w:szCs w:val="20"/>
                      <w:rFonts w:ascii="Arial" w:hAnsi="Arial" w:cs="Arial"/>
                    </w:rPr>
                    <w:t>Nested key</w:t>
                  </w:r>
                </w:p>
              </w:tc>
              <w:tc>
                <w:tcPr>
                  <w:tcW w:type="dxa" w:w="3000"/>
                  <w:tcBorders>
                    <w:top w:val="single" w:sz="8" w:color="CBD5E1"/>
                    <w:bottom w:val="single" w:sz="8" w:color="CBD5E1"/>
                    <w:left w:val="single" w:sz="8" w:color="CBD5E1"/>
                    <w:right w:val="single" w:sz="8" w:color="CBD5E1"/>
                    <w:insideH w:val="single" w:sz="8" w:color="CBD5E1"/>
                    <w:insideV w:val="single" w:sz="8" w:color="CBD5E1"/>
                  </w:tcBorders>
                  <w:shd w:val="clear" w:color="auto" w:fill="E2E8F0"/>
                </w:tcPr>
                <w:p>
                  <w:pPr>
                    <w:spacing w:before="50" w:after="50"/>
                  </w:pPr>
                  <w:r>
                    <w:rPr>
                      <w:b/>
                      <w:color w:val="0F172A"/>
                      <w:sz w:val="20"/>
                      <w:szCs w:val="20"/>
                      <w:rFonts w:ascii="Arial" w:hAnsi="Arial" w:cs="Arial"/>
                    </w:rPr>
                    <w:t>Nested value</w:t>
                  </w:r>
                </w:p>
              </w:tc>
            </w:tr>
            <w:tr>
              <w:tc>
                <w:tcPr>
                  <w:tcW w:type="dxa" w:w="2300"/>
                  <w:tcBorders>
                    <w:top w:val="single" w:sz="8" w:color="CBD5E1"/>
                    <w:bottom w:val="single" w:sz="8" w:color="CBD5E1"/>
                    <w:left w:val="single" w:sz="8" w:color="CBD5E1"/>
                    <w:right w:val="single" w:sz="8" w:color="CBD5E1"/>
                    <w:insideH w:val="single" w:sz="8" w:color="CBD5E1"/>
                    <w:insideV w:val="single" w:sz="8" w:color="CBD5E1"/>
                  </w:tcBorders>
                  <w:shd w:val="clear" w:color="auto" w:fill="F8FAFC"/>
                </w:tcPr>
                <w:p>
                  <w:pPr>
                    <w:spacing w:before="40" w:after="40"/>
                  </w:pPr>
                  <w:r>
                    <w:rPr>
                      <w:color w:val="475569"/>
                      <w:sz w:val="20"/>
                      <w:szCs w:val="20"/>
                      <w:rFonts w:ascii="Arial" w:hAnsi="Arial" w:cs="Arial"/>
                    </w:rPr>
                    <w:t>Semantic parity</w:t>
                  </w:r>
                </w:p>
              </w:tc>
              <w:tc>
                <w:tcPr>
                  <w:tcW w:type="dxa" w:w="3000"/>
                  <w:tcBorders>
                    <w:top w:val="single" w:sz="8" w:color="CBD5E1"/>
                    <w:bottom w:val="single" w:sz="8" w:color="CBD5E1"/>
                    <w:left w:val="single" w:sz="8" w:color="CBD5E1"/>
                    <w:right w:val="single" w:sz="8" w:color="CBD5E1"/>
                    <w:insideH w:val="single" w:sz="8" w:color="CBD5E1"/>
                    <w:insideV w:val="single" w:sz="8" w:color="CBD5E1"/>
                  </w:tcBorders>
                  <w:shd w:val="clear" w:color="auto" w:fill="F8FAFC"/>
                </w:tcPr>
                <w:p>
                  <w:pPr>
                    <w:spacing w:before="40" w:after="40"/>
                  </w:pPr>
                  <w:r>
                    <w:rPr>
                      <w:color w:val="475569"/>
                      <w:sz w:val="20"/>
                      <w:szCs w:val="20"/>
                      <w:rFonts w:ascii="Arial" w:hAnsi="Arial" w:cs="Arial"/>
                    </w:rPr>
                    <w:t>Preserved in DOCX and rendered in PDF</w:t>
                  </w:r>
                </w:p>
              </w:tc>
            </w:tr>
          </w:tbl>
          <w:p>
          </w:p>
        </w:tc>
        <w:tc>
          <w:tcPr>
            <w:tcW w:type="dxa" w:w="2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Green</w:t>
            </w:r>
          </w:p>
        </w:tc>
      </w:tr>
    </w:tbl>
    <w:p>
      <w:pPr>
        <w:sectPr>
          <w:headerReference w:type="default" r:id="rIdRusDoxHeaderDefault"/>
          <w:footerReference w:type="default" r:id="rIdRusDoxFooterDefault"/>
          <w:type w:val="nextPage"/>
          <w:pgSz w:w="15840" w:h="12240" w:orient="landscape"/>
          <w:pgMar w:top="1080" w:right="900" w:bottom="1080" w:left="900" w:header="420" w:footer="420" w:gutter="120"/>
          <w:pgNumType w:fmt="lowerRoman" w:start="3"/>
        </w:sectPr>
      </w:pPr>
    </w:p>
    <w:p>
      <w:pPr>
        <w:pStyle w:val="Heading1"/>
        <w:spacing w:before="220" w:after="90"/>
        <w:keepNext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Next-page section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section break, landscape page model, margins, visible header/footer, and lower-Roman page fields all come from the same document projection.</w:t>
      </w:r>
    </w:p>
    <w:sectPr>
      <w:headerReference w:type="default" r:id="rIdRusDoxHeaderDefault"/>
      <w:footerReference w:type="default" r:id="rIdRusDoxFooterDefault"/>
      <w:type w:val="nextPage"/>
      <w:pgSz w:w="15840" w:h="12240" w:orient="landscape"/>
      <w:pgMar w:top="1080" w:right="900" w:bottom="1080" w:left="900" w:header="420" w:footer="420" w:gutter="120"/>
      <w:pgNumType w:fmt="lowerRoman"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id="1">
    <w:p>
      <w:r>
        <w:footnoteRef w:customMarkFollows="0"/>
      </w:r>
      <w:r>
        <w:t xml:space="preserve">The DOCX uses a real footnotes part; the PDF uses an inline marker and deterministic endnotes page.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RusDox parity contract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</w:numbering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qFormat/>
  </w:style>
</w:styles>
</file>

<file path=word/_rels/document.xml.rels><?xml version="1.0" encoding="UTF-8" standalone="yes"?>
<Relationships xmlns="http://schemas.openxmlformats.org/package/2006/relationships">
  <Relationship Id="rIdRusDoxStyles" Type="http://schemas.openxmlformats.org/officeDocument/2006/relationships/styles" Target="styles.xml"/>
  <Relationship Id="rIdRusDoxNumbering" Type="http://schemas.openxmlformats.org/officeDocument/2006/relationships/numbering" Target="numbering.xml"/>
  <Relationship Id="rIdRusDoxHeaderDefault" Type="http://schemas.openxmlformats.org/officeDocument/2006/relationships/header" Target="header1.xml"/>
  <Relationship Id="rIdRusDoxFooterDefault" Type="http://schemas.openxmlformats.org/officeDocument/2006/relationships/footer" Target="footer1.xml"/>
  <Relationship Id="rIdRusDoxFootnotes" Type="http://schemas.openxmlformats.org/officeDocument/2006/relationships/footnotes" Target="footnot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dual-output contract</dc:title>
  <dc:creator>RusDox maintainers</dc:creator>
  <dc:subject>Executable DOCX and PDF feature parity fixture</dc:subject>
  <cp:keywords>parity, ooxml, pdf</cp:keywords>
  <cp:lastModifiedBy>RusDox maintainers</cp:lastModifiedBy>
  <dcterms:created xsi:type="dcterms:W3CDTF">2026-03-10T00:00:00Z</dcterms:created>
  <dcterms:modified xsi:type="dcterms:W3CDTF">2026-03-10T00:00:00Z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</Properties>
</file>