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20"/>
      </w:pPr>
      <w:r>
        <w:rPr>
          <w:b/>
          <w:color w:val="0F172A"/>
          <w:sz w:val="52"/>
          <w:szCs w:val="52"/>
          <w:rFonts w:ascii="Arial" w:hAnsi="Arial" w:cs="Arial"/>
        </w:rPr>
        <w:t>Client Proposal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Automation strategy and delivery plan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Prepared for Northwind Logistics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Engagement Goal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Design and implement a document automation pipeline that produces board-ready operational reports, client packs, and internal review documents with consistent formatting and near-zero manual editing.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Scope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Phase 1: </w:t>
      </w:r>
      <w:r>
        <w:rPr>
          <w:color w:val="475569"/>
          <w:sz w:val="22"/>
          <w:szCs w:val="22"/>
          <w:rFonts w:ascii="Arial" w:hAnsi="Arial" w:cs="Arial"/>
        </w:rPr>
        <w:t>Discovery, document inventory, and output design system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Phase 2: </w:t>
      </w:r>
      <w:r>
        <w:rPr>
          <w:color w:val="475569"/>
          <w:sz w:val="22"/>
          <w:szCs w:val="22"/>
          <w:rFonts w:ascii="Arial" w:hAnsi="Arial" w:cs="Arial"/>
        </w:rPr>
        <w:t>Template and generator implementation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Phase 3: </w:t>
      </w:r>
      <w:r>
        <w:rPr>
          <w:color w:val="475569"/>
          <w:sz w:val="22"/>
          <w:szCs w:val="22"/>
          <w:rFonts w:ascii="Arial" w:hAnsi="Arial" w:cs="Arial"/>
        </w:rPr>
        <w:t>Validation, rollout support, and handoff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Delivery Plan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17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Phase</w:t>
            </w:r>
          </w:p>
        </w:tc>
        <w:tc>
          <w:tcPr>
            <w:tcW w:type="dxa" w:w="17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Duration</w:t>
            </w:r>
          </w:p>
        </w:tc>
        <w:tc>
          <w:tcPr>
            <w:tcW w:type="dxa" w:w="59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Outcome</w:t>
            </w:r>
          </w:p>
        </w:tc>
      </w:tr>
      <w:tr>
        <w:tc>
          <w:tcPr>
            <w:tcW w:type="dxa" w:w="17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Discover</w:t>
            </w:r>
          </w:p>
        </w:tc>
        <w:tc>
          <w:tcPr>
            <w:tcW w:type="dxa" w:w="17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week</w:t>
            </w:r>
          </w:p>
        </w:tc>
        <w:tc>
          <w:tcPr>
            <w:tcW w:type="dxa" w:w="59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Map existing workflows and define the output set with stakeholders.</w:t>
            </w:r>
          </w:p>
        </w:tc>
      </w:tr>
      <w:tr>
        <w:tc>
          <w:tcPr>
            <w:tcW w:type="dxa" w:w="17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Build</w:t>
            </w:r>
          </w:p>
        </w:tc>
        <w:tc>
          <w:tcPr>
            <w:tcW w:type="dxa" w:w="17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3 weeks</w:t>
            </w:r>
          </w:p>
        </w:tc>
        <w:tc>
          <w:tcPr>
            <w:tcW w:type="dxa" w:w="59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 generators, formatting helpers, and delivery hooks.</w:t>
            </w:r>
          </w:p>
        </w:tc>
      </w:tr>
      <w:tr>
        <w:tc>
          <w:tcPr>
            <w:tcW w:type="dxa" w:w="17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Rollout</w:t>
            </w:r>
          </w:p>
        </w:tc>
        <w:tc>
          <w:tcPr>
            <w:tcW w:type="dxa" w:w="17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1 week</w:t>
            </w:r>
          </w:p>
        </w:tc>
        <w:tc>
          <w:tcPr>
            <w:tcW w:type="dxa" w:w="59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Run UAT, train operators, and finalize production controls.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Commercials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4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Item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Amount</w:t>
            </w:r>
          </w:p>
        </w:tc>
        <w:tc>
          <w:tcPr>
            <w:tcW w:type="dxa" w:w="33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Notes</w:t>
            </w:r>
          </w:p>
        </w:tc>
      </w:tr>
      <w:tr>
        <w:tc>
          <w:tcPr>
            <w:tcW w:type="dxa" w:w="4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 fee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$24,000</w:t>
            </w:r>
          </w:p>
        </w:tc>
        <w:tc>
          <w:tcPr>
            <w:tcW w:type="dxa" w:w="33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Fixed price for the initial delivery scope.</w:t>
            </w:r>
          </w:p>
        </w:tc>
      </w:tr>
      <w:tr>
        <w:tc>
          <w:tcPr>
            <w:tcW w:type="dxa" w:w="4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Optional managed support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$3,000/mo</w:t>
            </w:r>
          </w:p>
        </w:tc>
        <w:tc>
          <w:tcPr>
            <w:tcW w:type="dxa" w:w="33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Includes template changes, regression checks, and issue triage.</w:t>
            </w:r>
          </w:p>
        </w:tc>
      </w:tr>
    </w:tbl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Why This Works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Speed: </w:t>
      </w:r>
      <w:r>
        <w:rPr>
          <w:color w:val="475569"/>
          <w:sz w:val="22"/>
          <w:szCs w:val="22"/>
          <w:rFonts w:ascii="Arial" w:hAnsi="Arial" w:cs="Arial"/>
        </w:rPr>
        <w:t>Minutes of manual formatting become one command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Consistency: </w:t>
      </w:r>
      <w:r>
        <w:rPr>
          <w:color w:val="475569"/>
          <w:sz w:val="22"/>
          <w:szCs w:val="22"/>
          <w:rFonts w:ascii="Arial" w:hAnsi="Arial" w:cs="Arial"/>
        </w:rPr>
        <w:t>Every generated document uses the same structural rules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Control: </w:t>
      </w:r>
      <w:r>
        <w:rPr>
          <w:color w:val="475569"/>
          <w:sz w:val="22"/>
          <w:szCs w:val="22"/>
          <w:rFonts w:ascii="Arial" w:hAnsi="Arial" w:cs="Arial"/>
        </w:rPr>
        <w:t>The output can be validated in CI before it reaches customers</w:t>
      </w:r>
    </w:p>
    <w:p>
      <w:pPr>
        <w:spacing w:after="70"/>
      </w:pPr>
      <w:r>
        <w:rPr>
          <w:b/>
          <w:color w:val="0F172A"/>
          <w:sz w:val="22"/>
          <w:szCs w:val="22"/>
          <w:rFonts w:ascii="Arial" w:hAnsi="Arial" w:cs="Arial"/>
        </w:rPr>
        <w:t xml:space="preserve">Risk: </w:t>
      </w:r>
      <w:r>
        <w:rPr>
          <w:color w:val="475569"/>
          <w:sz w:val="22"/>
          <w:szCs w:val="22"/>
          <w:rFonts w:ascii="Arial" w:hAnsi="Arial" w:cs="Arial"/>
        </w:rPr>
        <w:t>Minimal, because the rollout plan stages approval and UAT before cutover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Decision Snapshot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1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  <w:tc>
          <w:tcPr>
            <w:tcW w:type="dxa" w:w="42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Comment</w:t>
            </w:r>
          </w:p>
        </w:tc>
      </w:tr>
      <w:tr>
        <w:tc>
          <w:tcPr>
            <w:tcW w:type="dxa" w:w="31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Budget posture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Approved</w:t>
            </w:r>
          </w:p>
        </w:tc>
        <w:tc>
          <w:tcPr>
            <w:tcW w:type="dxa" w:w="42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Implementation fee is fixed and support remains optional.</w:t>
            </w:r>
          </w:p>
        </w:tc>
      </w:tr>
      <w:tr>
        <w:tc>
          <w:tcPr>
            <w:tcW w:type="dxa" w:w="31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Delivery risk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Contained</w:t>
            </w:r>
          </w:p>
        </w:tc>
        <w:tc>
          <w:tcPr>
            <w:tcW w:type="dxa" w:w="42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The phased rollout reduces cutover risk and preserves review checkpoints.</w:t>
            </w:r>
          </w:p>
        </w:tc>
      </w:tr>
      <w:tr>
        <w:tc>
          <w:tcPr>
            <w:tcW w:type="dxa" w:w="31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Decision urgency</w:t>
            </w:r>
          </w:p>
        </w:tc>
        <w:tc>
          <w:tcPr>
            <w:tcW w:type="dxa" w:w="20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EF3C7"/>
          </w:tcPr>
          <w:p>
            <w:pPr>
              <w:jc w:val="center"/>
              <w:spacing w:before="40" w:after="4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This Week</w:t>
            </w:r>
          </w:p>
        </w:tc>
        <w:tc>
          <w:tcPr>
            <w:tcW w:type="dxa" w:w="42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Closing by Friday preserves the preferred implementation slot.</w:t>
            </w:r>
          </w:p>
        </w:tc>
      </w:tr>
    </w:tbl>
    <w:sectPr>
      <w:type w:val="nextPage"/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RusDox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RusDox Document</dc:title>
  <dc:creator>RusDox</dc:creator>
  <cp:lastModifiedBy>RusDox</cp:lastModifiedBy>
  <dcterms:created xsi:type="dcterms:W3CDTF">2026-03-10T00:00:00Z</dcterms:created>
  <dcterms:modified xsi:type="dcterms:W3CDTF">2026-03-10T00:00:00Z</dcterms:modified>
</cp:coreProperties>
</file>