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color w:val="0F172A"/>
          <w:sz w:val="52"/>
          <w:szCs w:val="52"/>
          <w:rFonts w:ascii="Arial" w:hAnsi="Arial" w:cs="Arial"/>
        </w:rPr>
        <w:t>Quarterly Table Report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12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Quarter</w:t>
            </w:r>
          </w:p>
        </w:tc>
        <w:tc>
          <w:tcPr>
            <w:tcW w:type="dxa" w:w="312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312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Growth</w:t>
            </w:r>
          </w:p>
        </w:tc>
      </w:tr>
      <w:tr>
        <w:tc>
          <w:tcPr>
            <w:tcW w:type="dxa" w:w="312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Q1</w:t>
            </w:r>
          </w:p>
        </w:tc>
        <w:tc>
          <w:tcPr>
            <w:tcW w:type="dxa" w:w="312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$120,000</w:t>
            </w:r>
          </w:p>
        </w:tc>
        <w:tc>
          <w:tcPr>
            <w:tcW w:type="dxa" w:w="312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+14%</w:t>
            </w:r>
          </w:p>
        </w:tc>
      </w:tr>
      <w:tr>
        <w:tc>
          <w:tcPr>
            <w:tcW w:type="dxa" w:w="312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Q2</w:t>
            </w:r>
          </w:p>
        </w:tc>
        <w:tc>
          <w:tcPr>
            <w:tcW w:type="dxa" w:w="312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$138,000</w:t>
            </w:r>
          </w:p>
        </w:tc>
        <w:tc>
          <w:tcPr>
            <w:tcW w:type="dxa" w:w="312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+9%</w:t>
            </w:r>
          </w:p>
        </w:tc>
      </w:tr>
    </w:tbl>
    <w:sectPr>
      <w:type w:val="nextPage"/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RusDox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RusDox Document</dc:title>
  <dc:creator>RusDox</dc:creator>
  <cp:lastModifiedBy>RusDox</cp:lastModifiedBy>
  <dcterms:created xsi:type="dcterms:W3CDTF">2026-03-10T00:00:00Z</dcterms:created>
  <dcterms:modified xsi:type="dcterms:W3CDTF">2026-03-10T00:00:00Z</dcterms:modified>
</cp:coreProperties>
</file>