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FA1F7" w14:textId="77777777" w:rsidR="005A1592" w:rsidRPr="005A1592" w:rsidRDefault="005A1592" w:rsidP="005A1592">
      <w:r w:rsidRPr="005A1592">
        <w:t xml:space="preserve">L'article intitulé « Un cadre durable pour prévenir les attaques DDoS </w:t>
      </w:r>
      <w:proofErr w:type="spellStart"/>
      <w:r w:rsidRPr="005A1592">
        <w:t>zero-day</w:t>
      </w:r>
      <w:proofErr w:type="spellEnd"/>
      <w:r w:rsidRPr="005A1592">
        <w:t xml:space="preserve"> dans les systèmes IoT via l’apprentissage automatique » explore un cadre novateur pour détecter et atténuer les attaques DDoS dans les environnements IoT. Ce cadre repose sur des algorithmes d'apprentissage automatique combinés à des honeypots IoT pour identifier et contrer les attaques de manière proactive.</w:t>
      </w:r>
    </w:p>
    <w:p w14:paraId="2BA553FA" w14:textId="77777777" w:rsidR="005A1592" w:rsidRPr="005A1592" w:rsidRDefault="005A1592" w:rsidP="005A1592">
      <w:pPr>
        <w:rPr>
          <w:b/>
          <w:bCs/>
        </w:rPr>
      </w:pPr>
      <w:r w:rsidRPr="005A1592">
        <w:rPr>
          <w:b/>
          <w:bCs/>
        </w:rPr>
        <w:t>Avantages :</w:t>
      </w:r>
    </w:p>
    <w:p w14:paraId="00937019" w14:textId="77777777" w:rsidR="005A1592" w:rsidRPr="005A1592" w:rsidRDefault="005A1592" w:rsidP="005A1592">
      <w:pPr>
        <w:numPr>
          <w:ilvl w:val="0"/>
          <w:numId w:val="1"/>
        </w:numPr>
      </w:pPr>
      <w:r w:rsidRPr="005A1592">
        <w:rPr>
          <w:b/>
          <w:bCs/>
        </w:rPr>
        <w:t>Précision accrue de la détection</w:t>
      </w:r>
      <w:r w:rsidRPr="005A1592">
        <w:t> : En utilisant des modèles d'apprentissage automatique, le cadre peut classifier et prédire efficacement les schémas de trafic anormaux, avec un haut niveau de précision et peu de faux positifs.</w:t>
      </w:r>
    </w:p>
    <w:p w14:paraId="33400D21" w14:textId="77777777" w:rsidR="005A1592" w:rsidRPr="005A1592" w:rsidRDefault="005A1592" w:rsidP="005A1592">
      <w:pPr>
        <w:numPr>
          <w:ilvl w:val="0"/>
          <w:numId w:val="1"/>
        </w:numPr>
      </w:pPr>
      <w:r w:rsidRPr="005A1592">
        <w:rPr>
          <w:b/>
          <w:bCs/>
        </w:rPr>
        <w:t>Adaptabilité</w:t>
      </w:r>
      <w:r w:rsidRPr="005A1592">
        <w:t> : Le cadre met à jour ses mécanismes de défense face à de nouveaux types d'attaques, le rendant ainsi adaptable aux menaces évolutives.</w:t>
      </w:r>
    </w:p>
    <w:p w14:paraId="3B447E9C" w14:textId="77777777" w:rsidR="005A1592" w:rsidRPr="005A1592" w:rsidRDefault="005A1592" w:rsidP="005A1592">
      <w:pPr>
        <w:numPr>
          <w:ilvl w:val="0"/>
          <w:numId w:val="1"/>
        </w:numPr>
      </w:pPr>
      <w:r w:rsidRPr="005A1592">
        <w:rPr>
          <w:b/>
          <w:bCs/>
        </w:rPr>
        <w:t>Utilisation de honeypots IoT</w:t>
      </w:r>
      <w:r w:rsidRPr="005A1592">
        <w:t xml:space="preserve"> : L'inclusion de honeypots spécifiques aux IoT (comme </w:t>
      </w:r>
      <w:proofErr w:type="spellStart"/>
      <w:r w:rsidRPr="005A1592">
        <w:t>ThingPot</w:t>
      </w:r>
      <w:proofErr w:type="spellEnd"/>
      <w:r w:rsidRPr="005A1592">
        <w:t xml:space="preserve"> et </w:t>
      </w:r>
      <w:proofErr w:type="spellStart"/>
      <w:r w:rsidRPr="005A1592">
        <w:t>IoTPot</w:t>
      </w:r>
      <w:proofErr w:type="spellEnd"/>
      <w:r w:rsidRPr="005A1592">
        <w:t>) permet au système d'attirer et d'analyser les activités malveillantes, collectant ainsi des informations précieuses sans exposer les véritables appareils IoT.</w:t>
      </w:r>
    </w:p>
    <w:p w14:paraId="4DBA00EC" w14:textId="77777777" w:rsidR="005A1592" w:rsidRPr="005A1592" w:rsidRDefault="005A1592" w:rsidP="005A1592">
      <w:pPr>
        <w:rPr>
          <w:b/>
          <w:bCs/>
        </w:rPr>
      </w:pPr>
      <w:r w:rsidRPr="005A1592">
        <w:rPr>
          <w:b/>
          <w:bCs/>
        </w:rPr>
        <w:t>Inconvénients et défis :</w:t>
      </w:r>
    </w:p>
    <w:p w14:paraId="73C24296" w14:textId="7BC8E6EE" w:rsidR="005A1592" w:rsidRPr="005A1592" w:rsidRDefault="005A1592" w:rsidP="005A1592">
      <w:pPr>
        <w:numPr>
          <w:ilvl w:val="0"/>
          <w:numId w:val="2"/>
        </w:numPr>
      </w:pPr>
      <w:r w:rsidRPr="005A1592">
        <w:rPr>
          <w:b/>
          <w:bCs/>
        </w:rPr>
        <w:t>Limitations des ressources</w:t>
      </w:r>
      <w:r w:rsidRPr="005A1592">
        <w:t xml:space="preserve"> : Les appareils IoT ont souvent une capacité de traitement et </w:t>
      </w:r>
      <w:r w:rsidR="00EF34B8" w:rsidRPr="005A1592">
        <w:t>une mémoire limitée</w:t>
      </w:r>
      <w:r w:rsidRPr="005A1592">
        <w:t>, ce qui complique la mise en œuvre de mesures de sécurité performantes.</w:t>
      </w:r>
    </w:p>
    <w:p w14:paraId="7E81610F" w14:textId="77777777" w:rsidR="005A1592" w:rsidRPr="005A1592" w:rsidRDefault="005A1592" w:rsidP="005A1592">
      <w:pPr>
        <w:numPr>
          <w:ilvl w:val="0"/>
          <w:numId w:val="2"/>
        </w:numPr>
      </w:pPr>
      <w:r w:rsidRPr="005A1592">
        <w:rPr>
          <w:b/>
          <w:bCs/>
        </w:rPr>
        <w:t>Complexité du traitement en temps réel</w:t>
      </w:r>
      <w:r w:rsidRPr="005A1592">
        <w:t> : La détection et la réponse en temps réel sont essentielles, mais difficiles à réaliser, en particulier dans les réseaux IoT de grande envergure.</w:t>
      </w:r>
    </w:p>
    <w:p w14:paraId="4475844B" w14:textId="77777777" w:rsidR="005A1592" w:rsidRPr="005A1592" w:rsidRDefault="005A1592" w:rsidP="005A1592">
      <w:pPr>
        <w:numPr>
          <w:ilvl w:val="0"/>
          <w:numId w:val="2"/>
        </w:numPr>
      </w:pPr>
      <w:r w:rsidRPr="005A1592">
        <w:rPr>
          <w:b/>
          <w:bCs/>
        </w:rPr>
        <w:t>Limitations des honeypots</w:t>
      </w:r>
      <w:r w:rsidRPr="005A1592">
        <w:t> : Le choix du niveau d'interaction approprié (ex. interaction moyenne pour des contraintes de ressources) est complexe, car les honeypots à haute interaction offrent plus d’informations mais demandent davantage de ressources.</w:t>
      </w:r>
    </w:p>
    <w:p w14:paraId="6B611739" w14:textId="77777777" w:rsidR="005A1592" w:rsidRPr="005A1592" w:rsidRDefault="005A1592" w:rsidP="005A1592">
      <w:pPr>
        <w:rPr>
          <w:b/>
          <w:bCs/>
        </w:rPr>
      </w:pPr>
      <w:r w:rsidRPr="005A1592">
        <w:rPr>
          <w:b/>
          <w:bCs/>
        </w:rPr>
        <w:t>Problèmes rencontrés :</w:t>
      </w:r>
    </w:p>
    <w:p w14:paraId="06C4C7B8" w14:textId="77777777" w:rsidR="005A1592" w:rsidRPr="005A1592" w:rsidRDefault="005A1592" w:rsidP="005A1592">
      <w:pPr>
        <w:numPr>
          <w:ilvl w:val="0"/>
          <w:numId w:val="3"/>
        </w:numPr>
      </w:pPr>
      <w:r w:rsidRPr="005A1592">
        <w:rPr>
          <w:b/>
          <w:bCs/>
        </w:rPr>
        <w:t>Vulnérabilité des protocoles IoT</w:t>
      </w:r>
      <w:r w:rsidRPr="005A1592">
        <w:t> : De nombreux protocoles de communication IoT ne sont pas conçus avec une sécurité renforcée, ce qui complique la mise en place de défenses robustes.</w:t>
      </w:r>
    </w:p>
    <w:p w14:paraId="462E816F" w14:textId="77777777" w:rsidR="005A1592" w:rsidRPr="005A1592" w:rsidRDefault="005A1592" w:rsidP="005A1592">
      <w:pPr>
        <w:numPr>
          <w:ilvl w:val="0"/>
          <w:numId w:val="3"/>
        </w:numPr>
      </w:pPr>
      <w:r w:rsidRPr="005A1592">
        <w:rPr>
          <w:b/>
          <w:bCs/>
        </w:rPr>
        <w:t>Faux positifs</w:t>
      </w:r>
      <w:r w:rsidRPr="005A1592">
        <w:t> : Bien que minimisés, des faux positifs surviennent encore, entraînant parfois des réponses ou des allocations de ressources inutiles.</w:t>
      </w:r>
    </w:p>
    <w:p w14:paraId="012863E2" w14:textId="77777777" w:rsidR="005A1592" w:rsidRPr="005A1592" w:rsidRDefault="005A1592" w:rsidP="005A1592">
      <w:pPr>
        <w:numPr>
          <w:ilvl w:val="0"/>
          <w:numId w:val="3"/>
        </w:numPr>
      </w:pPr>
      <w:r w:rsidRPr="005A1592">
        <w:rPr>
          <w:b/>
          <w:bCs/>
        </w:rPr>
        <w:t>Évolutivité</w:t>
      </w:r>
      <w:r w:rsidRPr="005A1592">
        <w:t xml:space="preserve"> : La nécessité de s’adapter à des écosystèmes IoT à grande échelle peut affecter les performances du cadre, car le comportement du trafic IoT </w:t>
      </w:r>
      <w:r w:rsidRPr="005A1592">
        <w:lastRenderedPageBreak/>
        <w:t>diffère fortement des réseaux conventionnels, ce qui complique l'analyse en temps réel.</w:t>
      </w:r>
    </w:p>
    <w:p w14:paraId="75A0C353" w14:textId="45E8520F" w:rsidR="00345BAF" w:rsidRDefault="005A1592" w:rsidP="005A1592">
      <w:pPr>
        <w:rPr>
          <w:rFonts w:ascii="Arial" w:hAnsi="Arial" w:cs="Arial"/>
        </w:rPr>
      </w:pPr>
      <w:r w:rsidRPr="005A1592">
        <w:t xml:space="preserve">Pour plus de détails, vous pouvez consulter l’article complet sur </w:t>
      </w:r>
      <w:proofErr w:type="spellStart"/>
      <w:r w:rsidRPr="005A1592">
        <w:t>ResearchGate</w:t>
      </w:r>
      <w:proofErr w:type="spellEnd"/>
      <w:r w:rsidRPr="005A1592">
        <w:t> </w:t>
      </w:r>
      <w:hyperlink r:id="rId5" w:tgtFrame="_new" w:history="1">
        <w:r w:rsidRPr="005A1592">
          <w:rPr>
            <w:rStyle w:val="Lienhypertexte"/>
          </w:rPr>
          <w:t>i</w:t>
        </w:r>
        <w:r w:rsidRPr="005A1592">
          <w:rPr>
            <w:rStyle w:val="Lienhypertexte"/>
          </w:rPr>
          <w:t>c</w:t>
        </w:r>
        <w:r w:rsidRPr="005A1592">
          <w:rPr>
            <w:rStyle w:val="Lienhypertexte"/>
          </w:rPr>
          <w:t>i</w:t>
        </w:r>
      </w:hyperlink>
      <w:r w:rsidRPr="005A1592">
        <w:rPr>
          <w:rFonts w:ascii="Arial" w:hAnsi="Arial" w:cs="Arial"/>
        </w:rPr>
        <w:t>​</w:t>
      </w:r>
    </w:p>
    <w:p w14:paraId="47508247" w14:textId="77777777" w:rsidR="005A1592" w:rsidRPr="005A1592" w:rsidRDefault="005A1592" w:rsidP="005A1592">
      <w:r w:rsidRPr="005A1592">
        <w:t>Les attaques par déni de service distribué (DDoS) représentent une menace significative pour les réseaux IoT en raison de leur capacité à surcharger des systèmes via un flot massif de requêtes malveillantes. Pour les contrer, plusieurs méthodes de détection et de prévention basées sur l'apprentissage automatique (ML) et l'informatique en périphérie (</w:t>
      </w:r>
      <w:proofErr w:type="spellStart"/>
      <w:r w:rsidRPr="005A1592">
        <w:t>fog</w:t>
      </w:r>
      <w:proofErr w:type="spellEnd"/>
      <w:r w:rsidRPr="005A1592">
        <w:t xml:space="preserve"> </w:t>
      </w:r>
      <w:proofErr w:type="spellStart"/>
      <w:r w:rsidRPr="005A1592">
        <w:t>computing</w:t>
      </w:r>
      <w:proofErr w:type="spellEnd"/>
      <w:r w:rsidRPr="005A1592">
        <w:t>) sont actuellement en développement.</w:t>
      </w:r>
    </w:p>
    <w:p w14:paraId="0B8453EC" w14:textId="07C9F413" w:rsidR="005A1592" w:rsidRPr="005A1592" w:rsidRDefault="005A1592" w:rsidP="005A1592">
      <w:r w:rsidRPr="005A1592">
        <w:t>L’une des approches récentes consiste à utiliser des modèles d'apprentissage automatique dans des environnements de périphérie pour détecter les comportements anormaux en temps réel. Par exemple, le modèle k-</w:t>
      </w:r>
      <w:proofErr w:type="spellStart"/>
      <w:r w:rsidRPr="005A1592">
        <w:t>Nearest</w:t>
      </w:r>
      <w:proofErr w:type="spellEnd"/>
      <w:r w:rsidRPr="005A1592">
        <w:t xml:space="preserve"> Neighbors (k-NN) s'est avéré efficace dans la classification rapide des données réseau suspectes, facilitant ainsi une réponse rapide aux attaques en blocage ou en réorientation des flux anormaux. Cette méthode tire parti de la proximité des données suspectes avec celles du modèle de trafic réseau normal pour identifier les menaces, ce qui améliore la précision tout en minimisant les faux positifs</w:t>
      </w:r>
    </w:p>
    <w:p w14:paraId="49064CBA" w14:textId="69A536D2" w:rsidR="005A1592" w:rsidRPr="005A1592" w:rsidRDefault="005A1592" w:rsidP="005A1592">
      <w:hyperlink r:id="rId6" w:tgtFrame="_blank" w:history="1">
        <w:proofErr w:type="spellStart"/>
        <w:r w:rsidRPr="005A1592">
          <w:rPr>
            <w:rStyle w:val="Lienhypertexte"/>
          </w:rPr>
          <w:t>Res</w:t>
        </w:r>
        <w:r w:rsidRPr="005A1592">
          <w:rPr>
            <w:rStyle w:val="Lienhypertexte"/>
          </w:rPr>
          <w:t>e</w:t>
        </w:r>
        <w:r w:rsidRPr="005A1592">
          <w:rPr>
            <w:rStyle w:val="Lienhypertexte"/>
          </w:rPr>
          <w:t>archGate</w:t>
        </w:r>
        <w:proofErr w:type="spellEnd"/>
      </w:hyperlink>
      <w:r w:rsidRPr="005A1592">
        <w:t>.</w:t>
      </w:r>
    </w:p>
    <w:p w14:paraId="11BA51F7" w14:textId="77777777" w:rsidR="005A1592" w:rsidRPr="005A1592" w:rsidRDefault="005A1592" w:rsidP="005A1592">
      <w:r w:rsidRPr="005A1592">
        <w:t>En parallèle, l’utilisation d’architectures de confiance multidimensionnelle, telles que le schéma MTBAD (</w:t>
      </w:r>
      <w:proofErr w:type="spellStart"/>
      <w:r w:rsidRPr="005A1592">
        <w:t>Multidimensional</w:t>
      </w:r>
      <w:proofErr w:type="spellEnd"/>
      <w:r w:rsidRPr="005A1592">
        <w:t xml:space="preserve"> Trust-</w:t>
      </w:r>
      <w:proofErr w:type="spellStart"/>
      <w:r w:rsidRPr="005A1592">
        <w:t>Based</w:t>
      </w:r>
      <w:proofErr w:type="spellEnd"/>
      <w:r w:rsidRPr="005A1592">
        <w:t xml:space="preserve"> </w:t>
      </w:r>
      <w:proofErr w:type="spellStart"/>
      <w:r w:rsidRPr="005A1592">
        <w:t>Anomaly</w:t>
      </w:r>
      <w:proofErr w:type="spellEnd"/>
      <w:r w:rsidRPr="005A1592">
        <w:t xml:space="preserve"> </w:t>
      </w:r>
      <w:proofErr w:type="spellStart"/>
      <w:r w:rsidRPr="005A1592">
        <w:t>Detection</w:t>
      </w:r>
      <w:proofErr w:type="spellEnd"/>
      <w:r w:rsidRPr="005A1592">
        <w:t>), permet une détection basée sur la réputation et la qualité du service. Cela aide les systèmes IoT à attribuer un niveau de confiance à chaque nœud et à détecter les anomalies en fonction de seuils définis. Les données suspectes peuvent être placées dans une liste grise pour une analyse plus poussée, permettant un suivi flexible sans interrompre les opérations légitimes</w:t>
      </w:r>
      <w:r w:rsidRPr="005A1592">
        <w:rPr>
          <w:rFonts w:ascii="Arial" w:hAnsi="Arial" w:cs="Arial"/>
        </w:rPr>
        <w:t>​</w:t>
      </w:r>
    </w:p>
    <w:p w14:paraId="47E01A58" w14:textId="0234FFCB" w:rsidR="005A1592" w:rsidRPr="005A1592" w:rsidRDefault="005A1592" w:rsidP="005A1592">
      <w:hyperlink r:id="rId7" w:tgtFrame="_blank" w:history="1">
        <w:proofErr w:type="spellStart"/>
        <w:r w:rsidRPr="005A1592">
          <w:rPr>
            <w:rStyle w:val="Lienhypertexte"/>
          </w:rPr>
          <w:t>ResearchG</w:t>
        </w:r>
        <w:r w:rsidRPr="005A1592">
          <w:rPr>
            <w:rStyle w:val="Lienhypertexte"/>
          </w:rPr>
          <w:t>a</w:t>
        </w:r>
        <w:r w:rsidRPr="005A1592">
          <w:rPr>
            <w:rStyle w:val="Lienhypertexte"/>
          </w:rPr>
          <w:t>te</w:t>
        </w:r>
        <w:proofErr w:type="spellEnd"/>
      </w:hyperlink>
      <w:r w:rsidRPr="005A1592">
        <w:t>.</w:t>
      </w:r>
    </w:p>
    <w:p w14:paraId="59CE48A2" w14:textId="77777777" w:rsidR="00EF34B8" w:rsidRPr="00EF34B8" w:rsidRDefault="005A1592" w:rsidP="00EF34B8">
      <w:r w:rsidRPr="005A1592">
        <w:t xml:space="preserve">Ces approches démontrent que l'utilisation combinée des algorithmes ML et du </w:t>
      </w:r>
      <w:proofErr w:type="spellStart"/>
      <w:r w:rsidRPr="005A1592">
        <w:t>fog</w:t>
      </w:r>
      <w:proofErr w:type="spellEnd"/>
      <w:r w:rsidRPr="005A1592">
        <w:t xml:space="preserve"> </w:t>
      </w:r>
      <w:proofErr w:type="spellStart"/>
      <w:r w:rsidRPr="005A1592">
        <w:t>computing</w:t>
      </w:r>
      <w:proofErr w:type="spellEnd"/>
      <w:r w:rsidRPr="005A1592">
        <w:t xml:space="preserve"> offre une solution flexible et évolutive pour protéger les réseaux IoT, en adaptant la détection et la réponse aux caractéristiques dynamiques de ces réseaux. Ces modèles peuvent également intégrer de nouvelles données d'attaque pour améliorer en continu la base de connaissances de détection, rendant le réseau plus résilient contre des attaques futures.</w:t>
      </w:r>
      <w:r w:rsidR="00EF34B8">
        <w:br/>
      </w:r>
      <w:r w:rsidR="00EF34B8">
        <w:br/>
      </w:r>
      <w:r w:rsidR="00EF34B8" w:rsidRPr="00EF34B8">
        <w:t>Une approche intéressante pour contrer les attaques DDoS dans les environnements IoT, particulièrement via l'informatique en périphérie ("</w:t>
      </w:r>
      <w:proofErr w:type="spellStart"/>
      <w:r w:rsidR="00EF34B8" w:rsidRPr="00EF34B8">
        <w:t>fog</w:t>
      </w:r>
      <w:proofErr w:type="spellEnd"/>
      <w:r w:rsidR="00EF34B8" w:rsidRPr="00EF34B8">
        <w:t xml:space="preserve"> </w:t>
      </w:r>
      <w:proofErr w:type="spellStart"/>
      <w:r w:rsidR="00EF34B8" w:rsidRPr="00EF34B8">
        <w:t>computing</w:t>
      </w:r>
      <w:proofErr w:type="spellEnd"/>
      <w:r w:rsidR="00EF34B8" w:rsidRPr="00EF34B8">
        <w:t xml:space="preserve">"), met en avant à la fois des avantages notables et des défis persistants. Par exemple, le cadre de sécurité FOCUS utilise les ressources locales proches des appareils IoT pour détecter et filtrer les menaces potentielles avant qu'elles ne s'aggravent. En filtrant environ 80 % du trafic au niveau de la périphérie et en ne transférant que 20 % vers le cloud, FOCUS réduit la </w:t>
      </w:r>
      <w:r w:rsidR="00EF34B8" w:rsidRPr="00EF34B8">
        <w:lastRenderedPageBreak/>
        <w:t>latence et diminue l'utilisation des ressources, ce qui améliore l'efficacité. Cependant, la dépendance vis-à-vis de cet environnement hybride périphérie-cloud requiert des techniques de classification sophistiquées, comme les algorithmes basés sur les arbres de décision. Bien que ces méthodes soient efficaces, elles ajoutent de la complexité dans la mise en place et la gestion continue, surtout dans les réseaux IoT dynamiques.</w:t>
      </w:r>
    </w:p>
    <w:p w14:paraId="59C546F7" w14:textId="77777777" w:rsidR="00EF34B8" w:rsidRPr="00EF34B8" w:rsidRDefault="00EF34B8" w:rsidP="00EF34B8">
      <w:r w:rsidRPr="00EF34B8">
        <w:t xml:space="preserve">D'autres chercheurs ont utilisé des algorithmes d'apprentissage profond, comme les réseaux de neurones LSTM, pour prédire et classifier les tentatives de DDoS dans un contexte de </w:t>
      </w:r>
      <w:proofErr w:type="spellStart"/>
      <w:r w:rsidRPr="00EF34B8">
        <w:t>fog</w:t>
      </w:r>
      <w:proofErr w:type="spellEnd"/>
      <w:r w:rsidRPr="00EF34B8">
        <w:t xml:space="preserve"> </w:t>
      </w:r>
      <w:proofErr w:type="spellStart"/>
      <w:r w:rsidRPr="00EF34B8">
        <w:t>computing</w:t>
      </w:r>
      <w:proofErr w:type="spellEnd"/>
      <w:r w:rsidRPr="00EF34B8">
        <w:t>. Bien que très précis, avec des taux de détection dépassant les 90 % pour certains types d'attaques, ce modèle présente aussi des défis importants, notamment en termes de demande de calcul. Étant donné les capacités limitées de traitement et de mémoire des appareils IoT, le maintien de la réactivité de ces systèmes peut devenir problématique, surtout en cas de charges de trafic élevées. Cette contrainte de ressources constitue un défi récurrent dans les efforts de protection DDoS, car les dispositifs IoT sont limités par leur matériel et peuvent facilement être surchargés lors d'attaques volumineuses.</w:t>
      </w:r>
    </w:p>
    <w:p w14:paraId="004062F4" w14:textId="77777777" w:rsidR="00EF34B8" w:rsidRPr="00EF34B8" w:rsidRDefault="00EF34B8" w:rsidP="00EF34B8">
      <w:r w:rsidRPr="00EF34B8">
        <w:t>Il est également nécessaire de développer des solutions de sécurité légères adaptées aux modestes capacités des dispositifs IoT, car les algorithmes classiques de détection d'intrusion peuvent solliciter outre mesure leur puissance de calcul et leur mémoire. Ainsi, un équilibre est requis entre la précision de détection et l'efficacité du système pour rendre ces solutions viables dans des déploiements IoT concrets, comme ceux rencontrés dans les environnements domestiques intelligents ou de santé où la sécurité est cruciale, mais les ressources limitées.</w:t>
      </w:r>
    </w:p>
    <w:p w14:paraId="349BE7E5" w14:textId="77777777" w:rsidR="00A937E0" w:rsidRPr="00A937E0" w:rsidRDefault="00A937E0" w:rsidP="00A937E0">
      <w:r w:rsidRPr="00A937E0">
        <w:t>En somme, bien que l'informatique en périphérie offre des perspectives prometteuses pour réduire la latence et localiser l’atténuation des attaques, la garantie de l'évolutivité et la minimisation des demandes computationnelles demeurent des domaines clés pour les recherches et développements futurs dans les cadres de défense DDoS pour l'IoT.</w:t>
      </w:r>
    </w:p>
    <w:p w14:paraId="5C1C0E63" w14:textId="77777777" w:rsidR="00A937E0" w:rsidRPr="00A937E0" w:rsidRDefault="00A937E0" w:rsidP="00A937E0">
      <w:hyperlink r:id="rId8" w:tgtFrame="_new" w:history="1">
        <w:r w:rsidRPr="00A937E0">
          <w:rPr>
            <w:rStyle w:val="Lienhypertexte"/>
          </w:rPr>
          <w:t xml:space="preserve">Consulter l'article sur </w:t>
        </w:r>
        <w:proofErr w:type="spellStart"/>
        <w:r w:rsidRPr="00A937E0">
          <w:rPr>
            <w:rStyle w:val="Lienhypertexte"/>
          </w:rPr>
          <w:t>ResearchGate</w:t>
        </w:r>
        <w:proofErr w:type="spellEnd"/>
      </w:hyperlink>
    </w:p>
    <w:p w14:paraId="7B5F8552" w14:textId="38D0931A" w:rsidR="005A1592" w:rsidRPr="005A1592" w:rsidRDefault="005A1592" w:rsidP="005A1592"/>
    <w:p w14:paraId="567604E7" w14:textId="77777777" w:rsidR="005A1592" w:rsidRPr="005A1592" w:rsidRDefault="005A1592" w:rsidP="005A1592"/>
    <w:sectPr w:rsidR="005A1592" w:rsidRPr="005A1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43FB3"/>
    <w:multiLevelType w:val="multilevel"/>
    <w:tmpl w:val="0B20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575E5B"/>
    <w:multiLevelType w:val="multilevel"/>
    <w:tmpl w:val="0328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A44F27"/>
    <w:multiLevelType w:val="multilevel"/>
    <w:tmpl w:val="7D34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775465">
    <w:abstractNumId w:val="0"/>
  </w:num>
  <w:num w:numId="2" w16cid:durableId="422578341">
    <w:abstractNumId w:val="2"/>
  </w:num>
  <w:num w:numId="3" w16cid:durableId="118065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92"/>
    <w:rsid w:val="0026021E"/>
    <w:rsid w:val="00345BAF"/>
    <w:rsid w:val="005A1592"/>
    <w:rsid w:val="00A937E0"/>
    <w:rsid w:val="00C5336C"/>
    <w:rsid w:val="00EF3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26DB"/>
  <w15:chartTrackingRefBased/>
  <w15:docId w15:val="{BA6C6468-1041-412D-9F9C-150F752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1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A1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15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15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15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15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15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15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15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15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A15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15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15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15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15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15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15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1592"/>
    <w:rPr>
      <w:rFonts w:eastAsiaTheme="majorEastAsia" w:cstheme="majorBidi"/>
      <w:color w:val="272727" w:themeColor="text1" w:themeTint="D8"/>
    </w:rPr>
  </w:style>
  <w:style w:type="paragraph" w:styleId="Titre">
    <w:name w:val="Title"/>
    <w:basedOn w:val="Normal"/>
    <w:next w:val="Normal"/>
    <w:link w:val="TitreCar"/>
    <w:uiPriority w:val="10"/>
    <w:qFormat/>
    <w:rsid w:val="005A1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15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15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15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1592"/>
    <w:pPr>
      <w:spacing w:before="160"/>
      <w:jc w:val="center"/>
    </w:pPr>
    <w:rPr>
      <w:i/>
      <w:iCs/>
      <w:color w:val="404040" w:themeColor="text1" w:themeTint="BF"/>
    </w:rPr>
  </w:style>
  <w:style w:type="character" w:customStyle="1" w:styleId="CitationCar">
    <w:name w:val="Citation Car"/>
    <w:basedOn w:val="Policepardfaut"/>
    <w:link w:val="Citation"/>
    <w:uiPriority w:val="29"/>
    <w:rsid w:val="005A1592"/>
    <w:rPr>
      <w:i/>
      <w:iCs/>
      <w:color w:val="404040" w:themeColor="text1" w:themeTint="BF"/>
    </w:rPr>
  </w:style>
  <w:style w:type="paragraph" w:styleId="Paragraphedeliste">
    <w:name w:val="List Paragraph"/>
    <w:basedOn w:val="Normal"/>
    <w:uiPriority w:val="34"/>
    <w:qFormat/>
    <w:rsid w:val="005A1592"/>
    <w:pPr>
      <w:ind w:left="720"/>
      <w:contextualSpacing/>
    </w:pPr>
  </w:style>
  <w:style w:type="character" w:styleId="Accentuationintense">
    <w:name w:val="Intense Emphasis"/>
    <w:basedOn w:val="Policepardfaut"/>
    <w:uiPriority w:val="21"/>
    <w:qFormat/>
    <w:rsid w:val="005A1592"/>
    <w:rPr>
      <w:i/>
      <w:iCs/>
      <w:color w:val="0F4761" w:themeColor="accent1" w:themeShade="BF"/>
    </w:rPr>
  </w:style>
  <w:style w:type="paragraph" w:styleId="Citationintense">
    <w:name w:val="Intense Quote"/>
    <w:basedOn w:val="Normal"/>
    <w:next w:val="Normal"/>
    <w:link w:val="CitationintenseCar"/>
    <w:uiPriority w:val="30"/>
    <w:qFormat/>
    <w:rsid w:val="005A1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1592"/>
    <w:rPr>
      <w:i/>
      <w:iCs/>
      <w:color w:val="0F4761" w:themeColor="accent1" w:themeShade="BF"/>
    </w:rPr>
  </w:style>
  <w:style w:type="character" w:styleId="Rfrenceintense">
    <w:name w:val="Intense Reference"/>
    <w:basedOn w:val="Policepardfaut"/>
    <w:uiPriority w:val="32"/>
    <w:qFormat/>
    <w:rsid w:val="005A1592"/>
    <w:rPr>
      <w:b/>
      <w:bCs/>
      <w:smallCaps/>
      <w:color w:val="0F4761" w:themeColor="accent1" w:themeShade="BF"/>
      <w:spacing w:val="5"/>
    </w:rPr>
  </w:style>
  <w:style w:type="character" w:styleId="Lienhypertexte">
    <w:name w:val="Hyperlink"/>
    <w:basedOn w:val="Policepardfaut"/>
    <w:uiPriority w:val="99"/>
    <w:unhideWhenUsed/>
    <w:rsid w:val="005A1592"/>
    <w:rPr>
      <w:color w:val="467886" w:themeColor="hyperlink"/>
      <w:u w:val="single"/>
    </w:rPr>
  </w:style>
  <w:style w:type="character" w:styleId="Mentionnonrsolue">
    <w:name w:val="Unresolved Mention"/>
    <w:basedOn w:val="Policepardfaut"/>
    <w:uiPriority w:val="99"/>
    <w:semiHidden/>
    <w:unhideWhenUsed/>
    <w:rsid w:val="005A1592"/>
    <w:rPr>
      <w:color w:val="605E5C"/>
      <w:shd w:val="clear" w:color="auto" w:fill="E1DFDD"/>
    </w:rPr>
  </w:style>
  <w:style w:type="character" w:styleId="Lienhypertextesuivivisit">
    <w:name w:val="FollowedHyperlink"/>
    <w:basedOn w:val="Policepardfaut"/>
    <w:uiPriority w:val="99"/>
    <w:semiHidden/>
    <w:unhideWhenUsed/>
    <w:rsid w:val="005A1592"/>
    <w:rPr>
      <w:color w:val="96607D" w:themeColor="followedHyperlink"/>
      <w:u w:val="single"/>
    </w:rPr>
  </w:style>
  <w:style w:type="paragraph" w:styleId="NormalWeb">
    <w:name w:val="Normal (Web)"/>
    <w:basedOn w:val="Normal"/>
    <w:uiPriority w:val="99"/>
    <w:semiHidden/>
    <w:unhideWhenUsed/>
    <w:rsid w:val="00EF34B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7480">
      <w:bodyDiv w:val="1"/>
      <w:marLeft w:val="0"/>
      <w:marRight w:val="0"/>
      <w:marTop w:val="0"/>
      <w:marBottom w:val="0"/>
      <w:divBdr>
        <w:top w:val="none" w:sz="0" w:space="0" w:color="auto"/>
        <w:left w:val="none" w:sz="0" w:space="0" w:color="auto"/>
        <w:bottom w:val="none" w:sz="0" w:space="0" w:color="auto"/>
        <w:right w:val="none" w:sz="0" w:space="0" w:color="auto"/>
      </w:divBdr>
    </w:div>
    <w:div w:id="685014720">
      <w:bodyDiv w:val="1"/>
      <w:marLeft w:val="0"/>
      <w:marRight w:val="0"/>
      <w:marTop w:val="0"/>
      <w:marBottom w:val="0"/>
      <w:divBdr>
        <w:top w:val="none" w:sz="0" w:space="0" w:color="auto"/>
        <w:left w:val="none" w:sz="0" w:space="0" w:color="auto"/>
        <w:bottom w:val="none" w:sz="0" w:space="0" w:color="auto"/>
        <w:right w:val="none" w:sz="0" w:space="0" w:color="auto"/>
      </w:divBdr>
    </w:div>
    <w:div w:id="923611620">
      <w:bodyDiv w:val="1"/>
      <w:marLeft w:val="0"/>
      <w:marRight w:val="0"/>
      <w:marTop w:val="0"/>
      <w:marBottom w:val="0"/>
      <w:divBdr>
        <w:top w:val="none" w:sz="0" w:space="0" w:color="auto"/>
        <w:left w:val="none" w:sz="0" w:space="0" w:color="auto"/>
        <w:bottom w:val="none" w:sz="0" w:space="0" w:color="auto"/>
        <w:right w:val="none" w:sz="0" w:space="0" w:color="auto"/>
      </w:divBdr>
    </w:div>
    <w:div w:id="1217660707">
      <w:bodyDiv w:val="1"/>
      <w:marLeft w:val="0"/>
      <w:marRight w:val="0"/>
      <w:marTop w:val="0"/>
      <w:marBottom w:val="0"/>
      <w:divBdr>
        <w:top w:val="none" w:sz="0" w:space="0" w:color="auto"/>
        <w:left w:val="none" w:sz="0" w:space="0" w:color="auto"/>
        <w:bottom w:val="none" w:sz="0" w:space="0" w:color="auto"/>
        <w:right w:val="none" w:sz="0" w:space="0" w:color="auto"/>
      </w:divBdr>
    </w:div>
    <w:div w:id="1308244174">
      <w:bodyDiv w:val="1"/>
      <w:marLeft w:val="0"/>
      <w:marRight w:val="0"/>
      <w:marTop w:val="0"/>
      <w:marBottom w:val="0"/>
      <w:divBdr>
        <w:top w:val="none" w:sz="0" w:space="0" w:color="auto"/>
        <w:left w:val="none" w:sz="0" w:space="0" w:color="auto"/>
        <w:bottom w:val="none" w:sz="0" w:space="0" w:color="auto"/>
        <w:right w:val="none" w:sz="0" w:space="0" w:color="auto"/>
      </w:divBdr>
      <w:divsChild>
        <w:div w:id="1334379679">
          <w:marLeft w:val="0"/>
          <w:marRight w:val="0"/>
          <w:marTop w:val="0"/>
          <w:marBottom w:val="0"/>
          <w:divBdr>
            <w:top w:val="single" w:sz="2" w:space="0" w:color="E3E3E3"/>
            <w:left w:val="single" w:sz="2" w:space="0" w:color="E3E3E3"/>
            <w:bottom w:val="single" w:sz="2" w:space="0" w:color="E3E3E3"/>
            <w:right w:val="single" w:sz="2" w:space="0" w:color="E3E3E3"/>
          </w:divBdr>
        </w:div>
        <w:div w:id="1218591349">
          <w:marLeft w:val="0"/>
          <w:marRight w:val="0"/>
          <w:marTop w:val="0"/>
          <w:marBottom w:val="0"/>
          <w:divBdr>
            <w:top w:val="single" w:sz="2" w:space="0" w:color="E3E3E3"/>
            <w:left w:val="single" w:sz="2" w:space="0" w:color="E3E3E3"/>
            <w:bottom w:val="single" w:sz="2" w:space="0" w:color="E3E3E3"/>
            <w:right w:val="single" w:sz="2" w:space="0" w:color="E3E3E3"/>
          </w:divBdr>
        </w:div>
        <w:div w:id="76908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455064">
      <w:bodyDiv w:val="1"/>
      <w:marLeft w:val="0"/>
      <w:marRight w:val="0"/>
      <w:marTop w:val="0"/>
      <w:marBottom w:val="0"/>
      <w:divBdr>
        <w:top w:val="none" w:sz="0" w:space="0" w:color="auto"/>
        <w:left w:val="none" w:sz="0" w:space="0" w:color="auto"/>
        <w:bottom w:val="none" w:sz="0" w:space="0" w:color="auto"/>
        <w:right w:val="none" w:sz="0" w:space="0" w:color="auto"/>
      </w:divBdr>
    </w:div>
    <w:div w:id="1505125761">
      <w:bodyDiv w:val="1"/>
      <w:marLeft w:val="0"/>
      <w:marRight w:val="0"/>
      <w:marTop w:val="0"/>
      <w:marBottom w:val="0"/>
      <w:divBdr>
        <w:top w:val="none" w:sz="0" w:space="0" w:color="auto"/>
        <w:left w:val="none" w:sz="0" w:space="0" w:color="auto"/>
        <w:bottom w:val="none" w:sz="0" w:space="0" w:color="auto"/>
        <w:right w:val="none" w:sz="0" w:space="0" w:color="auto"/>
      </w:divBdr>
      <w:divsChild>
        <w:div w:id="1562329847">
          <w:marLeft w:val="0"/>
          <w:marRight w:val="0"/>
          <w:marTop w:val="0"/>
          <w:marBottom w:val="0"/>
          <w:divBdr>
            <w:top w:val="single" w:sz="2" w:space="0" w:color="E3E3E3"/>
            <w:left w:val="single" w:sz="2" w:space="0" w:color="E3E3E3"/>
            <w:bottom w:val="single" w:sz="2" w:space="0" w:color="E3E3E3"/>
            <w:right w:val="single" w:sz="2" w:space="0" w:color="E3E3E3"/>
          </w:divBdr>
        </w:div>
        <w:div w:id="228535698">
          <w:marLeft w:val="0"/>
          <w:marRight w:val="0"/>
          <w:marTop w:val="0"/>
          <w:marBottom w:val="0"/>
          <w:divBdr>
            <w:top w:val="single" w:sz="2" w:space="0" w:color="E3E3E3"/>
            <w:left w:val="single" w:sz="2" w:space="0" w:color="E3E3E3"/>
            <w:bottom w:val="single" w:sz="2" w:space="0" w:color="E3E3E3"/>
            <w:right w:val="single" w:sz="2" w:space="0" w:color="E3E3E3"/>
          </w:divBdr>
        </w:div>
        <w:div w:id="152242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169457">
      <w:bodyDiv w:val="1"/>
      <w:marLeft w:val="0"/>
      <w:marRight w:val="0"/>
      <w:marTop w:val="0"/>
      <w:marBottom w:val="0"/>
      <w:divBdr>
        <w:top w:val="none" w:sz="0" w:space="0" w:color="auto"/>
        <w:left w:val="none" w:sz="0" w:space="0" w:color="auto"/>
        <w:bottom w:val="none" w:sz="0" w:space="0" w:color="auto"/>
        <w:right w:val="none" w:sz="0" w:space="0" w:color="auto"/>
      </w:divBdr>
    </w:div>
    <w:div w:id="1921985765">
      <w:bodyDiv w:val="1"/>
      <w:marLeft w:val="0"/>
      <w:marRight w:val="0"/>
      <w:marTop w:val="0"/>
      <w:marBottom w:val="0"/>
      <w:divBdr>
        <w:top w:val="none" w:sz="0" w:space="0" w:color="auto"/>
        <w:left w:val="none" w:sz="0" w:space="0" w:color="auto"/>
        <w:bottom w:val="none" w:sz="0" w:space="0" w:color="auto"/>
        <w:right w:val="none" w:sz="0" w:space="0" w:color="auto"/>
      </w:divBdr>
    </w:div>
    <w:div w:id="205423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ehdi-Manna-2/publication/360997167_Detection_and_mitigation_of_DDoS_attacks_in_internet_of_things_using_a_fog_computing_hybrid_approach/links/629e40f455273755ebd7d192/Detection-and-mitigation-of-DDoS-attacks-in-internet-of-things-using-a-fog-computing-hybrid-approach.pdf" TargetMode="External"/><Relationship Id="rId3" Type="http://schemas.openxmlformats.org/officeDocument/2006/relationships/settings" Target="settings.xml"/><Relationship Id="rId7" Type="http://schemas.openxmlformats.org/officeDocument/2006/relationships/hyperlink" Target="https://www.researchgate.net/publication/369456633_FMDADM_A_Multi-Layer_DDoS_Attack_Detection_and_Mitigation_Framework_Using_Machine_Learning_for_Stateful_SDN-Based_IoT_Networks/fulltext/641c4fed315dfb4ccea0b71e/FMDADM-A-Multi-Layer-DDoS-Attack-Detection-and-Mitigation-Framework-Using-Machine-Learning-for-Stateful-SDN-Based-IoT-Network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Raheel-Hassan-4/publication/350334702_A_DDoS_Attack_Mitigation_Framework_for_IoT_Networks_using_Fog_Computing/links/61308bf40360302a0073e03c/A-DDoS-Attack-Mitigation-Framework-for-IoT-Networks-using-Fog-Computing.pdf" TargetMode="External"/><Relationship Id="rId5" Type="http://schemas.openxmlformats.org/officeDocument/2006/relationships/hyperlink" Target="https://www.researchgate.net/publication/349641798_A_Sustainable_Framework_for_Preventing_IoT_Systems_from_Zero_Day_DDoS_Attacks_by_Machine_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1270</Words>
  <Characters>6986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Abderrahman Bzaiz</dc:creator>
  <cp:keywords/>
  <dc:description/>
  <cp:lastModifiedBy>Abderrahman Bzaiz</cp:lastModifiedBy>
  <cp:revision>1</cp:revision>
  <dcterms:created xsi:type="dcterms:W3CDTF">2024-11-14T00:08:00Z</dcterms:created>
  <dcterms:modified xsi:type="dcterms:W3CDTF">2024-11-14T00:43:00Z</dcterms:modified>
</cp:coreProperties>
</file>