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1F4E79"/>
          <w:sz w:val="34"/>
        </w:rPr>
        <w:t>OTHMAN ALABED</w:t>
      </w:r>
    </w:p>
    <w:p>
      <w:pPr>
        <w:spacing w:before="0" w:after="20" w:line="240" w:lineRule="auto"/>
        <w:jc w:val="center"/>
      </w:pPr>
      <w:r>
        <w:rPr>
          <w:b/>
          <w:sz w:val="19"/>
        </w:rPr>
        <w:t>MIS &amp; Data Analytics Specialist | Data Analyst | Business Analyst | Power BI | SQL | Python</w:t>
      </w:r>
    </w:p>
    <w:p>
      <w:pPr>
        <w:spacing w:before="0" w:after="0" w:line="240" w:lineRule="auto"/>
        <w:jc w:val="center"/>
      </w:pPr>
      <w:r>
        <w:rPr>
          <w:sz w:val="16"/>
        </w:rPr>
        <w:t>Doha, Qatar | +974 5084 3220 | 1othmanalabed1@gmail.com | linkedin.com/in/othman-alabed | github.com/Othmanxo | othmanxo.github.io</w:t>
      </w:r>
    </w:p>
    <w:p>
      <w:pPr>
        <w:spacing w:before="0" w:after="60" w:line="240" w:lineRule="auto"/>
        <w:pBdr>
          <w:bottom w:val="single" w:sz="6" w:space="1" w:color="1F4E79"/>
        </w:pBdr>
      </w:pPr>
    </w:p>
    <w:p>
      <w:pPr>
        <w:spacing w:before="100" w:after="40" w:line="240" w:lineRule="auto"/>
      </w:pPr>
      <w:r>
        <w:rPr>
          <w:b/>
          <w:color w:val="1F4E79"/>
          <w:sz w:val="18"/>
        </w:rPr>
        <w:t>PROFESSIONAL SUMMARY</w:t>
      </w:r>
    </w:p>
    <w:p>
      <w:pPr>
        <w:spacing w:before="0" w:after="40" w:line="252" w:lineRule="auto"/>
      </w:pPr>
      <w:r>
        <w:rPr>
          <w:sz w:val="17"/>
        </w:rPr>
        <w:t>Management Information Systems graduate based in Doha, Qatar, specializing in data analytics, business intelligence, and technology-enabled decision-making. Experienced in Excel, Power BI, SQL, Python, CRM tracking, market research, and B2B growth, with a focus on turning raw datasets into structured insights, KPIs, dashboards, and decision-ready reports. Strong fit for Data Analyst, Business Analyst, BI Analyst, IT Analyst, Product Analyst, and Graduate Consultant roles.</w:t>
      </w:r>
    </w:p>
    <w:p>
      <w:pPr>
        <w:spacing w:before="100" w:after="40" w:line="240" w:lineRule="auto"/>
      </w:pPr>
      <w:r>
        <w:rPr>
          <w:b/>
          <w:color w:val="1F4E79"/>
          <w:sz w:val="18"/>
        </w:rPr>
        <w:t>TECHNICAL SKILLS</w:t>
      </w:r>
    </w:p>
    <w:p>
      <w:pPr>
        <w:spacing w:before="0" w:after="22" w:line="240" w:lineRule="auto"/>
      </w:pPr>
      <w:r>
        <w:rPr>
          <w:b/>
          <w:sz w:val="16"/>
        </w:rPr>
        <w:t xml:space="preserve">Analytics: </w:t>
      </w:r>
      <w:r>
        <w:rPr>
          <w:sz w:val="16"/>
        </w:rPr>
        <w:t>Data cleaning, exploratory analysis, KPI development, dashboarding, business intelligence reporting, market research, funnel analysis, stakeholder insights</w:t>
      </w:r>
    </w:p>
    <w:p>
      <w:pPr>
        <w:spacing w:before="0" w:after="22" w:line="240" w:lineRule="auto"/>
      </w:pPr>
      <w:r>
        <w:rPr>
          <w:b/>
          <w:sz w:val="16"/>
        </w:rPr>
        <w:t xml:space="preserve">Tools: </w:t>
      </w:r>
      <w:r>
        <w:rPr>
          <w:sz w:val="16"/>
        </w:rPr>
        <w:t>Excel (PivotTables, Power Query, dashboards), Power BI, SQL, Python (pandas, NumPy, Jupyter), Git/GitHub, CRM/pipeline tracking</w:t>
      </w:r>
    </w:p>
    <w:p>
      <w:pPr>
        <w:spacing w:before="0" w:after="22" w:line="240" w:lineRule="auto"/>
      </w:pPr>
      <w:r>
        <w:rPr>
          <w:b/>
          <w:sz w:val="16"/>
        </w:rPr>
        <w:t xml:space="preserve">Methods: </w:t>
      </w:r>
      <w:r>
        <w:rPr>
          <w:sz w:val="16"/>
        </w:rPr>
        <w:t>Data visualization, trend analysis, segmentation, basic statistics, reproducible reporting, network/knowledge-graph analysis</w:t>
      </w:r>
    </w:p>
    <w:p>
      <w:pPr>
        <w:spacing w:before="100" w:after="40" w:line="240" w:lineRule="auto"/>
      </w:pPr>
      <w:r>
        <w:rPr>
          <w:b/>
          <w:color w:val="1F4E79"/>
          <w:sz w:val="18"/>
        </w:rPr>
        <w:t>PROFESSIONAL EXPERIENCE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60"/>
        <w:gridCol w:w="2952"/>
      </w:tblGrid>
      <w:tr>
        <w:tc>
          <w:tcPr>
            <w:tcW w:type="dxa" w:w="5371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CERN - IT Summer Student, Data &amp; Analytics</w:t>
            </w:r>
          </w:p>
        </w:tc>
        <w:tc>
          <w:tcPr>
            <w:tcW w:type="dxa" w:w="5371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sz w:val="16"/>
              </w:rPr>
              <w:t>Jul 2025 - Aug 2025</w:t>
            </w:r>
          </w:p>
        </w:tc>
      </w:tr>
    </w:tbl>
    <w:p>
      <w:pPr>
        <w:spacing w:before="0" w:after="24" w:line="240" w:lineRule="auto"/>
        <w:ind w:left="259" w:hanging="173"/>
      </w:pPr>
      <w:r>
        <w:rPr>
          <w:sz w:val="16"/>
        </w:rPr>
        <w:t xml:space="preserve">• </w:t>
      </w:r>
      <w:r>
        <w:rPr>
          <w:sz w:val="16"/>
        </w:rPr>
        <w:t>Analyzed bibliometric and research-metadata datasets from OpenAlex to identify emerging patterns in quantum-computing research.</w:t>
      </w:r>
    </w:p>
    <w:p>
      <w:pPr>
        <w:spacing w:before="0" w:after="24" w:line="240" w:lineRule="auto"/>
        <w:ind w:left="259" w:hanging="173"/>
      </w:pPr>
      <w:r>
        <w:rPr>
          <w:sz w:val="16"/>
        </w:rPr>
        <w:t xml:space="preserve">• </w:t>
      </w:r>
      <w:r>
        <w:rPr>
          <w:sz w:val="16"/>
        </w:rPr>
        <w:t>Built Python-based analysis workflows using pandas and visualization methods to track publication trends, concept emergence, and knowledge-graph relationships.</w:t>
      </w:r>
    </w:p>
    <w:p>
      <w:pPr>
        <w:spacing w:before="0" w:after="24" w:line="240" w:lineRule="auto"/>
        <w:ind w:left="259" w:hanging="173"/>
      </w:pPr>
      <w:r>
        <w:rPr>
          <w:sz w:val="16"/>
        </w:rPr>
        <w:t xml:space="preserve">• </w:t>
      </w:r>
      <w:r>
        <w:rPr>
          <w:sz w:val="16"/>
        </w:rPr>
        <w:t>Prototyped an early-warning analytics approach using entropy trajectories and network dynamics; translated findings into a poster and final report for a technical research audience.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60"/>
        <w:gridCol w:w="2952"/>
      </w:tblGrid>
      <w:tr>
        <w:tc>
          <w:tcPr>
            <w:tcW w:type="dxa" w:w="5371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DineNorder - Sales &amp; Business Development Manager, Data-Driven Growth</w:t>
            </w:r>
          </w:p>
        </w:tc>
        <w:tc>
          <w:tcPr>
            <w:tcW w:type="dxa" w:w="5371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sz w:val="16"/>
              </w:rPr>
              <w:t>Dec 2024 - Sep 2025</w:t>
            </w:r>
          </w:p>
        </w:tc>
      </w:tr>
    </w:tbl>
    <w:p>
      <w:pPr>
        <w:spacing w:before="0" w:after="24" w:line="240" w:lineRule="auto"/>
        <w:ind w:left="259" w:hanging="173"/>
      </w:pPr>
      <w:r>
        <w:rPr>
          <w:sz w:val="16"/>
        </w:rPr>
        <w:t xml:space="preserve">• </w:t>
      </w:r>
      <w:r>
        <w:rPr>
          <w:sz w:val="16"/>
        </w:rPr>
        <w:t>Conducted on-site customer discovery with Doha restaurants and cafes to validate product-market fit and convert buyer pain points into prioritized product and go-to-market actions.</w:t>
      </w:r>
    </w:p>
    <w:p>
      <w:pPr>
        <w:spacing w:before="0" w:after="24" w:line="240" w:lineRule="auto"/>
        <w:ind w:left="259" w:hanging="173"/>
      </w:pPr>
      <w:r>
        <w:rPr>
          <w:sz w:val="16"/>
        </w:rPr>
        <w:t xml:space="preserve">• </w:t>
      </w:r>
      <w:r>
        <w:rPr>
          <w:sz w:val="16"/>
        </w:rPr>
        <w:t>Built and managed a structured CRM outreach pipeline to track leads, follow-ups, funnel status, and partner engagement across B2B prospects.</w:t>
      </w:r>
    </w:p>
    <w:p>
      <w:pPr>
        <w:spacing w:before="0" w:after="24" w:line="240" w:lineRule="auto"/>
        <w:ind w:left="259" w:hanging="173"/>
      </w:pPr>
      <w:r>
        <w:rPr>
          <w:sz w:val="16"/>
        </w:rPr>
        <w:t xml:space="preserve">• </w:t>
      </w:r>
      <w:r>
        <w:rPr>
          <w:sz w:val="16"/>
        </w:rPr>
        <w:t>Performed market and competitor research across restaurant technology, digital ordering, and customer-engagement solutions to strengthen sales messaging and positioning.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60"/>
        <w:gridCol w:w="2952"/>
      </w:tblGrid>
      <w:tr>
        <w:tc>
          <w:tcPr>
            <w:tcW w:type="dxa" w:w="5371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MyFatoorah - B2B Sales Representative</w:t>
            </w:r>
          </w:p>
        </w:tc>
        <w:tc>
          <w:tcPr>
            <w:tcW w:type="dxa" w:w="5371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sz w:val="16"/>
              </w:rPr>
              <w:t>Oct 2020 - Feb 2022</w:t>
            </w:r>
          </w:p>
        </w:tc>
      </w:tr>
    </w:tbl>
    <w:p>
      <w:pPr>
        <w:spacing w:before="0" w:after="24" w:line="240" w:lineRule="auto"/>
        <w:ind w:left="259" w:hanging="173"/>
      </w:pPr>
      <w:r>
        <w:rPr>
          <w:sz w:val="16"/>
        </w:rPr>
        <w:t xml:space="preserve">• </w:t>
      </w:r>
      <w:r>
        <w:rPr>
          <w:sz w:val="16"/>
        </w:rPr>
        <w:t>Increased customer acquisition by 56% over two years through structured prospecting, pipeline tracking, and follow-up discipline.</w:t>
      </w:r>
    </w:p>
    <w:p>
      <w:pPr>
        <w:spacing w:before="0" w:after="24" w:line="240" w:lineRule="auto"/>
        <w:ind w:left="259" w:hanging="173"/>
      </w:pPr>
      <w:r>
        <w:rPr>
          <w:sz w:val="16"/>
        </w:rPr>
        <w:t xml:space="preserve">• </w:t>
      </w:r>
      <w:r>
        <w:rPr>
          <w:sz w:val="16"/>
        </w:rPr>
        <w:t>Identified growth opportunities across 10 target sectors through market segmentation and customer research, contributing to a 35% increase in B2B leads.</w:t>
      </w:r>
    </w:p>
    <w:p>
      <w:pPr>
        <w:spacing w:before="0" w:after="24" w:line="240" w:lineRule="auto"/>
        <w:ind w:left="259" w:hanging="173"/>
      </w:pPr>
      <w:r>
        <w:rPr>
          <w:sz w:val="16"/>
        </w:rPr>
        <w:t xml:space="preserve">• </w:t>
      </w:r>
      <w:r>
        <w:rPr>
          <w:sz w:val="16"/>
        </w:rPr>
        <w:t>Communicated payment-solution value propositions to merchants and supported B2B relationship development, onboarding, and account growth.</w:t>
      </w:r>
    </w:p>
    <w:p>
      <w:pPr>
        <w:spacing w:before="100" w:after="40" w:line="240" w:lineRule="auto"/>
      </w:pPr>
      <w:r>
        <w:rPr>
          <w:b/>
          <w:color w:val="1F4E79"/>
          <w:sz w:val="18"/>
        </w:rPr>
        <w:t>SELECTED ANALYTICS PROJECTS</w:t>
      </w:r>
    </w:p>
    <w:p>
      <w:pPr>
        <w:spacing w:before="0" w:after="24" w:line="240" w:lineRule="auto"/>
        <w:ind w:left="259" w:hanging="173"/>
      </w:pPr>
      <w:r>
        <w:rPr>
          <w:sz w:val="16"/>
        </w:rPr>
        <w:t xml:space="preserve">• </w:t>
      </w:r>
      <w:r>
        <w:rPr>
          <w:sz w:val="16"/>
        </w:rPr>
        <w:t>Pizza Sales Analysis Dashboard (Power BI, SQL, GitHub Pages): Built a BI dashboard analyzing revenue, order trends, category and size performance, and best/worst sellers; published the project on GitHub Pages.</w:t>
      </w:r>
    </w:p>
    <w:p>
      <w:pPr>
        <w:spacing w:before="0" w:after="24" w:line="240" w:lineRule="auto"/>
        <w:ind w:left="259" w:hanging="173"/>
      </w:pPr>
      <w:r>
        <w:rPr>
          <w:sz w:val="16"/>
        </w:rPr>
        <w:t xml:space="preserve">• </w:t>
      </w:r>
      <w:r>
        <w:rPr>
          <w:sz w:val="16"/>
        </w:rPr>
        <w:t>Data Salary Dashboard (Excel, GitHub): Built an interactive dashboard for salary trends and role comparisons; published project assets on GitHub.</w:t>
      </w:r>
    </w:p>
    <w:p>
      <w:pPr>
        <w:spacing w:before="0" w:after="24" w:line="240" w:lineRule="auto"/>
        <w:ind w:left="259" w:hanging="173"/>
      </w:pPr>
      <w:r>
        <w:rPr>
          <w:sz w:val="16"/>
        </w:rPr>
        <w:t xml:space="preserve">• </w:t>
      </w:r>
      <w:r>
        <w:rPr>
          <w:sz w:val="16"/>
        </w:rPr>
        <w:t>Research Trend Analytics (Python, OpenAlex): Created visual summaries of publication trends, concept emergence, and network dynamics from research metadata.</w:t>
      </w:r>
    </w:p>
    <w:p>
      <w:pPr>
        <w:spacing w:before="0" w:after="24" w:line="240" w:lineRule="auto"/>
        <w:ind w:left="259" w:hanging="173"/>
      </w:pPr>
      <w:r>
        <w:rPr>
          <w:sz w:val="16"/>
        </w:rPr>
        <w:t xml:space="preserve">• </w:t>
      </w:r>
      <w:r>
        <w:rPr>
          <w:sz w:val="16"/>
        </w:rPr>
        <w:t>AI Literacy &amp; Employability Analysis (Excel / Analytics Workflow): Analyzed survey data linking perceived AI literacy, objective AI knowledge, AI usage, and employability indicators.</w:t>
      </w:r>
    </w:p>
    <w:p>
      <w:pPr>
        <w:spacing w:before="100" w:after="40" w:line="240" w:lineRule="auto"/>
      </w:pPr>
      <w:r>
        <w:rPr>
          <w:b/>
          <w:color w:val="1F4E79"/>
          <w:sz w:val="18"/>
        </w:rPr>
        <w:t>LEADERSHIP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60"/>
        <w:gridCol w:w="2952"/>
      </w:tblGrid>
      <w:tr>
        <w:tc>
          <w:tcPr>
            <w:tcW w:type="dxa" w:w="5371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Hult Prize, Qatar University - OnCampus Program Director</w:t>
            </w:r>
          </w:p>
        </w:tc>
        <w:tc>
          <w:tcPr>
            <w:tcW w:type="dxa" w:w="5371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sz w:val="16"/>
              </w:rPr>
              <w:t>Feb 2022 - Feb 2023</w:t>
            </w:r>
          </w:p>
        </w:tc>
      </w:tr>
    </w:tbl>
    <w:p>
      <w:pPr>
        <w:spacing w:before="0" w:after="24" w:line="240" w:lineRule="auto"/>
        <w:ind w:left="259" w:hanging="173"/>
      </w:pPr>
      <w:r>
        <w:rPr>
          <w:sz w:val="16"/>
        </w:rPr>
        <w:t xml:space="preserve">• </w:t>
      </w:r>
      <w:r>
        <w:rPr>
          <w:sz w:val="16"/>
        </w:rPr>
        <w:t>Led execution of a campus entrepreneurship program with 35+ teams and 22 workshops; coordinated sponsors, judges, mentors, and partners.</w:t>
      </w:r>
    </w:p>
    <w:p>
      <w:pPr>
        <w:spacing w:before="0" w:after="24" w:line="240" w:lineRule="auto"/>
        <w:ind w:left="259" w:hanging="173"/>
      </w:pPr>
      <w:r>
        <w:rPr>
          <w:sz w:val="16"/>
        </w:rPr>
        <w:t xml:space="preserve">• </w:t>
      </w:r>
      <w:r>
        <w:rPr>
          <w:sz w:val="16"/>
        </w:rPr>
        <w:t>Coached student teams on market analysis, value proposition design, and pitch development; supported outcomes including incubation under Qatar Development Bank.</w:t>
      </w:r>
    </w:p>
    <w:p>
      <w:pPr>
        <w:spacing w:before="0" w:after="24" w:line="240" w:lineRule="auto"/>
        <w:ind w:left="259" w:hanging="173"/>
      </w:pPr>
      <w:r>
        <w:rPr>
          <w:sz w:val="16"/>
        </w:rPr>
        <w:t xml:space="preserve">• </w:t>
      </w:r>
      <w:r>
        <w:rPr>
          <w:sz w:val="16"/>
        </w:rPr>
        <w:t>Restructured outreach and sponsor coordination after funding disruption, helping maintain program delivery and stakeholder confidence.</w:t>
      </w:r>
    </w:p>
    <w:p>
      <w:pPr>
        <w:spacing w:before="100" w:after="40" w:line="240" w:lineRule="auto"/>
      </w:pPr>
      <w:r>
        <w:rPr>
          <w:b/>
          <w:color w:val="1F4E79"/>
          <w:sz w:val="18"/>
        </w:rPr>
        <w:t>EDUCATION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60"/>
        <w:gridCol w:w="2952"/>
      </w:tblGrid>
      <w:tr>
        <w:tc>
          <w:tcPr>
            <w:tcW w:type="dxa" w:w="5371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Qatar University, Doha - B.A. Management Information Systems (MIS)</w:t>
            </w:r>
          </w:p>
        </w:tc>
        <w:tc>
          <w:tcPr>
            <w:tcW w:type="dxa" w:w="5371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sz w:val="16"/>
              </w:rPr>
              <w:t>2026</w:t>
            </w:r>
          </w:p>
        </w:tc>
      </w:tr>
    </w:tbl>
    <w:p>
      <w:pPr>
        <w:spacing w:before="0" w:after="20" w:line="240" w:lineRule="auto"/>
      </w:pPr>
      <w:r>
        <w:rPr>
          <w:sz w:val="16"/>
        </w:rPr>
        <w:t>Relevant focus: Business analytics, data analysis, information systems, dashboards, databases, and technology-enabled decision-making.</w:t>
      </w:r>
    </w:p>
    <w:sectPr w:rsidR="00FC693F" w:rsidRPr="0006063C" w:rsidSect="00034616">
      <w:pgSz w:w="12240" w:h="15840"/>
      <w:pgMar w:top="605" w:right="749" w:bottom="605" w:left="749" w:header="720" w:footer="720" w:gutter="0"/>
      <w:cols w:space="720"/>
      <w:docGrid w:linePitch="2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