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DC61" w14:textId="528D4FAD" w:rsidR="00553551" w:rsidRDefault="005535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3551" w14:paraId="0A424B1D" w14:textId="77777777" w:rsidTr="005D3A32">
        <w:tc>
          <w:tcPr>
            <w:tcW w:w="8828" w:type="dxa"/>
          </w:tcPr>
          <w:p w14:paraId="293238FE" w14:textId="3555908B" w:rsidR="00553551" w:rsidRDefault="00553551" w:rsidP="00553551">
            <w:pPr>
              <w:rPr>
                <w:b/>
                <w:bCs/>
              </w:rPr>
            </w:pPr>
            <w:r w:rsidRPr="00553551">
              <w:rPr>
                <w:b/>
                <w:bCs/>
              </w:rPr>
              <w:t xml:space="preserve">Manual </w:t>
            </w:r>
            <w:proofErr w:type="spellStart"/>
            <w:r w:rsidRPr="00553551">
              <w:rPr>
                <w:b/>
                <w:bCs/>
              </w:rPr>
              <w:t>Lymphedema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Drainage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for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Reducing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Risk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for</w:t>
            </w:r>
            <w:proofErr w:type="spellEnd"/>
            <w:r w:rsidRPr="00553551">
              <w:rPr>
                <w:b/>
                <w:bCs/>
              </w:rPr>
              <w:t xml:space="preserve"> and </w:t>
            </w:r>
            <w:proofErr w:type="spellStart"/>
            <w:r w:rsidRPr="00553551">
              <w:rPr>
                <w:b/>
                <w:bCs/>
              </w:rPr>
              <w:t>Managing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Breast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Cancer</w:t>
            </w:r>
            <w:proofErr w:type="spellEnd"/>
            <w:r w:rsidRPr="00553551">
              <w:rPr>
                <w:b/>
                <w:bCs/>
              </w:rPr>
              <w:t>–</w:t>
            </w:r>
            <w:proofErr w:type="spellStart"/>
            <w:r w:rsidRPr="00553551">
              <w:rPr>
                <w:b/>
                <w:bCs/>
              </w:rPr>
              <w:t>Related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Lymphedema</w:t>
            </w:r>
            <w:proofErr w:type="spellEnd"/>
            <w:r w:rsidRPr="00553551">
              <w:rPr>
                <w:b/>
                <w:bCs/>
              </w:rPr>
              <w:t xml:space="preserve"> After </w:t>
            </w:r>
            <w:proofErr w:type="spellStart"/>
            <w:r w:rsidRPr="00553551">
              <w:rPr>
                <w:b/>
                <w:bCs/>
              </w:rPr>
              <w:t>Breast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Surgery</w:t>
            </w:r>
            <w:proofErr w:type="spellEnd"/>
            <w:r w:rsidRPr="00553551">
              <w:rPr>
                <w:b/>
                <w:bCs/>
              </w:rPr>
              <w:t xml:space="preserve">: A </w:t>
            </w:r>
            <w:proofErr w:type="spellStart"/>
            <w:r w:rsidRPr="00553551">
              <w:rPr>
                <w:b/>
                <w:bCs/>
              </w:rPr>
              <w:t>Systematic</w:t>
            </w:r>
            <w:proofErr w:type="spellEnd"/>
            <w:r w:rsidRPr="00553551">
              <w:rPr>
                <w:b/>
                <w:bCs/>
              </w:rPr>
              <w:t xml:space="preserve"> </w:t>
            </w:r>
            <w:proofErr w:type="spellStart"/>
            <w:r w:rsidRPr="00553551">
              <w:rPr>
                <w:b/>
                <w:bCs/>
              </w:rPr>
              <w:t>Review</w:t>
            </w:r>
            <w:proofErr w:type="spellEnd"/>
          </w:p>
          <w:p w14:paraId="2E96EF47" w14:textId="66B3A0D9" w:rsidR="00553551" w:rsidRPr="00553551" w:rsidRDefault="00553551" w:rsidP="00553551">
            <w:pPr>
              <w:rPr>
                <w:b/>
                <w:bCs/>
              </w:rPr>
            </w:pPr>
            <w:r w:rsidRPr="00553551">
              <w:rPr>
                <w:b/>
                <w:bCs/>
              </w:rPr>
              <w:t>Drenaje manual de linfedema para reducir el riesgo y controlar el linfedema relacionado con el cáncer de mama después de la cirugía de mama: una revisión sistemática</w:t>
            </w:r>
          </w:p>
          <w:p w14:paraId="720022C1" w14:textId="77777777" w:rsidR="00553551" w:rsidRPr="00553551" w:rsidRDefault="00553551">
            <w:pPr>
              <w:rPr>
                <w:b/>
                <w:bCs/>
              </w:rPr>
            </w:pPr>
          </w:p>
        </w:tc>
      </w:tr>
      <w:tr w:rsidR="00553551" w14:paraId="52855A0D" w14:textId="77777777" w:rsidTr="00D01843">
        <w:tc>
          <w:tcPr>
            <w:tcW w:w="8828" w:type="dxa"/>
          </w:tcPr>
          <w:p w14:paraId="6ED3E858" w14:textId="7C8D5ACD" w:rsidR="00553551" w:rsidRDefault="00553551">
            <w:r>
              <w:rPr>
                <w:rFonts w:ascii="Arial" w:hAnsi="Arial" w:cs="Arial"/>
                <w:color w:val="2E2E2E"/>
                <w:sz w:val="21"/>
                <w:szCs w:val="21"/>
              </w:rPr>
              <w:t>2021</w:t>
            </w:r>
          </w:p>
        </w:tc>
      </w:tr>
      <w:tr w:rsidR="00553551" w14:paraId="155F6CD7" w14:textId="77777777" w:rsidTr="00DC084F">
        <w:tc>
          <w:tcPr>
            <w:tcW w:w="8828" w:type="dxa"/>
          </w:tcPr>
          <w:p w14:paraId="049CFB40" w14:textId="27B95E83" w:rsidR="00553551" w:rsidRDefault="00553551">
            <w:proofErr w:type="spellStart"/>
            <w:r w:rsidRPr="00553551">
              <w:t>Ausanee</w:t>
            </w:r>
            <w:proofErr w:type="spellEnd"/>
            <w:r>
              <w:t xml:space="preserve"> </w:t>
            </w:r>
            <w:proofErr w:type="spellStart"/>
            <w:r w:rsidRPr="00553551">
              <w:t>Wanchai</w:t>
            </w:r>
            <w:proofErr w:type="spellEnd"/>
            <w:r>
              <w:t xml:space="preserve"> </w:t>
            </w:r>
            <w:r w:rsidRPr="00553551">
              <w:t>Jane M.</w:t>
            </w:r>
            <w:r>
              <w:t xml:space="preserve"> </w:t>
            </w:r>
            <w:proofErr w:type="spellStart"/>
            <w:r w:rsidRPr="00553551">
              <w:t>Armer</w:t>
            </w:r>
            <w:proofErr w:type="spellEnd"/>
          </w:p>
        </w:tc>
      </w:tr>
      <w:tr w:rsidR="00553551" w14:paraId="2D2C095C" w14:textId="77777777" w:rsidTr="004A05BE">
        <w:tc>
          <w:tcPr>
            <w:tcW w:w="8828" w:type="dxa"/>
          </w:tcPr>
          <w:p w14:paraId="70308261" w14:textId="77777777" w:rsidR="00553551" w:rsidRPr="00553551" w:rsidRDefault="00553551" w:rsidP="00553551">
            <w:pPr>
              <w:rPr>
                <w:b/>
                <w:bCs/>
              </w:rPr>
            </w:pPr>
            <w:r w:rsidRPr="00553551">
              <w:rPr>
                <w:b/>
                <w:bCs/>
              </w:rPr>
              <w:t>Objetivo</w:t>
            </w:r>
          </w:p>
          <w:p w14:paraId="77204CB7" w14:textId="1006B2E2" w:rsidR="00553551" w:rsidRDefault="00553551" w:rsidP="00553551">
            <w:r>
              <w:t>Examinar los efectos del drenaje linfático manual (DLM) sobre la reducción del riesgo de linfedema relacionado con el cáncer de mama (LCRR) y su tratamiento.</w:t>
            </w:r>
          </w:p>
        </w:tc>
      </w:tr>
      <w:tr w:rsidR="00553551" w14:paraId="18BDF0D9" w14:textId="77777777" w:rsidTr="006C4C59">
        <w:tc>
          <w:tcPr>
            <w:tcW w:w="8828" w:type="dxa"/>
          </w:tcPr>
          <w:p w14:paraId="15DB4A4C" w14:textId="225CB4F9" w:rsidR="00553551" w:rsidRDefault="00553551">
            <w:r>
              <w:rPr>
                <w:noProof/>
              </w:rPr>
              <w:drawing>
                <wp:inline distT="0" distB="0" distL="0" distR="0" wp14:anchorId="59978AEC" wp14:editId="25B9711A">
                  <wp:extent cx="5612130" cy="4283710"/>
                  <wp:effectExtent l="0" t="0" r="762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8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682E8" w14:textId="248A3324" w:rsidR="00553551" w:rsidRDefault="00553551"/>
    <w:p w14:paraId="64D8BE92" w14:textId="1C21E018" w:rsidR="00553551" w:rsidRDefault="00553551"/>
    <w:p w14:paraId="5A9ECB10" w14:textId="18E1168E" w:rsidR="00553551" w:rsidRDefault="00553551"/>
    <w:p w14:paraId="0E2B1517" w14:textId="25D4BC1E" w:rsidR="00553551" w:rsidRDefault="00553551"/>
    <w:p w14:paraId="6D419D8B" w14:textId="0945C4C0" w:rsidR="00553551" w:rsidRDefault="00553551"/>
    <w:p w14:paraId="5499B8EA" w14:textId="2857C792" w:rsidR="00553551" w:rsidRDefault="00553551"/>
    <w:p w14:paraId="4A8FE85B" w14:textId="77777777" w:rsidR="00553551" w:rsidRDefault="005535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3551" w14:paraId="28F2C3D2" w14:textId="77777777" w:rsidTr="00553551">
        <w:tc>
          <w:tcPr>
            <w:tcW w:w="8828" w:type="dxa"/>
          </w:tcPr>
          <w:p w14:paraId="44C04E9D" w14:textId="77777777" w:rsidR="00553551" w:rsidRDefault="00553551">
            <w:r w:rsidRPr="00553551">
              <w:lastRenderedPageBreak/>
              <w:t xml:space="preserve">Manual </w:t>
            </w:r>
            <w:proofErr w:type="spellStart"/>
            <w:r w:rsidRPr="00553551">
              <w:t>Lymphatic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Drainage</w:t>
            </w:r>
            <w:proofErr w:type="spellEnd"/>
            <w:r w:rsidRPr="00553551">
              <w:t xml:space="preserve"> in </w:t>
            </w:r>
            <w:proofErr w:type="spellStart"/>
            <w:r w:rsidRPr="00553551">
              <w:t>Blood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Circulation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of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Upper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Limb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With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Lymphedema</w:t>
            </w:r>
            <w:proofErr w:type="spellEnd"/>
            <w:r w:rsidRPr="00553551">
              <w:t xml:space="preserve"> After </w:t>
            </w:r>
            <w:proofErr w:type="spellStart"/>
            <w:r w:rsidRPr="00553551">
              <w:t>Breast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Cancer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Surgery</w:t>
            </w:r>
            <w:proofErr w:type="spellEnd"/>
          </w:p>
          <w:p w14:paraId="5E5CCB5E" w14:textId="4112A928" w:rsidR="00553551" w:rsidRDefault="00553551">
            <w:r w:rsidRPr="00553551">
              <w:t>Drenaje linfático manual en la circulación sanguínea del miembro superior con linfedema después de la cirugía de cáncer de mama</w:t>
            </w:r>
          </w:p>
        </w:tc>
      </w:tr>
      <w:bookmarkStart w:id="0" w:name="bau0005"/>
      <w:tr w:rsidR="00553551" w14:paraId="67CAB81F" w14:textId="77777777" w:rsidTr="00553551">
        <w:tc>
          <w:tcPr>
            <w:tcW w:w="8828" w:type="dxa"/>
          </w:tcPr>
          <w:p w14:paraId="044F0DA2" w14:textId="611DE933" w:rsidR="00553551" w:rsidRDefault="00553551">
            <w:r>
              <w:fldChar w:fldCharType="begin"/>
            </w:r>
            <w:r>
              <w:instrText xml:space="preserve"> HYPERLINK "https://www-sciencedirect-com.ez.unisabana.edu.co/science/article/pii/S0161475417300490" \l "!" </w:instrText>
            </w:r>
            <w:r>
              <w:fldChar w:fldCharType="separate"/>
            </w:r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 xml:space="preserve">Raquel 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Michelini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Guerero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PT </w:t>
            </w:r>
            <w:proofErr w:type="spellStart"/>
            <w:r>
              <w:rPr>
                <w:rStyle w:val="author-ref"/>
                <w:rFonts w:ascii="Arial" w:hAnsi="Arial" w:cs="Arial"/>
                <w:color w:val="0C7DBB"/>
                <w:sz w:val="16"/>
                <w:szCs w:val="16"/>
                <w:vertAlign w:val="superscript"/>
              </w:rPr>
              <w:t>a</w:t>
            </w:r>
            <w:r>
              <w:fldChar w:fldCharType="end"/>
            </w:r>
            <w:bookmarkStart w:id="1" w:name="bau0010"/>
            <w:bookmarkEnd w:id="0"/>
            <w:r>
              <w:fldChar w:fldCharType="begin"/>
            </w:r>
            <w:r>
              <w:instrText xml:space="preserve"> HYPERLINK "https://www-sciencedirect-com.ez.unisabana.edu.co/science/article/pii/S0161475417300490" \l "!" </w:instrText>
            </w:r>
            <w:r>
              <w:fldChar w:fldCharType="separate"/>
            </w:r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Lais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 xml:space="preserve"> Mara 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Siqueira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das Neves 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MSc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</w:t>
            </w:r>
            <w:proofErr w:type="spellStart"/>
            <w:r>
              <w:rPr>
                <w:rStyle w:val="author-ref"/>
                <w:rFonts w:ascii="Arial" w:hAnsi="Arial" w:cs="Arial"/>
                <w:color w:val="0C7DBB"/>
                <w:sz w:val="16"/>
                <w:szCs w:val="16"/>
                <w:vertAlign w:val="superscript"/>
              </w:rPr>
              <w:t>b</w:t>
            </w:r>
            <w:r>
              <w:fldChar w:fldCharType="end"/>
            </w:r>
            <w:bookmarkStart w:id="2" w:name="bau0015"/>
            <w:bookmarkEnd w:id="1"/>
            <w:r>
              <w:fldChar w:fldCharType="begin"/>
            </w:r>
            <w:r>
              <w:instrText xml:space="preserve"> HYPERLINK "https://www-sciencedirect-com.ez.unisabana.edu.co/science/article/pii/S0161475417300490" \l "!" </w:instrText>
            </w:r>
            <w:r>
              <w:fldChar w:fldCharType="separate"/>
            </w:r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Rinaldo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 xml:space="preserve"> Roberto de 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Jesus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Guirro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PhD </w:t>
            </w:r>
            <w:proofErr w:type="spellStart"/>
            <w:r>
              <w:rPr>
                <w:rStyle w:val="author-ref"/>
                <w:rFonts w:ascii="Arial" w:hAnsi="Arial" w:cs="Arial"/>
                <w:color w:val="0C7DBB"/>
                <w:sz w:val="16"/>
                <w:szCs w:val="16"/>
                <w:vertAlign w:val="superscript"/>
              </w:rPr>
              <w:t>b</w:t>
            </w:r>
            <w:r>
              <w:fldChar w:fldCharType="end"/>
            </w:r>
            <w:bookmarkStart w:id="3" w:name="bau0020"/>
            <w:bookmarkEnd w:id="2"/>
            <w:r>
              <w:fldChar w:fldCharType="begin"/>
            </w:r>
            <w:r>
              <w:instrText xml:space="preserve"> HYPERLINK "https://www-sciencedirect-com.ez.unisabana.edu.co/science/article/pii/S0161475417300490" \l "!" </w:instrText>
            </w:r>
            <w:r>
              <w:fldChar w:fldCharType="separate"/>
            </w:r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Elaine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Caldeira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 xml:space="preserve"> de Oliveira 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Guirro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 PhD </w:t>
            </w:r>
            <w:r>
              <w:rPr>
                <w:rStyle w:val="author-ref"/>
                <w:rFonts w:ascii="Arial" w:hAnsi="Arial" w:cs="Arial"/>
                <w:color w:val="0C7DBB"/>
                <w:sz w:val="16"/>
                <w:szCs w:val="16"/>
                <w:vertAlign w:val="superscript"/>
              </w:rPr>
              <w:t>b</w:t>
            </w:r>
            <w:r>
              <w:fldChar w:fldCharType="end"/>
            </w:r>
            <w:bookmarkEnd w:id="3"/>
          </w:p>
        </w:tc>
      </w:tr>
      <w:tr w:rsidR="00553551" w14:paraId="7BA6D6D3" w14:textId="77777777" w:rsidTr="00553551">
        <w:tc>
          <w:tcPr>
            <w:tcW w:w="8828" w:type="dxa"/>
          </w:tcPr>
          <w:p w14:paraId="670666E9" w14:textId="0F19CEFC" w:rsidR="00553551" w:rsidRDefault="00553551">
            <w:r>
              <w:rPr>
                <w:rFonts w:ascii="Arial" w:hAnsi="Arial" w:cs="Arial"/>
                <w:color w:val="2E2E2E"/>
                <w:sz w:val="21"/>
                <w:szCs w:val="21"/>
              </w:rPr>
              <w:t>2017</w:t>
            </w:r>
          </w:p>
        </w:tc>
      </w:tr>
      <w:tr w:rsidR="00553551" w14:paraId="07AD59E5" w14:textId="77777777" w:rsidTr="00553551">
        <w:tc>
          <w:tcPr>
            <w:tcW w:w="8828" w:type="dxa"/>
          </w:tcPr>
          <w:p w14:paraId="7D739922" w14:textId="77777777" w:rsidR="00553551" w:rsidRDefault="00553551" w:rsidP="00553551">
            <w:r>
              <w:t>Objetivo</w:t>
            </w:r>
          </w:p>
          <w:p w14:paraId="4A8C6938" w14:textId="56C6A071" w:rsidR="00553551" w:rsidRDefault="00553551" w:rsidP="00553551">
            <w:r>
              <w:t xml:space="preserve">El propósito de este estudio fue evaluar el flujo sanguíneo después del drenaje linfático manual (DLM) en mujeres que se habían sometido a cirugía por cáncer de mama y tenían linfedema </w:t>
            </w:r>
            <w:proofErr w:type="spellStart"/>
            <w:r>
              <w:t>postaxilar</w:t>
            </w:r>
            <w:proofErr w:type="spellEnd"/>
            <w:r>
              <w:t xml:space="preserve"> de </w:t>
            </w:r>
            <w:proofErr w:type="gramStart"/>
            <w:r>
              <w:t>linfadenectomía .</w:t>
            </w:r>
            <w:proofErr w:type="gramEnd"/>
          </w:p>
        </w:tc>
      </w:tr>
      <w:tr w:rsidR="00553551" w14:paraId="6026D555" w14:textId="77777777" w:rsidTr="00553551">
        <w:tc>
          <w:tcPr>
            <w:tcW w:w="8828" w:type="dxa"/>
          </w:tcPr>
          <w:p w14:paraId="69C588AC" w14:textId="77777777" w:rsidR="00553551" w:rsidRDefault="00553551" w:rsidP="00553551">
            <w:r>
              <w:t>Métodos</w:t>
            </w:r>
          </w:p>
          <w:p w14:paraId="205E63C9" w14:textId="5A19131D" w:rsidR="00553551" w:rsidRDefault="00553551" w:rsidP="00553551">
            <w:r>
              <w:t>Dieciséis voluntarios (edad media 64 ± 11,44 años) se dividieron en 2 grupos. Los del grupo 1 recibieron MLD sin elevación de la extremidad superior y los del grupo 2 recibieron MLD con elevación de 30 ° de la extremidad superior. La velocidad del flujo sanguíneo de la vena y la arteria braquial se midió mediante ecografía Doppler antes, inmediatamente después y 30 minutos después de la MLD, con y sin 30 ° de elevación de la extremidad superior según lo definido por un diseño cruzado aleatorio y un intervalo (lavado) de 7 días</w:t>
            </w:r>
            <w:proofErr w:type="gramStart"/>
            <w:r>
              <w:t>. .</w:t>
            </w:r>
            <w:proofErr w:type="gramEnd"/>
            <w:r>
              <w:t xml:space="preserve"> La comparación de datos antes y después de MLD se evaluó mediante la prueba de </w:t>
            </w:r>
            <w:proofErr w:type="gramStart"/>
            <w:r>
              <w:t>Friedman .</w:t>
            </w:r>
            <w:proofErr w:type="gramEnd"/>
          </w:p>
        </w:tc>
      </w:tr>
      <w:tr w:rsidR="00553551" w14:paraId="5741DF50" w14:textId="77777777" w:rsidTr="00553551">
        <w:tc>
          <w:tcPr>
            <w:tcW w:w="8828" w:type="dxa"/>
          </w:tcPr>
          <w:p w14:paraId="24BA7731" w14:textId="77777777" w:rsidR="00553551" w:rsidRDefault="00553551" w:rsidP="00553551">
            <w:r>
              <w:t>Resultados</w:t>
            </w:r>
          </w:p>
          <w:p w14:paraId="4CD30A60" w14:textId="207B4F92" w:rsidR="00553551" w:rsidRDefault="00553551" w:rsidP="00553551">
            <w:r>
              <w:t>Hubo un aumento significativo de la velocidad del flujo sanguíneo en la vena braquial después del procedimiento terapéutico con elevación del miembro superior.</w:t>
            </w:r>
          </w:p>
        </w:tc>
      </w:tr>
      <w:tr w:rsidR="00553551" w14:paraId="6C47A0DB" w14:textId="77777777" w:rsidTr="00553551">
        <w:tc>
          <w:tcPr>
            <w:tcW w:w="8828" w:type="dxa"/>
          </w:tcPr>
          <w:p w14:paraId="6F3B2F33" w14:textId="77777777" w:rsidR="00553551" w:rsidRDefault="00553551" w:rsidP="00553551">
            <w:r>
              <w:t>Conclusión</w:t>
            </w:r>
          </w:p>
          <w:p w14:paraId="682B9D8A" w14:textId="4C8E9DA7" w:rsidR="00553551" w:rsidRDefault="00553551" w:rsidP="00553551">
            <w:r>
              <w:t>Este estudio preliminar indicó que MLD promovió un mayor flujo de velocidad de la vena braquial a corto plazo.</w:t>
            </w:r>
          </w:p>
        </w:tc>
      </w:tr>
      <w:tr w:rsidR="00553551" w14:paraId="2FDA6D7D" w14:textId="77777777" w:rsidTr="00553551">
        <w:tc>
          <w:tcPr>
            <w:tcW w:w="8828" w:type="dxa"/>
          </w:tcPr>
          <w:p w14:paraId="1E409D2C" w14:textId="4FDFDE1C" w:rsidR="00553551" w:rsidRDefault="00553551" w:rsidP="00553551">
            <w:r w:rsidRPr="00553551">
              <w:t xml:space="preserve">El diagnóstico de linfedema se realizó mediante la valoración del volumen de los miembros superiores, realizado por </w:t>
            </w:r>
            <w:proofErr w:type="spellStart"/>
            <w:r w:rsidRPr="00553551">
              <w:t>perimetría</w:t>
            </w:r>
            <w:proofErr w:type="spellEnd"/>
            <w:r w:rsidRPr="00553551">
              <w:t xml:space="preserve"> con cinta unida a un resorte y contrapeso, en decúbito supino con el miembro superior apoyado en un soporte y el hombro a 90 ° de abducción. para una mejor colocación de la cinta</w:t>
            </w:r>
          </w:p>
        </w:tc>
      </w:tr>
      <w:tr w:rsidR="00553551" w14:paraId="4DA0A63F" w14:textId="77777777" w:rsidTr="00553551">
        <w:tc>
          <w:tcPr>
            <w:tcW w:w="8828" w:type="dxa"/>
          </w:tcPr>
          <w:p w14:paraId="405A098B" w14:textId="77777777" w:rsidR="00553551" w:rsidRDefault="00553551" w:rsidP="00553551">
            <w:r>
              <w:t>Drenaje linfático manual</w:t>
            </w:r>
          </w:p>
          <w:p w14:paraId="36B80B92" w14:textId="592CE566" w:rsidR="00553551" w:rsidRPr="00553551" w:rsidRDefault="00553551" w:rsidP="00553551">
            <w:r>
              <w:t xml:space="preserve">Para la aplicación del procedimiento de MLD, se utilizó el método Leduc, 21 aplicado en una posición supina con la elevación de la extremidad superior a 30 ° o ninguna elevación. El MLD consistió en 10 movimientos en los ganglios linfáticos axilares </w:t>
            </w:r>
            <w:proofErr w:type="gramStart"/>
            <w:r>
              <w:t>contralaterales ,</w:t>
            </w:r>
            <w:proofErr w:type="gramEnd"/>
            <w:r>
              <w:t xml:space="preserve"> 10 movimientos en la región torácica (divididos en 3 partes) y 10 movimientos en el brazo con linfedema (divididos en 6 partes). Los datos se evaluaron mediante Doppler de onda continua en la fosa </w:t>
            </w:r>
            <w:proofErr w:type="spellStart"/>
            <w:r>
              <w:t>antecubital</w:t>
            </w:r>
            <w:proofErr w:type="spellEnd"/>
            <w:r>
              <w:t xml:space="preserve"> (vena y arteria braquial) antes, inmediatamente después y 30 minutos después del procedimiento terapéutico.</w:t>
            </w:r>
          </w:p>
        </w:tc>
      </w:tr>
    </w:tbl>
    <w:p w14:paraId="1886E81A" w14:textId="38906D04" w:rsidR="00553551" w:rsidRDefault="00553551"/>
    <w:p w14:paraId="17B30E65" w14:textId="4B3BE74C" w:rsidR="00553551" w:rsidRDefault="00553551"/>
    <w:p w14:paraId="542527B3" w14:textId="3070D6BE" w:rsidR="00553551" w:rsidRDefault="00553551"/>
    <w:p w14:paraId="73EB1342" w14:textId="1C4EBBD2" w:rsidR="00553551" w:rsidRDefault="00553551"/>
    <w:p w14:paraId="1388300C" w14:textId="6AA7FE25" w:rsidR="00553551" w:rsidRDefault="00553551"/>
    <w:p w14:paraId="49CDBDB6" w14:textId="74F3DB03" w:rsidR="00553551" w:rsidRDefault="00553551"/>
    <w:p w14:paraId="4A25F182" w14:textId="2CAEE5F7" w:rsidR="00553551" w:rsidRDefault="005535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3551" w14:paraId="1097DAA4" w14:textId="77777777" w:rsidTr="00553551">
        <w:tc>
          <w:tcPr>
            <w:tcW w:w="8828" w:type="dxa"/>
          </w:tcPr>
          <w:p w14:paraId="1036B2A5" w14:textId="77777777" w:rsidR="00553551" w:rsidRDefault="00553551">
            <w:r w:rsidRPr="00553551">
              <w:lastRenderedPageBreak/>
              <w:t xml:space="preserve">Eficacia de la fisioterapia en </w:t>
            </w:r>
            <w:proofErr w:type="gramStart"/>
            <w:r w:rsidRPr="00553551">
              <w:t>el linfedema</w:t>
            </w:r>
            <w:proofErr w:type="gramEnd"/>
            <w:r w:rsidRPr="00553551">
              <w:t xml:space="preserve"> </w:t>
            </w:r>
            <w:proofErr w:type="spellStart"/>
            <w:r w:rsidRPr="00553551">
              <w:t>posmastectomía</w:t>
            </w:r>
            <w:proofErr w:type="spellEnd"/>
          </w:p>
          <w:p w14:paraId="1F5164E1" w14:textId="378BFB5B" w:rsidR="00553551" w:rsidRDefault="00553551">
            <w:proofErr w:type="spellStart"/>
            <w:r w:rsidRPr="00553551">
              <w:t>Effectiveness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of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physiotherapy</w:t>
            </w:r>
            <w:proofErr w:type="spellEnd"/>
            <w:r w:rsidRPr="00553551">
              <w:t xml:space="preserve"> in </w:t>
            </w:r>
            <w:proofErr w:type="spellStart"/>
            <w:r w:rsidRPr="00553551">
              <w:t>postmastectomy</w:t>
            </w:r>
            <w:proofErr w:type="spellEnd"/>
            <w:r w:rsidRPr="00553551">
              <w:t xml:space="preserve"> </w:t>
            </w:r>
            <w:proofErr w:type="spellStart"/>
            <w:r w:rsidRPr="00553551">
              <w:t>lymphedema</w:t>
            </w:r>
            <w:proofErr w:type="spellEnd"/>
          </w:p>
        </w:tc>
      </w:tr>
      <w:bookmarkStart w:id="4" w:name="baut0005"/>
      <w:tr w:rsidR="00553551" w14:paraId="4AD9AE0A" w14:textId="77777777" w:rsidTr="00553551">
        <w:tc>
          <w:tcPr>
            <w:tcW w:w="8828" w:type="dxa"/>
          </w:tcPr>
          <w:p w14:paraId="2CAB8352" w14:textId="652DF342" w:rsidR="00553551" w:rsidRDefault="00553551">
            <w:r>
              <w:fldChar w:fldCharType="begin"/>
            </w:r>
            <w:r>
              <w:instrText xml:space="preserve"> HYPERLINK "https://www-sciencedirect-com.ez.unisabana.edu.co/science/article/abs/pii/S0211563813001442" \l "!" </w:instrText>
            </w:r>
            <w:r>
              <w:fldChar w:fldCharType="separate"/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A.</w:t>
            </w:r>
            <w:proofErr w:type="gram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M.Gómez</w:t>
            </w:r>
            <w:proofErr w:type="spellEnd"/>
            <w:proofErr w:type="gram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-</w:t>
            </w:r>
            <w:proofErr w:type="spellStart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Sadornil</w:t>
            </w:r>
            <w:r>
              <w:fldChar w:fldCharType="end"/>
            </w:r>
            <w:bookmarkStart w:id="5" w:name="baut0010"/>
            <w:bookmarkEnd w:id="4"/>
            <w:r>
              <w:fldChar w:fldCharType="begin"/>
            </w:r>
            <w:r>
              <w:instrText xml:space="preserve"> HYPERLINK "https://www-sciencedirect-com.ez.unisabana.edu.co/science/article/abs/pii/S0211563813001442" \l "!" </w:instrText>
            </w:r>
            <w:r>
              <w:fldChar w:fldCharType="separate"/>
            </w:r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A.M.Martín</w:t>
            </w:r>
            <w:proofErr w:type="spellEnd"/>
            <w:r>
              <w:rPr>
                <w:rStyle w:val="text"/>
                <w:rFonts w:ascii="Arial" w:hAnsi="Arial" w:cs="Arial"/>
                <w:color w:val="0C7DBB"/>
                <w:sz w:val="21"/>
                <w:szCs w:val="21"/>
              </w:rPr>
              <w:t>-Nogueras</w:t>
            </w:r>
            <w:r>
              <w:fldChar w:fldCharType="end"/>
            </w:r>
            <w:bookmarkEnd w:id="5"/>
          </w:p>
        </w:tc>
      </w:tr>
      <w:tr w:rsidR="00553551" w14:paraId="5E7A74A7" w14:textId="77777777" w:rsidTr="00553551">
        <w:tc>
          <w:tcPr>
            <w:tcW w:w="8828" w:type="dxa"/>
          </w:tcPr>
          <w:p w14:paraId="1BF699E4" w14:textId="69682C03" w:rsidR="00553551" w:rsidRDefault="00553551">
            <w:r>
              <w:t>2014</w:t>
            </w:r>
          </w:p>
        </w:tc>
      </w:tr>
      <w:tr w:rsidR="00553551" w14:paraId="393F1D26" w14:textId="77777777" w:rsidTr="00553551">
        <w:tc>
          <w:tcPr>
            <w:tcW w:w="8828" w:type="dxa"/>
          </w:tcPr>
          <w:p w14:paraId="48982D1A" w14:textId="77777777" w:rsidR="00553551" w:rsidRDefault="00553551" w:rsidP="00553551">
            <w:r>
              <w:t>Objetivo</w:t>
            </w:r>
          </w:p>
          <w:p w14:paraId="1ADA06AF" w14:textId="11071EBB" w:rsidR="00553551" w:rsidRDefault="00553551" w:rsidP="00553551">
            <w:r>
              <w:t xml:space="preserve">Revisar y analizar la evidencia sobre la efectividad de las distintas técnicas fisioterápicas en la reducción del volumen del </w:t>
            </w:r>
            <w:proofErr w:type="gramStart"/>
            <w:r>
              <w:t>linfedema asociado</w:t>
            </w:r>
            <w:proofErr w:type="gramEnd"/>
            <w:r>
              <w:t xml:space="preserve"> a linfadenectomía, y evaluar la mejoría de la sintomatología concomitante y su impacto en la calidad de vida relacionada con la salud.</w:t>
            </w:r>
          </w:p>
        </w:tc>
      </w:tr>
      <w:tr w:rsidR="00553551" w14:paraId="6B3589FC" w14:textId="77777777" w:rsidTr="00553551">
        <w:tc>
          <w:tcPr>
            <w:tcW w:w="8828" w:type="dxa"/>
          </w:tcPr>
          <w:p w14:paraId="4A2376AF" w14:textId="30C05C15" w:rsidR="00553551" w:rsidRDefault="00553551" w:rsidP="00553551">
            <w:r>
              <w:t>S</w:t>
            </w:r>
            <w:r>
              <w:t>íntesis de resultados</w:t>
            </w:r>
          </w:p>
          <w:p w14:paraId="67433118" w14:textId="77777777" w:rsidR="00175716" w:rsidRDefault="00553551" w:rsidP="00553551">
            <w:r>
              <w:t xml:space="preserve">Los estudios contemplan diferentes modalidades terapéuticas utilizadas en el tratamiento </w:t>
            </w:r>
            <w:proofErr w:type="gramStart"/>
            <w:r>
              <w:t>del linfedema</w:t>
            </w:r>
            <w:proofErr w:type="gramEnd"/>
            <w:r>
              <w:t xml:space="preserve">: </w:t>
            </w:r>
            <w:r w:rsidRPr="00175716">
              <w:rPr>
                <w:b/>
                <w:bCs/>
              </w:rPr>
              <w:t>drenaje linfático manual</w:t>
            </w:r>
            <w:r>
              <w:t xml:space="preserve">, </w:t>
            </w:r>
            <w:r w:rsidRPr="00175716">
              <w:rPr>
                <w:b/>
                <w:bCs/>
              </w:rPr>
              <w:t>ejercicios terapéuticos</w:t>
            </w:r>
            <w:r>
              <w:t xml:space="preserve">, </w:t>
            </w:r>
            <w:r w:rsidRPr="00175716">
              <w:rPr>
                <w:b/>
                <w:bCs/>
              </w:rPr>
              <w:t>presoterapia</w:t>
            </w:r>
            <w:r>
              <w:t xml:space="preserve">, </w:t>
            </w:r>
            <w:r w:rsidRPr="00175716">
              <w:rPr>
                <w:b/>
                <w:bCs/>
              </w:rPr>
              <w:t>vendaje compresivo, vendaje neuromuscular, hidroterapia</w:t>
            </w:r>
            <w:r>
              <w:t xml:space="preserve">, </w:t>
            </w:r>
            <w:r w:rsidRPr="00175716">
              <w:rPr>
                <w:b/>
                <w:bCs/>
              </w:rPr>
              <w:t>electroestimulación muscular</w:t>
            </w:r>
            <w:r>
              <w:t xml:space="preserve">. El drenaje linfático manual es la técnica que mayor eficacia presenta, que se aumenta cuando se combina con otras como los ejercicios terapéuticos, la presoterapia o el vendaje compresivo. </w:t>
            </w:r>
          </w:p>
          <w:p w14:paraId="5CD825F8" w14:textId="25F29B79" w:rsidR="00553551" w:rsidRDefault="00553551" w:rsidP="00553551">
            <w:r>
              <w:t>No se obtienen datos concluyentes sobre el uso del vendaje neuromuscular, la hidroterapia o la electroestimulación muscular.</w:t>
            </w:r>
          </w:p>
        </w:tc>
      </w:tr>
      <w:tr w:rsidR="00175716" w14:paraId="37D19C09" w14:textId="77777777" w:rsidTr="00553551">
        <w:tc>
          <w:tcPr>
            <w:tcW w:w="8828" w:type="dxa"/>
          </w:tcPr>
          <w:p w14:paraId="063592F3" w14:textId="77777777" w:rsidR="00175716" w:rsidRDefault="00175716" w:rsidP="00175716">
            <w:r>
              <w:t>Conclusión</w:t>
            </w:r>
          </w:p>
          <w:p w14:paraId="21BF028D" w14:textId="50533191" w:rsidR="00175716" w:rsidRDefault="00175716" w:rsidP="00175716">
            <w:r>
              <w:t xml:space="preserve">La fisioterapia aporta técnicas con distinta eficacia demostrada en el tratamiento </w:t>
            </w:r>
            <w:proofErr w:type="gramStart"/>
            <w:r>
              <w:t>del linfedema</w:t>
            </w:r>
            <w:proofErr w:type="gramEnd"/>
            <w:r>
              <w:t xml:space="preserve"> con el objetivo de reducir su volumen, disminuir el dolor, mejorar la calidad de vida relacionada con la salud y la funcionalidad de los sujetos que lo padecen.</w:t>
            </w:r>
          </w:p>
        </w:tc>
      </w:tr>
    </w:tbl>
    <w:p w14:paraId="4CB8F11F" w14:textId="6E071B89" w:rsidR="00553551" w:rsidRDefault="00553551"/>
    <w:p w14:paraId="21B8387A" w14:textId="335B74C4" w:rsidR="00553551" w:rsidRDefault="00553551"/>
    <w:p w14:paraId="569B51E0" w14:textId="1FA0F3F1" w:rsidR="00553551" w:rsidRDefault="00553551"/>
    <w:p w14:paraId="7CBB17CC" w14:textId="07CF200F" w:rsidR="00553551" w:rsidRDefault="00175716">
      <w:r>
        <w:rPr>
          <w:noProof/>
        </w:rPr>
        <w:drawing>
          <wp:inline distT="0" distB="0" distL="0" distR="0" wp14:anchorId="300D9819" wp14:editId="2700A9A6">
            <wp:extent cx="5612130" cy="17487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7C6" w14:textId="087D1B01" w:rsidR="00553551" w:rsidRDefault="00553551"/>
    <w:p w14:paraId="4281A132" w14:textId="0211DEF9" w:rsidR="00553551" w:rsidRDefault="00553551"/>
    <w:p w14:paraId="1507C793" w14:textId="77777777" w:rsidR="00175716" w:rsidRDefault="00175716">
      <w:pPr>
        <w:rPr>
          <w:noProof/>
        </w:rPr>
      </w:pPr>
    </w:p>
    <w:p w14:paraId="5A2346C0" w14:textId="77777777" w:rsidR="00175716" w:rsidRDefault="00175716">
      <w:pPr>
        <w:rPr>
          <w:noProof/>
        </w:rPr>
      </w:pPr>
    </w:p>
    <w:p w14:paraId="02A3A7D7" w14:textId="66801144" w:rsidR="00553551" w:rsidRDefault="00175716">
      <w:r>
        <w:rPr>
          <w:noProof/>
        </w:rPr>
        <w:lastRenderedPageBreak/>
        <w:drawing>
          <wp:inline distT="0" distB="0" distL="0" distR="0" wp14:anchorId="58825F6E" wp14:editId="2CC97AED">
            <wp:extent cx="4886325" cy="58759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030" cy="58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5A76" w14:textId="46434DEB" w:rsidR="00175716" w:rsidRDefault="00175716">
      <w:r>
        <w:rPr>
          <w:noProof/>
        </w:rPr>
        <w:lastRenderedPageBreak/>
        <w:drawing>
          <wp:inline distT="0" distB="0" distL="0" distR="0" wp14:anchorId="2A5E1D8D" wp14:editId="284DA86E">
            <wp:extent cx="5612130" cy="76631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0591" w14:textId="5237E7CF" w:rsidR="00175716" w:rsidRDefault="00175716">
      <w:r>
        <w:rPr>
          <w:noProof/>
        </w:rPr>
        <w:lastRenderedPageBreak/>
        <w:drawing>
          <wp:inline distT="0" distB="0" distL="0" distR="0" wp14:anchorId="45C4C432" wp14:editId="7485A814">
            <wp:extent cx="5612130" cy="6804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E97" w14:textId="77777777" w:rsidR="00553551" w:rsidRDefault="00553551"/>
    <w:sectPr w:rsidR="0055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51"/>
    <w:rsid w:val="00175716"/>
    <w:rsid w:val="00553551"/>
    <w:rsid w:val="006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2047"/>
  <w15:chartTrackingRefBased/>
  <w15:docId w15:val="{8EEFCC0A-4998-41B0-8FD3-52218F29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Fuentedeprrafopredeter"/>
    <w:rsid w:val="00553551"/>
  </w:style>
  <w:style w:type="character" w:customStyle="1" w:styleId="author-ref">
    <w:name w:val="author-ref"/>
    <w:basedOn w:val="Fuentedeprrafopredeter"/>
    <w:rsid w:val="0055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RODRIGUEZ ARDILA</dc:creator>
  <cp:keywords/>
  <dc:description/>
  <cp:lastModifiedBy>OSCAR ALEJANDRO RODRIGUEZ ARDILA</cp:lastModifiedBy>
  <cp:revision>1</cp:revision>
  <dcterms:created xsi:type="dcterms:W3CDTF">2021-09-16T01:59:00Z</dcterms:created>
  <dcterms:modified xsi:type="dcterms:W3CDTF">2021-09-16T02:17:00Z</dcterms:modified>
</cp:coreProperties>
</file>