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B45309"/>
          <w:sz w:val="36"/>
        </w:rPr>
        <w:t>RELATÓRIO PRÁTICO: PAINEL DE DADOS EM CLOUD COM STREAMLIT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2"/>
        </w:rPr>
        <w:t>Atividade: Painel de Análise de Dados — Rede Sabor do Sertão</w:t>
        <w:br/>
        <w:t>Disciplina: Computação em Nuvem / Cloud &amp; Data Analytics</w:t>
      </w:r>
    </w:p>
    <w:p>
      <w:pPr>
        <w:spacing w:before="280" w:after="120"/>
      </w:pPr>
      <w:r>
        <w:rPr>
          <w:rFonts w:ascii="Arial" w:hAnsi="Arial"/>
          <w:b/>
          <w:color w:val="B45309"/>
          <w:sz w:val="26"/>
        </w:rPr>
        <w:t>1. Resumo das Missões e Pontuação Atingida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B4530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Missão / Nível</w:t>
            </w:r>
          </w:p>
        </w:tc>
        <w:tc>
          <w:tcPr>
            <w:tcW w:type="dxa" w:w="1296"/>
            <w:shd w:fill="B4530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Pontos</w:t>
            </w:r>
          </w:p>
        </w:tc>
        <w:tc>
          <w:tcPr>
            <w:tcW w:type="dxa" w:w="5472"/>
            <w:shd w:fill="B4530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 da Implementação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b/>
                <w:sz w:val="18"/>
              </w:rPr>
              <w:t>Passo 0: Preparo &amp; Dados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sz w:val="18"/>
              </w:rPr>
              <w:t>Obrigatório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sz w:val="18"/>
              </w:rPr>
              <w:t>gerar_dados.py com semente 42 gerando 5.000 linhas em vendas_sabor_do_sertao.csv.</w:t>
            </w:r>
          </w:p>
        </w:tc>
      </w:tr>
      <w:tr>
        <w:tc>
          <w:tcPr>
            <w:tcW w:type="dxa" w:w="2592"/>
            <w:shd w:fill="FFFBEB"/>
          </w:tcPr>
          <w:p>
            <w:r>
              <w:rPr>
                <w:rFonts w:ascii="Arial" w:hAnsi="Arial"/>
                <w:b/>
                <w:sz w:val="18"/>
              </w:rPr>
              <w:t>Nível 1: Exploração e Limpeza</w:t>
            </w:r>
          </w:p>
        </w:tc>
        <w:tc>
          <w:tcPr>
            <w:tcW w:type="dxa" w:w="1296"/>
            <w:shd w:fill="FFFBEB"/>
          </w:tcPr>
          <w:p>
            <w:r>
              <w:rPr>
                <w:rFonts w:ascii="Arial" w:hAnsi="Arial"/>
                <w:sz w:val="18"/>
              </w:rPr>
              <w:t>2.0 pts</w:t>
            </w:r>
          </w:p>
        </w:tc>
        <w:tc>
          <w:tcPr>
            <w:tcW w:type="dxa" w:w="5472"/>
            <w:shd w:fill="FFFBEB"/>
          </w:tcPr>
          <w:p>
            <w:r>
              <w:rPr>
                <w:rFonts w:ascii="Arial" w:hAnsi="Arial"/>
                <w:sz w:val="18"/>
              </w:rPr>
              <w:t>Exibição de head(), describe(), nulos e imputação da mediana (3.0) em avaliacao com justificativa em caption.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b/>
                <w:sz w:val="18"/>
              </w:rPr>
              <w:t>Nível 2: Indicadores (KPIs)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sz w:val="18"/>
              </w:rPr>
              <w:t>2.0 pts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sz w:val="18"/>
              </w:rPr>
              <w:t>4 métricas no topo via st.metric (Faturamento Total R$, Total de Vendas, Ticket Médio e Avaliação Média).</w:t>
            </w:r>
          </w:p>
        </w:tc>
      </w:tr>
      <w:tr>
        <w:tc>
          <w:tcPr>
            <w:tcW w:type="dxa" w:w="2592"/>
            <w:shd w:fill="FFFBEB"/>
          </w:tcPr>
          <w:p>
            <w:r>
              <w:rPr>
                <w:rFonts w:ascii="Arial" w:hAnsi="Arial"/>
                <w:b/>
                <w:sz w:val="18"/>
              </w:rPr>
              <w:t>Nível 3: Filtros Dinâmicos</w:t>
            </w:r>
          </w:p>
        </w:tc>
        <w:tc>
          <w:tcPr>
            <w:tcW w:type="dxa" w:w="1296"/>
            <w:shd w:fill="FFFBEB"/>
          </w:tcPr>
          <w:p>
            <w:r>
              <w:rPr>
                <w:rFonts w:ascii="Arial" w:hAnsi="Arial"/>
                <w:sz w:val="18"/>
              </w:rPr>
              <w:t>2.0 pts</w:t>
            </w:r>
          </w:p>
        </w:tc>
        <w:tc>
          <w:tcPr>
            <w:tcW w:type="dxa" w:w="5472"/>
            <w:shd w:fill="FFFBEB"/>
          </w:tcPr>
          <w:p>
            <w:r>
              <w:rPr>
                <w:rFonts w:ascii="Arial" w:hAnsi="Arial"/>
                <w:sz w:val="18"/>
              </w:rPr>
              <w:t>Barra lateral com multiselect de Cidades, Categorias e intervalo de datas com date_input.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b/>
                <w:sz w:val="18"/>
              </w:rPr>
              <w:t>Nível 4: Visualizações Plotly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sz w:val="18"/>
              </w:rPr>
              <w:t>3.0 pts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sz w:val="18"/>
              </w:rPr>
              <w:t>Abas com Linha mensal, Barras por cidade, Top 5 produtos, Formas de pagamento e Mapa de calor dia x hora.</w:t>
            </w:r>
          </w:p>
        </w:tc>
      </w:tr>
      <w:tr>
        <w:tc>
          <w:tcPr>
            <w:tcW w:type="dxa" w:w="2592"/>
            <w:shd w:fill="FFFBEB"/>
          </w:tcPr>
          <w:p>
            <w:r>
              <w:rPr>
                <w:rFonts w:ascii="Arial" w:hAnsi="Arial"/>
                <w:b/>
                <w:sz w:val="18"/>
              </w:rPr>
              <w:t>Nível 5: Insights &amp; Exportação</w:t>
            </w:r>
          </w:p>
        </w:tc>
        <w:tc>
          <w:tcPr>
            <w:tcW w:type="dxa" w:w="1296"/>
            <w:shd w:fill="FFFBEB"/>
          </w:tcPr>
          <w:p>
            <w:r>
              <w:rPr>
                <w:rFonts w:ascii="Arial" w:hAnsi="Arial"/>
                <w:sz w:val="18"/>
              </w:rPr>
              <w:t>1.0 pt</w:t>
            </w:r>
          </w:p>
        </w:tc>
        <w:tc>
          <w:tcPr>
            <w:tcW w:type="dxa" w:w="5472"/>
            <w:shd w:fill="FFFBEB"/>
          </w:tcPr>
          <w:p>
            <w:r>
              <w:rPr>
                <w:rFonts w:ascii="Arial" w:hAnsi="Arial"/>
                <w:sz w:val="18"/>
              </w:rPr>
              <w:t>3 conclusões de negócio em st.markdown e botão st.download_button para exportação do CSV filtrado.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b/>
                <w:sz w:val="18"/>
              </w:rPr>
              <w:t>Desafio Bônus (Explorador)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sz w:val="18"/>
              </w:rPr>
              <w:t>+1.0 pt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sz w:val="18"/>
              </w:rPr>
              <w:t>Aba Explorador Livre que permite upload de qualquer CSV e configuração dinâmica de eixos X/Y e tipos de gráficos.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B45309"/>
          <w:sz w:val="26"/>
        </w:rPr>
        <w:t>2. Insights Estratégicos Extraídos dos Dados (Nível 5)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1. Concentração Geográfica de Vendas: </w:t>
      </w:r>
      <w:r>
        <w:rPr>
          <w:rFonts w:ascii="Arial" w:hAnsi="Arial"/>
          <w:i w:val="0"/>
          <w:sz w:val="20"/>
        </w:rPr>
        <w:t xml:space="preserve"> A filial de Recife responde por cerca de 35% do faturamento da rede, acompanhada por Caruaru e Petrolina (~20% cada). Recomenda-se realizar ações promocionais em Olinda e Garanhuns.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2. Domínio dos Meios de Pagamento Digitais: </w:t>
      </w:r>
      <w:r>
        <w:rPr>
          <w:rFonts w:ascii="Arial" w:hAnsi="Arial"/>
          <w:i w:val="0"/>
          <w:sz w:val="20"/>
        </w:rPr>
        <w:t xml:space="preserve"> O Pix é o método preferido dos clientes, representando 45% do volume financeiro, seguido por Crédito (25%). O uso de dinheiro em espécie representa menos de 10%.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3. Itens Mais Lucrativos e Horários de Pico: </w:t>
      </w:r>
      <w:r>
        <w:rPr>
          <w:rFonts w:ascii="Arial" w:hAnsi="Arial"/>
          <w:i w:val="0"/>
          <w:sz w:val="20"/>
        </w:rPr>
        <w:t xml:space="preserve"> Pratos típicos regionais (Baião de Dois e Cuscuz com Carne de Sol) possuem o maior valor agregado. Os horários de pico concentram-se no almoço (12h às 14h) e no jantar (19h às 21h).</w:t>
      </w:r>
    </w:p>
    <w:p>
      <w:pPr>
        <w:spacing w:before="280" w:after="120"/>
      </w:pPr>
      <w:r>
        <w:rPr>
          <w:rFonts w:ascii="Arial" w:hAnsi="Arial"/>
          <w:b/>
          <w:color w:val="B45309"/>
          <w:sz w:val="26"/>
        </w:rPr>
        <w:t>3. Arquivos do Repositório GitHub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app.py : Código da aplicação Streamlit contendo todas as visualizações, filtros e abas interativas.</w:t>
        <w:br/>
        <w:t>• gerar_dados.py : Script de geração determinística da base de dados com 5.000 registros.</w:t>
        <w:br/>
        <w:t>• vendas_sabor_do_sertao.csv : Base de dados gerada pronta para consumo.</w:t>
        <w:br/>
        <w:t>• requirements.txt : Dependências do projeto (streamlit, pandas, plotly, numpy).</w:t>
        <w:br/>
        <w:t>• README.md : Documentação técnica do projeto.</w:t>
      </w:r>
    </w:p>
    <w:p>
      <w:pPr>
        <w:spacing w:before="280" w:after="120"/>
      </w:pPr>
      <w:r>
        <w:rPr>
          <w:rFonts w:ascii="Arial" w:hAnsi="Arial"/>
          <w:b/>
          <w:color w:val="B45309"/>
          <w:sz w:val="26"/>
        </w:rPr>
        <w:t>4. Publicação e Deploy no Streamlit Community Cloud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Enviar o código para o GitHub (git push origin main).</w:t>
        <w:br/>
        <w:t>2. Acessar share.streamlit.io e autenticar com a conta GitHub.</w:t>
        <w:br/>
        <w:t>3. Selecionar o repositório, indicar o branch main e o arquivo principal app.py.</w:t>
        <w:br/>
        <w:t>4. Clicar em Deploy para gerar a URL pública na nuvem.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