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496579"/>
          <w:sz w:val="28"/>
        </w:rPr>
        <w:t>IES PESET ALEIXANDRE</w:t>
      </w:r>
    </w:p>
    <w:p>
      <w:pPr>
        <w:pStyle w:val="Title"/>
        <w:jc w:val="center"/>
      </w:pPr>
      <w:r>
        <w:t>Diseño de infraestructura TIC</w:t>
      </w:r>
    </w:p>
    <w:p>
      <w:pPr>
        <w:jc w:val="center"/>
      </w:pPr>
      <w:r>
        <w:rPr>
          <w:color w:val="245778"/>
          <w:sz w:val="32"/>
        </w:rPr>
        <w:t>Estimación y comparación económica: CPD local frente a AWS</w:t>
      </w:r>
    </w:p>
    <w:p/>
    <w:p/>
    <w:p>
      <w:pPr>
        <w:jc w:val="center"/>
      </w:pPr>
      <w:r>
        <w:rPr>
          <w:color w:val="41515E"/>
          <w:sz w:val="22"/>
        </w:rPr>
        <w:t>Centro público de nueva construcción</w:t>
        <w:br/>
        <w:t>32 unidades de ESO y Bachillerato · 1.000 alumnos · 100 docentes</w:t>
      </w:r>
    </w:p>
    <w:p/>
    <w:p/>
    <w:p/>
    <w:p>
      <w:pPr>
        <w:jc w:val="center"/>
      </w:pPr>
      <w:r>
        <w:rPr>
          <w:color w:val="5F7382"/>
          <w:sz w:val="18"/>
        </w:rPr>
        <w:t>Documento de trabajo basado en la tarea 1.2</w:t>
        <w:br/>
        <w:t>Fecha de estimación de precios: 25 de octubre de 2026</w:t>
      </w:r>
    </w:p>
    <w:p>
      <w:r>
        <w:br w:type="page"/>
      </w:r>
    </w:p>
    <w:p>
      <w:pPr>
        <w:pStyle w:val="Heading1"/>
      </w:pPr>
      <w:r>
        <w:t>Resumen ejecutivo</w:t>
      </w:r>
    </w:p>
    <w:p>
      <w:r>
        <w:rPr>
          <w:i w:val="0"/>
        </w:rPr>
        <w:t>El diseño de referencia plantea una arquitectura híbrida para un centro con aproximadamente 1.115 usuarios, cerca de 260 equipos fijos y entre 1.500 y 2.000 dispositivos conectados en periodos de máxima actividad. El núcleo local garantiza los servicios ligados a la red física y a la continuidad de las clases; las aplicaciones que no necesitan ejecutarse dentro del edificio pueden trasladarse a servicios gestionados.</w:t>
      </w:r>
    </w:p>
    <w:p>
      <w:r>
        <w:rPr>
          <w:i w:val="0"/>
        </w:rPr>
        <w:t>Con los precios orientativos consultados, la adquisición completa del equipamiento local se estima en unos 69.677 €. De esa cantidad, aproximadamente 36.517 € corresponden a elementos que se mantienen también en la alternativa AWS (red, Wi-Fi, seguridad perimetral, videovigilancia, SAI, rack, climatización y enlaces). El núcleo de cómputo y almacenamiento local representa los 33.160 € restantes. Su consumo eléctrico se estima en 2.224,8 kWh mensuales y 373,77 €/mes usando 0,168 €/kWh como referencia estadística actualizada.</w:t>
      </w:r>
    </w:p>
    <w:p>
      <w:r>
        <w:rPr>
          <w:i w:val="0"/>
        </w:rPr>
        <w:t>El escenario AWS modelado alcanza aproximadamente 1.429 €/mes (17.148 €/año), principalmente por el almacenamiento compartido de 20 TB, sus copias y la transferencia de datos. Las cantidades de nube son una estimación previa para la calculadora, no una oferta de AWS. El documento deja identificado el lugar donde debe incorporarse la URL compartida real de AWS Pricing Calculator.</w:t>
      </w:r>
    </w:p>
    <w:tbl>
      <w:tblPr>
        <w:tblW w:type="auto" w:w="0"/>
        <w:jc w:val="center"/>
        <w:tblLook w:firstColumn="1" w:firstRow="1" w:lastColumn="0" w:lastRow="0" w:noHBand="0" w:noVBand="1" w:val="04A0"/>
      </w:tblPr>
      <w:tblGrid>
        <w:gridCol w:w="10200"/>
      </w:tblGrid>
      <w:tr>
        <w:trPr>
          <w:cantSplit/>
        </w:trPr>
        <w:tc>
          <w:tcPr>
            <w:tcW w:type="dxa" w:w="10200"/>
            <w:shd w:fill="EAF1F6"/>
            <w:tcMar>
              <w:top w:w="100" w:type="dxa"/>
              <w:start w:w="130" w:type="dxa"/>
              <w:bottom w:w="100" w:type="dxa"/>
              <w:end w:w="130" w:type="dxa"/>
            </w:tcMar>
          </w:tcPr>
          <w:p>
            <w:pPr>
              <w:spacing w:after="0"/>
            </w:pPr>
            <w:r/>
            <w:r>
              <w:rPr>
                <w:color w:val="264255"/>
                <w:sz w:val="17"/>
              </w:rPr>
              <w:t>Alcance económico: se excluyen mano de obra de instalación, licencias compradas por separado, personal, mantenimiento, renovación de equipos, aulas y puestos de usuario, y cualquier tarifa de telecomunicaciones común a ambos escenarios. Los importes de hardware son orientativos y pueden cambiar por disponibilidad, configuración e impuestos incluidos en cada fuente.</w:t>
            </w:r>
          </w:p>
        </w:tc>
      </w:tr>
    </w:tbl>
    <w:p>
      <w:pPr>
        <w:spacing w:after="20"/>
      </w:pPr>
    </w:p>
    <w:p>
      <w:pPr>
        <w:pStyle w:val="Heading1"/>
      </w:pPr>
      <w:r>
        <w:t>1. Introducción, objetivos y criterios de diseño</w:t>
      </w:r>
    </w:p>
    <w:p>
      <w:r>
        <w:rPr>
          <w:i w:val="0"/>
        </w:rPr>
        <w:t>Este documento amplía la propuesta de la tarea 1.2 para comparar dos modelos de despliegue: infraestructura local (on-premises) e infraestructura en AWS. El objetivo es identificar recursos materiales, estimar el coste inicial y el coste de funcionamiento, y justificar el dimensionamiento sin calcular rentabilidad, amortización ni retorno de inversión.</w:t>
      </w:r>
    </w:p>
    <w:p>
      <w:r>
        <w:rPr>
          <w:i w:val="0"/>
        </w:rPr>
        <w:t>Se mantienen los principios de diseño establecidos en la propuesta original: continuidad de la actividad lectiva, simplicidad operativa, protección de datos del alumnado, coste previsible, integración con la Conselleria y margen de crecimiento.</w:t>
      </w:r>
    </w:p>
    <w:p>
      <w:pPr>
        <w:pStyle w:val="ListBullet"/>
        <w:spacing w:after="40"/>
      </w:pPr>
      <w:r>
        <w:t>Continuidad: DNS, DHCP, autenticación de red, impresión y videovigilancia no deben depender exclusivamente de Internet.</w:t>
      </w:r>
    </w:p>
    <w:p>
      <w:pPr>
        <w:pStyle w:val="ListBullet"/>
        <w:spacing w:after="40"/>
      </w:pPr>
      <w:r>
        <w:t>Protección: los datos de alumnado se minimizan y se mantienen en servicios y regiones adecuados al RGPD, con contratos y controles de acceso correspondientes.</w:t>
      </w:r>
    </w:p>
    <w:p>
      <w:pPr>
        <w:pStyle w:val="ListBullet"/>
        <w:spacing w:after="40"/>
      </w:pPr>
      <w:r>
        <w:t>Operación: el centro dispone de un coordinador TIC a tiempo parcial; conviene reducir tareas rutinarias y aprovechar servicios gestionados.</w:t>
      </w:r>
    </w:p>
    <w:p>
      <w:pPr>
        <w:pStyle w:val="ListBullet"/>
        <w:spacing w:after="40"/>
      </w:pPr>
      <w:r>
        <w:t>Escalabilidad: el cálculo parte de picos de 1.500–2.000 dispositivos conectados y permite aumentar capacidad donde el crecimiento lo requiera.</w:t>
      </w:r>
    </w:p>
    <w:p>
      <w:pPr>
        <w:pStyle w:val="ListBullet"/>
        <w:spacing w:after="40"/>
      </w:pPr>
      <w:r>
        <w:t>Comparación económica: el CAPEX local y la factura mensual cloud se mostrarán por separado; los recursos que no cambian entre escenarios no se cargarán dos veces en la proyección comparativa.</w:t>
      </w:r>
    </w:p>
    <w:p>
      <w:pPr>
        <w:pStyle w:val="Heading1"/>
      </w:pPr>
      <w:r>
        <w:t>2. Datos de partida y supuestos</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757"/>
            <w:vAlign w:val="center"/>
            <w:tcMar>
              <w:top w:w="60" w:type="dxa"/>
              <w:start w:w="70" w:type="dxa"/>
              <w:bottom w:w="60" w:type="dxa"/>
              <w:end w:w="70" w:type="dxa"/>
            </w:tcMar>
            <w:shd w:fill="#17324D"/>
          </w:tcPr>
          <w:p>
            <w:pPr>
              <w:spacing w:after="0" w:before="0" w:line="240" w:lineRule="auto"/>
            </w:pPr>
            <w:r/>
            <w:r>
              <w:rPr>
                <w:rFonts w:ascii="Aptos" w:hAnsi="Aptos"/>
                <w:b/>
                <w:color w:val="FFFFFF"/>
                <w:sz w:val="15"/>
              </w:rPr>
              <w:t>Dato</w:t>
            </w:r>
          </w:p>
        </w:tc>
        <w:tc>
          <w:tcPr>
            <w:tcW w:type="dxa" w:w="2268"/>
            <w:vAlign w:val="center"/>
            <w:tcMar>
              <w:top w:w="60" w:type="dxa"/>
              <w:start w:w="70" w:type="dxa"/>
              <w:bottom w:w="60" w:type="dxa"/>
              <w:end w:w="70" w:type="dxa"/>
            </w:tcMar>
            <w:shd w:fill="#17324D"/>
          </w:tcPr>
          <w:p>
            <w:pPr>
              <w:spacing w:after="0" w:before="0" w:line="240" w:lineRule="auto"/>
            </w:pPr>
            <w:r/>
            <w:r>
              <w:rPr>
                <w:rFonts w:ascii="Aptos" w:hAnsi="Aptos"/>
                <w:b/>
                <w:color w:val="FFFFFF"/>
                <w:sz w:val="15"/>
              </w:rPr>
              <w:t>Valor de referencia</w:t>
            </w:r>
          </w:p>
        </w:tc>
        <w:tc>
          <w:tcPr>
            <w:tcW w:type="dxa" w:w="5783"/>
            <w:vAlign w:val="center"/>
            <w:tcMar>
              <w:top w:w="60" w:type="dxa"/>
              <w:start w:w="70" w:type="dxa"/>
              <w:bottom w:w="60" w:type="dxa"/>
              <w:end w:w="70" w:type="dxa"/>
            </w:tcMar>
            <w:shd w:fill="#17324D"/>
          </w:tcPr>
          <w:p>
            <w:pPr>
              <w:spacing w:after="0" w:before="0" w:line="240" w:lineRule="auto"/>
            </w:pPr>
            <w:r/>
            <w:r>
              <w:rPr>
                <w:rFonts w:ascii="Aptos" w:hAnsi="Aptos"/>
                <w:b/>
                <w:color w:val="FFFFFF"/>
                <w:sz w:val="15"/>
              </w:rPr>
              <w:t>Uso en el dimensionamiento</w:t>
            </w:r>
          </w:p>
        </w:tc>
      </w:tr>
      <w:tr>
        <w:trPr>
          <w:cantSplit/>
        </w:trPr>
        <w:tc>
          <w:tcPr>
            <w:tcW w:type="dxa" w:w="1757"/>
            <w:vAlign w:val="center"/>
            <w:tcMar>
              <w:top w:w="60" w:type="dxa"/>
              <w:start w:w="70" w:type="dxa"/>
              <w:bottom w:w="60" w:type="dxa"/>
              <w:end w:w="70" w:type="dxa"/>
            </w:tcMar>
          </w:tcPr>
          <w:p>
            <w:pPr>
              <w:spacing w:after="0" w:before="0" w:line="240" w:lineRule="auto"/>
            </w:pPr>
            <w:r/>
            <w:r>
              <w:rPr>
                <w:rFonts w:ascii="Aptos" w:hAnsi="Aptos"/>
                <w:b w:val="0"/>
                <w:sz w:val="15"/>
              </w:rPr>
              <w:t>Usuarios</w:t>
            </w:r>
          </w:p>
        </w:tc>
        <w:tc>
          <w:tcPr>
            <w:tcW w:type="dxa" w:w="2268"/>
            <w:vAlign w:val="center"/>
            <w:tcMar>
              <w:top w:w="60" w:type="dxa"/>
              <w:start w:w="70" w:type="dxa"/>
              <w:bottom w:w="60" w:type="dxa"/>
              <w:end w:w="70" w:type="dxa"/>
            </w:tcMar>
          </w:tcPr>
          <w:p>
            <w:pPr>
              <w:spacing w:after="0" w:before="0" w:line="240" w:lineRule="auto"/>
            </w:pPr>
            <w:r/>
            <w:r>
              <w:rPr>
                <w:rFonts w:ascii="Aptos" w:hAnsi="Aptos"/>
                <w:b w:val="0"/>
                <w:sz w:val="15"/>
              </w:rPr>
              <w:t>~1.115</w:t>
            </w:r>
          </w:p>
        </w:tc>
        <w:tc>
          <w:tcPr>
            <w:tcW w:type="dxa" w:w="5783"/>
            <w:vAlign w:val="center"/>
            <w:tcMar>
              <w:top w:w="60" w:type="dxa"/>
              <w:start w:w="70" w:type="dxa"/>
              <w:bottom w:w="60" w:type="dxa"/>
              <w:end w:w="70" w:type="dxa"/>
            </w:tcMar>
          </w:tcPr>
          <w:p>
            <w:pPr>
              <w:spacing w:after="0" w:before="0" w:line="240" w:lineRule="auto"/>
            </w:pPr>
            <w:r/>
            <w:r>
              <w:rPr>
                <w:rFonts w:ascii="Aptos" w:hAnsi="Aptos"/>
                <w:b w:val="0"/>
                <w:sz w:val="15"/>
              </w:rPr>
              <w:t>1.000 alumnos, 100 docentes y 15 personas de dirección, administración y conserjería.</w:t>
            </w:r>
          </w:p>
        </w:tc>
      </w:tr>
      <w:tr>
        <w:trPr>
          <w:cantSplit/>
        </w:trPr>
        <w:tc>
          <w:tcPr>
            <w:tcW w:type="dxa" w:w="1757"/>
            <w:vAlign w:val="center"/>
            <w:tcMar>
              <w:top w:w="60" w:type="dxa"/>
              <w:start w:w="70" w:type="dxa"/>
              <w:bottom w:w="60" w:type="dxa"/>
              <w:end w:w="70" w:type="dxa"/>
            </w:tcMar>
            <w:shd w:fill="F3F6F8"/>
          </w:tcPr>
          <w:p>
            <w:pPr>
              <w:spacing w:after="0" w:before="0" w:line="240" w:lineRule="auto"/>
            </w:pPr>
            <w:r/>
            <w:r>
              <w:rPr>
                <w:rFonts w:ascii="Aptos" w:hAnsi="Aptos"/>
                <w:b w:val="0"/>
                <w:sz w:val="15"/>
              </w:rPr>
              <w:t>Estancias con red</w:t>
            </w:r>
          </w:p>
        </w:tc>
        <w:tc>
          <w:tcPr>
            <w:tcW w:type="dxa" w:w="2268"/>
            <w:vAlign w:val="center"/>
            <w:tcMar>
              <w:top w:w="60" w:type="dxa"/>
              <w:start w:w="70" w:type="dxa"/>
              <w:bottom w:w="60" w:type="dxa"/>
              <w:end w:w="70" w:type="dxa"/>
            </w:tcMar>
            <w:shd w:fill="F3F6F8"/>
          </w:tcPr>
          <w:p>
            <w:pPr>
              <w:spacing w:after="0" w:before="0" w:line="240" w:lineRule="auto"/>
            </w:pPr>
            <w:r/>
            <w:r>
              <w:rPr>
                <w:rFonts w:ascii="Aptos" w:hAnsi="Aptos"/>
                <w:b w:val="0"/>
                <w:sz w:val="15"/>
              </w:rPr>
              <w:t>~60</w:t>
            </w:r>
          </w:p>
        </w:tc>
        <w:tc>
          <w:tcPr>
            <w:tcW w:type="dxa" w:w="5783"/>
            <w:vAlign w:val="center"/>
            <w:tcMar>
              <w:top w:w="60" w:type="dxa"/>
              <w:start w:w="70" w:type="dxa"/>
              <w:bottom w:w="60" w:type="dxa"/>
              <w:end w:w="70" w:type="dxa"/>
            </w:tcMar>
            <w:shd w:fill="F3F6F8"/>
          </w:tcPr>
          <w:p>
            <w:pPr>
              <w:spacing w:after="0" w:before="0" w:line="240" w:lineRule="auto"/>
            </w:pPr>
            <w:r/>
            <w:r>
              <w:rPr>
                <w:rFonts w:ascii="Aptos" w:hAnsi="Aptos"/>
                <w:b w:val="0"/>
                <w:sz w:val="15"/>
              </w:rPr>
              <w:t>32 aulas, 2 aulas de informática, laboratorios, tecnología, salón de actos, gimnasio, sala de profesorado y zonas administrativas.</w:t>
            </w:r>
          </w:p>
        </w:tc>
      </w:tr>
      <w:tr>
        <w:trPr>
          <w:cantSplit/>
        </w:trPr>
        <w:tc>
          <w:tcPr>
            <w:tcW w:type="dxa" w:w="1757"/>
            <w:vAlign w:val="center"/>
            <w:tcMar>
              <w:top w:w="60" w:type="dxa"/>
              <w:start w:w="70" w:type="dxa"/>
              <w:bottom w:w="60" w:type="dxa"/>
              <w:end w:w="70" w:type="dxa"/>
            </w:tcMar>
          </w:tcPr>
          <w:p>
            <w:pPr>
              <w:spacing w:after="0" w:before="0" w:line="240" w:lineRule="auto"/>
            </w:pPr>
            <w:r/>
            <w:r>
              <w:rPr>
                <w:rFonts w:ascii="Aptos" w:hAnsi="Aptos"/>
                <w:b w:val="0"/>
                <w:sz w:val="15"/>
              </w:rPr>
              <w:t>Equipos fijos</w:t>
            </w:r>
          </w:p>
        </w:tc>
        <w:tc>
          <w:tcPr>
            <w:tcW w:type="dxa" w:w="2268"/>
            <w:vAlign w:val="center"/>
            <w:tcMar>
              <w:top w:w="60" w:type="dxa"/>
              <w:start w:w="70" w:type="dxa"/>
              <w:bottom w:w="60" w:type="dxa"/>
              <w:end w:w="70" w:type="dxa"/>
            </w:tcMar>
          </w:tcPr>
          <w:p>
            <w:pPr>
              <w:spacing w:after="0" w:before="0" w:line="240" w:lineRule="auto"/>
            </w:pPr>
            <w:r/>
            <w:r>
              <w:rPr>
                <w:rFonts w:ascii="Aptos" w:hAnsi="Aptos"/>
                <w:b w:val="0"/>
                <w:sz w:val="15"/>
              </w:rPr>
              <w:t>~260</w:t>
            </w:r>
          </w:p>
        </w:tc>
        <w:tc>
          <w:tcPr>
            <w:tcW w:type="dxa" w:w="5783"/>
            <w:vAlign w:val="center"/>
            <w:tcMar>
              <w:top w:w="60" w:type="dxa"/>
              <w:start w:w="70" w:type="dxa"/>
              <w:bottom w:w="60" w:type="dxa"/>
              <w:end w:w="70" w:type="dxa"/>
            </w:tcMar>
          </w:tcPr>
          <w:p>
            <w:pPr>
              <w:spacing w:after="0" w:before="0" w:line="240" w:lineRule="auto"/>
            </w:pPr>
            <w:r/>
            <w:r>
              <w:rPr>
                <w:rFonts w:ascii="Aptos" w:hAnsi="Aptos"/>
                <w:b w:val="0"/>
                <w:sz w:val="15"/>
              </w:rPr>
              <w:t>PC de aula e informática, equipos administrativos y departamentales, paneles y portátiles.</w:t>
            </w:r>
          </w:p>
        </w:tc>
      </w:tr>
      <w:tr>
        <w:trPr>
          <w:cantSplit/>
        </w:trPr>
        <w:tc>
          <w:tcPr>
            <w:tcW w:type="dxa" w:w="1757"/>
            <w:vAlign w:val="center"/>
            <w:tcMar>
              <w:top w:w="60" w:type="dxa"/>
              <w:start w:w="70" w:type="dxa"/>
              <w:bottom w:w="60" w:type="dxa"/>
              <w:end w:w="70" w:type="dxa"/>
            </w:tcMar>
            <w:shd w:fill="F3F6F8"/>
          </w:tcPr>
          <w:p>
            <w:pPr>
              <w:spacing w:after="0" w:before="0" w:line="240" w:lineRule="auto"/>
            </w:pPr>
            <w:r/>
            <w:r>
              <w:rPr>
                <w:rFonts w:ascii="Aptos" w:hAnsi="Aptos"/>
                <w:b w:val="0"/>
                <w:sz w:val="15"/>
              </w:rPr>
              <w:t>Dispositivos personales/IoT</w:t>
            </w:r>
          </w:p>
        </w:tc>
        <w:tc>
          <w:tcPr>
            <w:tcW w:type="dxa" w:w="2268"/>
            <w:vAlign w:val="center"/>
            <w:tcMar>
              <w:top w:w="60" w:type="dxa"/>
              <w:start w:w="70" w:type="dxa"/>
              <w:bottom w:w="60" w:type="dxa"/>
              <w:end w:w="70" w:type="dxa"/>
            </w:tcMar>
            <w:shd w:fill="F3F6F8"/>
          </w:tcPr>
          <w:p>
            <w:pPr>
              <w:spacing w:after="0" w:before="0" w:line="240" w:lineRule="auto"/>
            </w:pPr>
            <w:r/>
            <w:r>
              <w:rPr>
                <w:rFonts w:ascii="Aptos" w:hAnsi="Aptos"/>
                <w:b w:val="0"/>
                <w:sz w:val="15"/>
              </w:rPr>
              <w:t>~1.200 adicionales</w:t>
            </w:r>
          </w:p>
        </w:tc>
        <w:tc>
          <w:tcPr>
            <w:tcW w:type="dxa" w:w="5783"/>
            <w:vAlign w:val="center"/>
            <w:tcMar>
              <w:top w:w="60" w:type="dxa"/>
              <w:start w:w="70" w:type="dxa"/>
              <w:bottom w:w="60" w:type="dxa"/>
              <w:end w:w="70" w:type="dxa"/>
            </w:tcMar>
            <w:shd w:fill="F3F6F8"/>
          </w:tcPr>
          <w:p>
            <w:pPr>
              <w:spacing w:after="0" w:before="0" w:line="240" w:lineRule="auto"/>
            </w:pPr>
            <w:r/>
            <w:r>
              <w:rPr>
                <w:rFonts w:ascii="Aptos" w:hAnsi="Aptos"/>
                <w:b w:val="0"/>
                <w:sz w:val="15"/>
              </w:rPr>
              <w:t>Teléfonos, tabletas y otros dispositivos; parte comparte la red Wi-Fi.</w:t>
            </w:r>
          </w:p>
        </w:tc>
      </w:tr>
      <w:tr>
        <w:trPr>
          <w:cantSplit/>
        </w:trPr>
        <w:tc>
          <w:tcPr>
            <w:tcW w:type="dxa" w:w="1757"/>
            <w:vAlign w:val="center"/>
            <w:tcMar>
              <w:top w:w="60" w:type="dxa"/>
              <w:start w:w="70" w:type="dxa"/>
              <w:bottom w:w="60" w:type="dxa"/>
              <w:end w:w="70" w:type="dxa"/>
            </w:tcMar>
          </w:tcPr>
          <w:p>
            <w:pPr>
              <w:spacing w:after="0" w:before="0" w:line="240" w:lineRule="auto"/>
            </w:pPr>
            <w:r/>
            <w:r>
              <w:rPr>
                <w:rFonts w:ascii="Aptos" w:hAnsi="Aptos"/>
                <w:b w:val="0"/>
                <w:sz w:val="15"/>
              </w:rPr>
              <w:t>Concurrencia de diseño</w:t>
            </w:r>
          </w:p>
        </w:tc>
        <w:tc>
          <w:tcPr>
            <w:tcW w:type="dxa" w:w="2268"/>
            <w:vAlign w:val="center"/>
            <w:tcMar>
              <w:top w:w="60" w:type="dxa"/>
              <w:start w:w="70" w:type="dxa"/>
              <w:bottom w:w="60" w:type="dxa"/>
              <w:end w:w="70" w:type="dxa"/>
            </w:tcMar>
          </w:tcPr>
          <w:p>
            <w:pPr>
              <w:spacing w:after="0" w:before="0" w:line="240" w:lineRule="auto"/>
            </w:pPr>
            <w:r/>
            <w:r>
              <w:rPr>
                <w:rFonts w:ascii="Aptos" w:hAnsi="Aptos"/>
                <w:b w:val="0"/>
                <w:sz w:val="15"/>
              </w:rPr>
              <w:t>1.500–2.000 dispositivos</w:t>
            </w:r>
          </w:p>
        </w:tc>
        <w:tc>
          <w:tcPr>
            <w:tcW w:type="dxa" w:w="5783"/>
            <w:vAlign w:val="center"/>
            <w:tcMar>
              <w:top w:w="60" w:type="dxa"/>
              <w:start w:w="70" w:type="dxa"/>
              <w:bottom w:w="60" w:type="dxa"/>
              <w:end w:w="70" w:type="dxa"/>
            </w:tcMar>
          </w:tcPr>
          <w:p>
            <w:pPr>
              <w:spacing w:after="0" w:before="0" w:line="240" w:lineRule="auto"/>
            </w:pPr>
            <w:r/>
            <w:r>
              <w:rPr>
                <w:rFonts w:ascii="Aptos" w:hAnsi="Aptos"/>
                <w:b w:val="0"/>
                <w:sz w:val="15"/>
              </w:rPr>
              <w:t>Margen para horas lectivas, evaluaciones y entregas.</w:t>
            </w:r>
          </w:p>
        </w:tc>
      </w:tr>
      <w:tr>
        <w:trPr>
          <w:cantSplit/>
        </w:trPr>
        <w:tc>
          <w:tcPr>
            <w:tcW w:type="dxa" w:w="1757"/>
            <w:vAlign w:val="center"/>
            <w:tcMar>
              <w:top w:w="60" w:type="dxa"/>
              <w:start w:w="70" w:type="dxa"/>
              <w:bottom w:w="60" w:type="dxa"/>
              <w:end w:w="70" w:type="dxa"/>
            </w:tcMar>
            <w:shd w:fill="F3F6F8"/>
          </w:tcPr>
          <w:p>
            <w:pPr>
              <w:spacing w:after="0" w:before="0" w:line="240" w:lineRule="auto"/>
            </w:pPr>
            <w:r/>
            <w:r>
              <w:rPr>
                <w:rFonts w:ascii="Aptos" w:hAnsi="Aptos"/>
                <w:b w:val="0"/>
                <w:sz w:val="15"/>
              </w:rPr>
              <w:t>Almacenamiento inicial</w:t>
            </w:r>
          </w:p>
        </w:tc>
        <w:tc>
          <w:tcPr>
            <w:tcW w:type="dxa" w:w="2268"/>
            <w:vAlign w:val="center"/>
            <w:tcMar>
              <w:top w:w="60" w:type="dxa"/>
              <w:start w:w="70" w:type="dxa"/>
              <w:bottom w:w="60" w:type="dxa"/>
              <w:end w:w="70" w:type="dxa"/>
            </w:tcMar>
            <w:shd w:fill="F3F6F8"/>
          </w:tcPr>
          <w:p>
            <w:pPr>
              <w:spacing w:after="0" w:before="0" w:line="240" w:lineRule="auto"/>
            </w:pPr>
            <w:r/>
            <w:r>
              <w:rPr>
                <w:rFonts w:ascii="Aptos" w:hAnsi="Aptos"/>
                <w:b w:val="0"/>
                <w:sz w:val="15"/>
              </w:rPr>
              <w:t>15–20 TB útiles</w:t>
            </w:r>
          </w:p>
        </w:tc>
        <w:tc>
          <w:tcPr>
            <w:tcW w:type="dxa" w:w="5783"/>
            <w:vAlign w:val="center"/>
            <w:tcMar>
              <w:top w:w="60" w:type="dxa"/>
              <w:start w:w="70" w:type="dxa"/>
              <w:bottom w:w="60" w:type="dxa"/>
              <w:end w:w="70" w:type="dxa"/>
            </w:tcMar>
            <w:shd w:fill="F3F6F8"/>
          </w:tcPr>
          <w:p>
            <w:pPr>
              <w:spacing w:after="0" w:before="0" w:line="240" w:lineRule="auto"/>
            </w:pPr>
            <w:r/>
            <w:r>
              <w:rPr>
                <w:rFonts w:ascii="Aptos" w:hAnsi="Aptos"/>
                <w:b w:val="0"/>
                <w:sz w:val="15"/>
              </w:rPr>
              <w:t>~5 TB de docentes, 2–5 TB de alumnado y 4 TB de departamentos/administración/multimedia, con margen de crecimiento.</w:t>
            </w:r>
          </w:p>
        </w:tc>
      </w:tr>
      <w:tr>
        <w:trPr>
          <w:cantSplit/>
        </w:trPr>
        <w:tc>
          <w:tcPr>
            <w:tcW w:type="dxa" w:w="1757"/>
            <w:vAlign w:val="center"/>
            <w:tcMar>
              <w:top w:w="60" w:type="dxa"/>
              <w:start w:w="70" w:type="dxa"/>
              <w:bottom w:w="60" w:type="dxa"/>
              <w:end w:w="70" w:type="dxa"/>
            </w:tcMar>
          </w:tcPr>
          <w:p>
            <w:pPr>
              <w:spacing w:after="0" w:before="0" w:line="240" w:lineRule="auto"/>
            </w:pPr>
            <w:r/>
            <w:r>
              <w:rPr>
                <w:rFonts w:ascii="Aptos" w:hAnsi="Aptos"/>
                <w:b w:val="0"/>
                <w:sz w:val="15"/>
              </w:rPr>
              <w:t>Base de datos</w:t>
            </w:r>
          </w:p>
        </w:tc>
        <w:tc>
          <w:tcPr>
            <w:tcW w:type="dxa" w:w="2268"/>
            <w:vAlign w:val="center"/>
            <w:tcMar>
              <w:top w:w="60" w:type="dxa"/>
              <w:start w:w="70" w:type="dxa"/>
              <w:bottom w:w="60" w:type="dxa"/>
              <w:end w:w="70" w:type="dxa"/>
            </w:tcMar>
          </w:tcPr>
          <w:p>
            <w:pPr>
              <w:spacing w:after="0" w:before="0" w:line="240" w:lineRule="auto"/>
            </w:pPr>
            <w:r/>
            <w:r>
              <w:rPr>
                <w:rFonts w:ascii="Aptos" w:hAnsi="Aptos"/>
                <w:b w:val="0"/>
                <w:sz w:val="15"/>
              </w:rPr>
              <w:t>150 GB iniciales</w:t>
            </w:r>
          </w:p>
        </w:tc>
        <w:tc>
          <w:tcPr>
            <w:tcW w:type="dxa" w:w="5783"/>
            <w:vAlign w:val="center"/>
            <w:tcMar>
              <w:top w:w="60" w:type="dxa"/>
              <w:start w:w="70" w:type="dxa"/>
              <w:bottom w:w="60" w:type="dxa"/>
              <w:end w:w="70" w:type="dxa"/>
            </w:tcMar>
          </w:tcPr>
          <w:p>
            <w:pPr>
              <w:spacing w:after="0" w:before="0" w:line="240" w:lineRule="auto"/>
            </w:pPr>
            <w:r/>
            <w:r>
              <w:rPr>
                <w:rFonts w:ascii="Aptos" w:hAnsi="Aptos"/>
                <w:b w:val="0"/>
                <w:sz w:val="15"/>
              </w:rPr>
              <w:t>PostgreSQL para web, GLPI, monitorización y aplicaciones locales que lo requieran.</w:t>
            </w:r>
          </w:p>
        </w:tc>
      </w:tr>
      <w:tr>
        <w:trPr>
          <w:cantSplit/>
        </w:trPr>
        <w:tc>
          <w:tcPr>
            <w:tcW w:type="dxa" w:w="1757"/>
            <w:vAlign w:val="center"/>
            <w:tcMar>
              <w:top w:w="60" w:type="dxa"/>
              <w:start w:w="70" w:type="dxa"/>
              <w:bottom w:w="60" w:type="dxa"/>
              <w:end w:w="70" w:type="dxa"/>
            </w:tcMar>
            <w:shd w:fill="F3F6F8"/>
          </w:tcPr>
          <w:p>
            <w:pPr>
              <w:spacing w:after="0" w:before="0" w:line="240" w:lineRule="auto"/>
            </w:pPr>
            <w:r/>
            <w:r>
              <w:rPr>
                <w:rFonts w:ascii="Aptos" w:hAnsi="Aptos"/>
                <w:b w:val="0"/>
                <w:sz w:val="15"/>
              </w:rPr>
              <w:t>Conectividad</w:t>
            </w:r>
          </w:p>
        </w:tc>
        <w:tc>
          <w:tcPr>
            <w:tcW w:type="dxa" w:w="2268"/>
            <w:vAlign w:val="center"/>
            <w:tcMar>
              <w:top w:w="60" w:type="dxa"/>
              <w:start w:w="70" w:type="dxa"/>
              <w:bottom w:w="60" w:type="dxa"/>
              <w:end w:w="70" w:type="dxa"/>
            </w:tcMar>
            <w:shd w:fill="F3F6F8"/>
          </w:tcPr>
          <w:p>
            <w:pPr>
              <w:spacing w:after="0" w:before="0" w:line="240" w:lineRule="auto"/>
            </w:pPr>
            <w:r/>
            <w:r>
              <w:rPr>
                <w:rFonts w:ascii="Aptos" w:hAnsi="Aptos"/>
                <w:b w:val="0"/>
                <w:sz w:val="15"/>
              </w:rPr>
              <w:t>Fibra 1 Gbps + respaldo 500 Mbps</w:t>
            </w:r>
          </w:p>
        </w:tc>
        <w:tc>
          <w:tcPr>
            <w:tcW w:type="dxa" w:w="5783"/>
            <w:vAlign w:val="center"/>
            <w:tcMar>
              <w:top w:w="60" w:type="dxa"/>
              <w:start w:w="70" w:type="dxa"/>
              <w:bottom w:w="60" w:type="dxa"/>
              <w:end w:w="70" w:type="dxa"/>
            </w:tcMar>
            <w:shd w:fill="F3F6F8"/>
          </w:tcPr>
          <w:p>
            <w:pPr>
              <w:spacing w:after="0" w:before="0" w:line="240" w:lineRule="auto"/>
            </w:pPr>
            <w:r/>
            <w:r>
              <w:rPr>
                <w:rFonts w:ascii="Aptos" w:hAnsi="Aptos"/>
                <w:b w:val="0"/>
                <w:sz w:val="15"/>
              </w:rPr>
              <w:t>Dos operadores diferentes con conmutación automática.</w:t>
            </w:r>
          </w:p>
        </w:tc>
      </w:tr>
      <w:tr>
        <w:trPr>
          <w:cantSplit/>
        </w:trPr>
        <w:tc>
          <w:tcPr>
            <w:tcW w:type="dxa" w:w="1757"/>
            <w:vAlign w:val="center"/>
            <w:tcMar>
              <w:top w:w="60" w:type="dxa"/>
              <w:start w:w="70" w:type="dxa"/>
              <w:bottom w:w="60" w:type="dxa"/>
              <w:end w:w="70" w:type="dxa"/>
            </w:tcMar>
          </w:tcPr>
          <w:p>
            <w:pPr>
              <w:spacing w:after="0" w:before="0" w:line="240" w:lineRule="auto"/>
            </w:pPr>
            <w:r/>
            <w:r>
              <w:rPr>
                <w:rFonts w:ascii="Aptos" w:hAnsi="Aptos"/>
                <w:b w:val="0"/>
                <w:sz w:val="15"/>
              </w:rPr>
              <w:t>Edificio</w:t>
            </w:r>
          </w:p>
        </w:tc>
        <w:tc>
          <w:tcPr>
            <w:tcW w:type="dxa" w:w="2268"/>
            <w:vAlign w:val="center"/>
            <w:tcMar>
              <w:top w:w="60" w:type="dxa"/>
              <w:start w:w="70" w:type="dxa"/>
              <w:bottom w:w="60" w:type="dxa"/>
              <w:end w:w="70" w:type="dxa"/>
            </w:tcMar>
          </w:tcPr>
          <w:p>
            <w:pPr>
              <w:spacing w:after="0" w:before="0" w:line="240" w:lineRule="auto"/>
            </w:pPr>
            <w:r/>
            <w:r>
              <w:rPr>
                <w:rFonts w:ascii="Aptos" w:hAnsi="Aptos"/>
                <w:b w:val="0"/>
                <w:sz w:val="15"/>
              </w:rPr>
              <w:t>3 plantas + pabellón</w:t>
            </w:r>
          </w:p>
        </w:tc>
        <w:tc>
          <w:tcPr>
            <w:tcW w:type="dxa" w:w="5783"/>
            <w:vAlign w:val="center"/>
            <w:tcMar>
              <w:top w:w="60" w:type="dxa"/>
              <w:start w:w="70" w:type="dxa"/>
              <w:bottom w:w="60" w:type="dxa"/>
              <w:end w:w="70" w:type="dxa"/>
            </w:tcMar>
          </w:tcPr>
          <w:p>
            <w:pPr>
              <w:spacing w:after="0" w:before="0" w:line="240" w:lineRule="auto"/>
            </w:pPr>
            <w:r/>
            <w:r>
              <w:rPr>
                <w:rFonts w:ascii="Aptos" w:hAnsi="Aptos"/>
                <w:b w:val="0"/>
                <w:sz w:val="15"/>
              </w:rPr>
              <w:t>Sala principal de comunicaciones y armarios de comunicaciones por planta/pabellón.</w:t>
            </w:r>
          </w:p>
        </w:tc>
      </w:tr>
      <w:tr>
        <w:trPr>
          <w:cantSplit/>
        </w:trPr>
        <w:tc>
          <w:tcPr>
            <w:tcW w:type="dxa" w:w="1757"/>
            <w:vAlign w:val="center"/>
            <w:tcMar>
              <w:top w:w="60" w:type="dxa"/>
              <w:start w:w="70" w:type="dxa"/>
              <w:bottom w:w="60" w:type="dxa"/>
              <w:end w:w="70" w:type="dxa"/>
            </w:tcMar>
            <w:shd w:fill="F3F6F8"/>
          </w:tcPr>
          <w:p>
            <w:pPr>
              <w:spacing w:after="0" w:before="0" w:line="240" w:lineRule="auto"/>
            </w:pPr>
            <w:r/>
            <w:r>
              <w:rPr>
                <w:rFonts w:ascii="Aptos" w:hAnsi="Aptos"/>
                <w:b w:val="0"/>
                <w:sz w:val="15"/>
              </w:rPr>
              <w:t>Equipo TI</w:t>
            </w:r>
          </w:p>
        </w:tc>
        <w:tc>
          <w:tcPr>
            <w:tcW w:type="dxa" w:w="2268"/>
            <w:vAlign w:val="center"/>
            <w:tcMar>
              <w:top w:w="60" w:type="dxa"/>
              <w:start w:w="70" w:type="dxa"/>
              <w:bottom w:w="60" w:type="dxa"/>
              <w:end w:w="70" w:type="dxa"/>
            </w:tcMar>
            <w:shd w:fill="F3F6F8"/>
          </w:tcPr>
          <w:p>
            <w:pPr>
              <w:spacing w:after="0" w:before="0" w:line="240" w:lineRule="auto"/>
            </w:pPr>
            <w:r/>
            <w:r>
              <w:rPr>
                <w:rFonts w:ascii="Aptos" w:hAnsi="Aptos"/>
                <w:b w:val="0"/>
                <w:sz w:val="15"/>
              </w:rPr>
              <w:t>1 coordinador TIC a tiempo parcial</w:t>
            </w:r>
          </w:p>
        </w:tc>
        <w:tc>
          <w:tcPr>
            <w:tcW w:type="dxa" w:w="5783"/>
            <w:vAlign w:val="center"/>
            <w:tcMar>
              <w:top w:w="60" w:type="dxa"/>
              <w:start w:w="70" w:type="dxa"/>
              <w:bottom w:w="60" w:type="dxa"/>
              <w:end w:w="70" w:type="dxa"/>
            </w:tcMar>
            <w:shd w:fill="F3F6F8"/>
          </w:tcPr>
          <w:p>
            <w:pPr>
              <w:spacing w:after="0" w:before="0" w:line="240" w:lineRule="auto"/>
            </w:pPr>
            <w:r/>
            <w:r>
              <w:rPr>
                <w:rFonts w:ascii="Aptos" w:hAnsi="Aptos"/>
                <w:b w:val="0"/>
                <w:sz w:val="15"/>
              </w:rPr>
              <w:t>Se favorece consolidación, automatización y servicios gestionados.</w:t>
            </w:r>
          </w:p>
        </w:tc>
      </w:tr>
    </w:tbl>
    <w:p>
      <w:pPr>
        <w:spacing w:after="20"/>
      </w:pPr>
    </w:p>
    <w:p>
      <w:pPr>
        <w:pStyle w:val="Heading1"/>
      </w:pPr>
      <w:r>
        <w:t>3. Arquitectura de referencia derivada de la tarea 1.2</w:t>
      </w:r>
    </w:p>
    <w:p>
      <w:r>
        <w:rPr>
          <w:i w:val="0"/>
        </w:rPr>
        <w:t>La alternativa local consolida entre 20 y 25 servicios en tres nodos de virtualización, en vez de comprar un servidor por función. La base de datos propuesta es PostgreSQL con 150 GB iniciales. Para carpetas compartidas y copias locales se presupuestan dos NAS de 8 bahías con RAID 6. Las cámaras se graban localmente en un NVR para limitar el tráfico y mantener el control físico de las imágenes.</w:t>
      </w:r>
    </w:p>
    <w:p>
      <w:r>
        <w:rPr>
          <w:i w:val="0"/>
        </w:rPr>
        <w:t>La red se organiza jerárquicamente: dos enlaces de Internet, dos cortafuegos en alta disponibilidad, dos switches de núcleo de capa 3, switches de acceso PoE, 70 puntos de acceso Wi-Fi 6 y cableado Cat6A. La segmentación por VLAN y la autenticación 802.1X/RADIUS separan alumnado, personal, administración, dispositivos IoT y servidores.</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701"/>
            <w:vAlign w:val="center"/>
            <w:tcMar>
              <w:top w:w="60" w:type="dxa"/>
              <w:start w:w="70" w:type="dxa"/>
              <w:bottom w:w="60" w:type="dxa"/>
              <w:end w:w="70" w:type="dxa"/>
            </w:tcMar>
            <w:shd w:fill="#17324D"/>
          </w:tcPr>
          <w:p>
            <w:pPr>
              <w:spacing w:after="0" w:before="0" w:line="240" w:lineRule="auto"/>
            </w:pPr>
            <w:r/>
            <w:r>
              <w:rPr>
                <w:rFonts w:ascii="Aptos" w:hAnsi="Aptos"/>
                <w:b/>
                <w:color w:val="FFFFFF"/>
                <w:sz w:val="15"/>
              </w:rPr>
              <w:t>Bloque</w:t>
            </w:r>
          </w:p>
        </w:tc>
        <w:tc>
          <w:tcPr>
            <w:tcW w:type="dxa" w:w="3969"/>
            <w:vAlign w:val="center"/>
            <w:tcMar>
              <w:top w:w="60" w:type="dxa"/>
              <w:start w:w="70" w:type="dxa"/>
              <w:bottom w:w="60" w:type="dxa"/>
              <w:end w:w="70" w:type="dxa"/>
            </w:tcMar>
            <w:shd w:fill="#17324D"/>
          </w:tcPr>
          <w:p>
            <w:pPr>
              <w:spacing w:after="0" w:before="0" w:line="240" w:lineRule="auto"/>
            </w:pPr>
            <w:r/>
            <w:r>
              <w:rPr>
                <w:rFonts w:ascii="Aptos" w:hAnsi="Aptos"/>
                <w:b/>
                <w:color w:val="FFFFFF"/>
                <w:sz w:val="15"/>
              </w:rPr>
              <w:t>Alternativa local</w:t>
            </w:r>
          </w:p>
        </w:tc>
        <w:tc>
          <w:tcPr>
            <w:tcW w:type="dxa" w:w="4139"/>
            <w:vAlign w:val="center"/>
            <w:tcMar>
              <w:top w:w="60" w:type="dxa"/>
              <w:start w:w="70" w:type="dxa"/>
              <w:bottom w:w="60" w:type="dxa"/>
              <w:end w:w="70" w:type="dxa"/>
            </w:tcMar>
            <w:shd w:fill="#17324D"/>
          </w:tcPr>
          <w:p>
            <w:pPr>
              <w:spacing w:after="0" w:before="0" w:line="240" w:lineRule="auto"/>
            </w:pPr>
            <w:r/>
            <w:r>
              <w:rPr>
                <w:rFonts w:ascii="Aptos" w:hAnsi="Aptos"/>
                <w:b/>
                <w:color w:val="FFFFFF"/>
                <w:sz w:val="15"/>
              </w:rPr>
              <w:t>Alternativa AWS</w:t>
            </w:r>
          </w:p>
        </w:tc>
      </w:tr>
      <w:tr>
        <w:trPr>
          <w:cantSplit/>
        </w:trPr>
        <w:tc>
          <w:tcPr>
            <w:tcW w:type="dxa" w:w="1701"/>
            <w:vAlign w:val="center"/>
            <w:tcMar>
              <w:top w:w="60" w:type="dxa"/>
              <w:start w:w="70" w:type="dxa"/>
              <w:bottom w:w="60" w:type="dxa"/>
              <w:end w:w="70" w:type="dxa"/>
            </w:tcMar>
          </w:tcPr>
          <w:p>
            <w:pPr>
              <w:spacing w:after="0" w:before="0" w:line="240" w:lineRule="auto"/>
            </w:pPr>
            <w:r/>
            <w:r>
              <w:rPr>
                <w:rFonts w:ascii="Aptos" w:hAnsi="Aptos"/>
                <w:b w:val="0"/>
                <w:sz w:val="15"/>
              </w:rPr>
              <w:t>Identidad y servicios de red</w:t>
            </w:r>
          </w:p>
        </w:tc>
        <w:tc>
          <w:tcPr>
            <w:tcW w:type="dxa" w:w="3969"/>
            <w:vAlign w:val="center"/>
            <w:tcMar>
              <w:top w:w="60" w:type="dxa"/>
              <w:start w:w="70" w:type="dxa"/>
              <w:bottom w:w="60" w:type="dxa"/>
              <w:end w:w="70" w:type="dxa"/>
            </w:tcMar>
          </w:tcPr>
          <w:p>
            <w:pPr>
              <w:spacing w:after="0" w:before="0" w:line="240" w:lineRule="auto"/>
            </w:pPr>
            <w:r/>
            <w:r>
              <w:rPr>
                <w:rFonts w:ascii="Aptos" w:hAnsi="Aptos"/>
                <w:b w:val="0"/>
                <w:sz w:val="15"/>
              </w:rPr>
              <w:t>Directorio/LDAP, DNS, DHCP, NTP y RADIUS/NAC duplicados o con redundancia local.</w:t>
            </w:r>
          </w:p>
        </w:tc>
        <w:tc>
          <w:tcPr>
            <w:tcW w:type="dxa" w:w="4139"/>
            <w:vAlign w:val="center"/>
            <w:tcMar>
              <w:top w:w="60" w:type="dxa"/>
              <w:start w:w="70" w:type="dxa"/>
              <w:bottom w:w="60" w:type="dxa"/>
              <w:end w:w="70" w:type="dxa"/>
            </w:tcMar>
          </w:tcPr>
          <w:p>
            <w:pPr>
              <w:spacing w:after="0" w:before="0" w:line="240" w:lineRule="auto"/>
            </w:pPr>
            <w:r/>
            <w:r>
              <w:rPr>
                <w:rFonts w:ascii="Aptos" w:hAnsi="Aptos"/>
                <w:b w:val="0"/>
                <w:sz w:val="15"/>
              </w:rPr>
              <w:t>Se mantiene un núcleo local para autenticar y asignar red durante incidencias de Internet; AWS puede alojar componentes de gestión no críticos.</w:t>
            </w:r>
          </w:p>
        </w:tc>
      </w:tr>
      <w:tr>
        <w:trPr>
          <w:cantSplit/>
        </w:trPr>
        <w:tc>
          <w:tcPr>
            <w:tcW w:type="dxa" w:w="1701"/>
            <w:vAlign w:val="center"/>
            <w:tcMar>
              <w:top w:w="60" w:type="dxa"/>
              <w:start w:w="70" w:type="dxa"/>
              <w:bottom w:w="60" w:type="dxa"/>
              <w:end w:w="70" w:type="dxa"/>
            </w:tcMar>
            <w:shd w:fill="F3F6F8"/>
          </w:tcPr>
          <w:p>
            <w:pPr>
              <w:spacing w:after="0" w:before="0" w:line="240" w:lineRule="auto"/>
            </w:pPr>
            <w:r/>
            <w:r>
              <w:rPr>
                <w:rFonts w:ascii="Aptos" w:hAnsi="Aptos"/>
                <w:b w:val="0"/>
                <w:sz w:val="15"/>
              </w:rPr>
              <w:t>Ficheros e impresión</w:t>
            </w:r>
          </w:p>
        </w:tc>
        <w:tc>
          <w:tcPr>
            <w:tcW w:type="dxa" w:w="3969"/>
            <w:vAlign w:val="center"/>
            <w:tcMar>
              <w:top w:w="60" w:type="dxa"/>
              <w:start w:w="70" w:type="dxa"/>
              <w:bottom w:w="60" w:type="dxa"/>
              <w:end w:w="70" w:type="dxa"/>
            </w:tcMar>
            <w:shd w:fill="F3F6F8"/>
          </w:tcPr>
          <w:p>
            <w:pPr>
              <w:spacing w:after="0" w:before="0" w:line="240" w:lineRule="auto"/>
            </w:pPr>
            <w:r/>
            <w:r>
              <w:rPr>
                <w:rFonts w:ascii="Aptos" w:hAnsi="Aptos"/>
                <w:b w:val="0"/>
                <w:sz w:val="15"/>
              </w:rPr>
              <w:t>Carpetas SMB y colas de impresión local; NAS principal y NAS de copia.</w:t>
            </w:r>
          </w:p>
        </w:tc>
        <w:tc>
          <w:tcPr>
            <w:tcW w:type="dxa" w:w="4139"/>
            <w:vAlign w:val="center"/>
            <w:tcMar>
              <w:top w:w="60" w:type="dxa"/>
              <w:start w:w="70" w:type="dxa"/>
              <w:bottom w:w="60" w:type="dxa"/>
              <w:end w:w="70" w:type="dxa"/>
            </w:tcMar>
            <w:shd w:fill="F3F6F8"/>
          </w:tcPr>
          <w:p>
            <w:pPr>
              <w:spacing w:after="0" w:before="0" w:line="240" w:lineRule="auto"/>
            </w:pPr>
            <w:r/>
            <w:r>
              <w:rPr>
                <w:rFonts w:ascii="Aptos" w:hAnsi="Aptos"/>
                <w:b w:val="0"/>
                <w:sz w:val="15"/>
              </w:rPr>
              <w:t>FSx for Windows File Server para compartir archivos; la impresión permanece local.</w:t>
            </w:r>
          </w:p>
        </w:tc>
      </w:tr>
      <w:tr>
        <w:trPr>
          <w:cantSplit/>
        </w:trPr>
        <w:tc>
          <w:tcPr>
            <w:tcW w:type="dxa" w:w="1701"/>
            <w:vAlign w:val="center"/>
            <w:tcMar>
              <w:top w:w="60" w:type="dxa"/>
              <w:start w:w="70" w:type="dxa"/>
              <w:bottom w:w="60" w:type="dxa"/>
              <w:end w:w="70" w:type="dxa"/>
            </w:tcMar>
          </w:tcPr>
          <w:p>
            <w:pPr>
              <w:spacing w:after="0" w:before="0" w:line="240" w:lineRule="auto"/>
            </w:pPr>
            <w:r/>
            <w:r>
              <w:rPr>
                <w:rFonts w:ascii="Aptos" w:hAnsi="Aptos"/>
                <w:b w:val="0"/>
                <w:sz w:val="15"/>
              </w:rPr>
              <w:t>Web, GLPI y monitorización</w:t>
            </w:r>
          </w:p>
        </w:tc>
        <w:tc>
          <w:tcPr>
            <w:tcW w:type="dxa" w:w="3969"/>
            <w:vAlign w:val="center"/>
            <w:tcMar>
              <w:top w:w="60" w:type="dxa"/>
              <w:start w:w="70" w:type="dxa"/>
              <w:bottom w:w="60" w:type="dxa"/>
              <w:end w:w="70" w:type="dxa"/>
            </w:tcMar>
          </w:tcPr>
          <w:p>
            <w:pPr>
              <w:spacing w:after="0" w:before="0" w:line="240" w:lineRule="auto"/>
            </w:pPr>
            <w:r/>
            <w:r>
              <w:rPr>
                <w:rFonts w:ascii="Aptos" w:hAnsi="Aptos"/>
                <w:b w:val="0"/>
                <w:sz w:val="15"/>
              </w:rPr>
              <w:t>Máquinas virtuales en el clúster local.</w:t>
            </w:r>
          </w:p>
        </w:tc>
        <w:tc>
          <w:tcPr>
            <w:tcW w:type="dxa" w:w="4139"/>
            <w:vAlign w:val="center"/>
            <w:tcMar>
              <w:top w:w="60" w:type="dxa"/>
              <w:start w:w="70" w:type="dxa"/>
              <w:bottom w:w="60" w:type="dxa"/>
              <w:end w:w="70" w:type="dxa"/>
            </w:tcMar>
          </w:tcPr>
          <w:p>
            <w:pPr>
              <w:spacing w:after="0" w:before="0" w:line="240" w:lineRule="auto"/>
            </w:pPr>
            <w:r/>
            <w:r>
              <w:rPr>
                <w:rFonts w:ascii="Aptos" w:hAnsi="Aptos"/>
                <w:b w:val="0"/>
                <w:sz w:val="15"/>
              </w:rPr>
              <w:t>Instancias EC2; CloudWatch para métricas y registros definidos.</w:t>
            </w:r>
          </w:p>
        </w:tc>
      </w:tr>
      <w:tr>
        <w:trPr>
          <w:cantSplit/>
        </w:trPr>
        <w:tc>
          <w:tcPr>
            <w:tcW w:type="dxa" w:w="1701"/>
            <w:vAlign w:val="center"/>
            <w:tcMar>
              <w:top w:w="60" w:type="dxa"/>
              <w:start w:w="70" w:type="dxa"/>
              <w:bottom w:w="60" w:type="dxa"/>
              <w:end w:w="70" w:type="dxa"/>
            </w:tcMar>
            <w:shd w:fill="F3F6F8"/>
          </w:tcPr>
          <w:p>
            <w:pPr>
              <w:spacing w:after="0" w:before="0" w:line="240" w:lineRule="auto"/>
            </w:pPr>
            <w:r/>
            <w:r>
              <w:rPr>
                <w:rFonts w:ascii="Aptos" w:hAnsi="Aptos"/>
                <w:b w:val="0"/>
                <w:sz w:val="15"/>
              </w:rPr>
              <w:t>Base de datos</w:t>
            </w:r>
          </w:p>
        </w:tc>
        <w:tc>
          <w:tcPr>
            <w:tcW w:type="dxa" w:w="3969"/>
            <w:vAlign w:val="center"/>
            <w:tcMar>
              <w:top w:w="60" w:type="dxa"/>
              <w:start w:w="70" w:type="dxa"/>
              <w:bottom w:w="60" w:type="dxa"/>
              <w:end w:w="70" w:type="dxa"/>
            </w:tcMar>
            <w:shd w:fill="F3F6F8"/>
          </w:tcPr>
          <w:p>
            <w:pPr>
              <w:spacing w:after="0" w:before="0" w:line="240" w:lineRule="auto"/>
            </w:pPr>
            <w:r/>
            <w:r>
              <w:rPr>
                <w:rFonts w:ascii="Aptos" w:hAnsi="Aptos"/>
                <w:b w:val="0"/>
                <w:sz w:val="15"/>
              </w:rPr>
              <w:t>PostgreSQL en máquinas virtuales, 150 GB.</w:t>
            </w:r>
          </w:p>
        </w:tc>
        <w:tc>
          <w:tcPr>
            <w:tcW w:type="dxa" w:w="4139"/>
            <w:vAlign w:val="center"/>
            <w:tcMar>
              <w:top w:w="60" w:type="dxa"/>
              <w:start w:w="70" w:type="dxa"/>
              <w:bottom w:w="60" w:type="dxa"/>
              <w:end w:w="70" w:type="dxa"/>
            </w:tcMar>
            <w:shd w:fill="F3F6F8"/>
          </w:tcPr>
          <w:p>
            <w:pPr>
              <w:spacing w:after="0" w:before="0" w:line="240" w:lineRule="auto"/>
            </w:pPr>
            <w:r/>
            <w:r>
              <w:rPr>
                <w:rFonts w:ascii="Aptos" w:hAnsi="Aptos"/>
                <w:b w:val="0"/>
                <w:sz w:val="15"/>
              </w:rPr>
              <w:t>Amazon RDS for PostgreSQL, 150 GB y despliegue Multi-AZ.</w:t>
            </w:r>
          </w:p>
        </w:tc>
      </w:tr>
      <w:tr>
        <w:trPr>
          <w:cantSplit/>
        </w:trPr>
        <w:tc>
          <w:tcPr>
            <w:tcW w:type="dxa" w:w="1701"/>
            <w:vAlign w:val="center"/>
            <w:tcMar>
              <w:top w:w="60" w:type="dxa"/>
              <w:start w:w="70" w:type="dxa"/>
              <w:bottom w:w="60" w:type="dxa"/>
              <w:end w:w="70" w:type="dxa"/>
            </w:tcMar>
          </w:tcPr>
          <w:p>
            <w:pPr>
              <w:spacing w:after="0" w:before="0" w:line="240" w:lineRule="auto"/>
            </w:pPr>
            <w:r/>
            <w:r>
              <w:rPr>
                <w:rFonts w:ascii="Aptos" w:hAnsi="Aptos"/>
                <w:b w:val="0"/>
                <w:sz w:val="15"/>
              </w:rPr>
              <w:t>Copias de seguridad</w:t>
            </w:r>
          </w:p>
        </w:tc>
        <w:tc>
          <w:tcPr>
            <w:tcW w:type="dxa" w:w="3969"/>
            <w:vAlign w:val="center"/>
            <w:tcMar>
              <w:top w:w="60" w:type="dxa"/>
              <w:start w:w="70" w:type="dxa"/>
              <w:bottom w:w="60" w:type="dxa"/>
              <w:end w:w="70" w:type="dxa"/>
            </w:tcMar>
          </w:tcPr>
          <w:p>
            <w:pPr>
              <w:spacing w:after="0" w:before="0" w:line="240" w:lineRule="auto"/>
            </w:pPr>
            <w:r/>
            <w:r>
              <w:rPr>
                <w:rFonts w:ascii="Aptos" w:hAnsi="Aptos"/>
                <w:b w:val="0"/>
                <w:sz w:val="15"/>
              </w:rPr>
              <w:t>Copia rápida local y copia externa.</w:t>
            </w:r>
          </w:p>
        </w:tc>
        <w:tc>
          <w:tcPr>
            <w:tcW w:type="dxa" w:w="4139"/>
            <w:vAlign w:val="center"/>
            <w:tcMar>
              <w:top w:w="60" w:type="dxa"/>
              <w:start w:w="70" w:type="dxa"/>
              <w:bottom w:w="60" w:type="dxa"/>
              <w:end w:w="70" w:type="dxa"/>
            </w:tcMar>
          </w:tcPr>
          <w:p>
            <w:pPr>
              <w:spacing w:after="0" w:before="0" w:line="240" w:lineRule="auto"/>
            </w:pPr>
            <w:r/>
            <w:r>
              <w:rPr>
                <w:rFonts w:ascii="Aptos" w:hAnsi="Aptos"/>
                <w:b w:val="0"/>
                <w:sz w:val="15"/>
              </w:rPr>
              <w:t>Copias gestionadas y una copia independiente de datos críticos en S3 Glacier; retención y restauración deben probarse.</w:t>
            </w:r>
          </w:p>
        </w:tc>
      </w:tr>
      <w:tr>
        <w:trPr>
          <w:cantSplit/>
        </w:trPr>
        <w:tc>
          <w:tcPr>
            <w:tcW w:type="dxa" w:w="1701"/>
            <w:vAlign w:val="center"/>
            <w:tcMar>
              <w:top w:w="60" w:type="dxa"/>
              <w:start w:w="70" w:type="dxa"/>
              <w:bottom w:w="60" w:type="dxa"/>
              <w:end w:w="70" w:type="dxa"/>
            </w:tcMar>
            <w:shd w:fill="F3F6F8"/>
          </w:tcPr>
          <w:p>
            <w:pPr>
              <w:spacing w:after="0" w:before="0" w:line="240" w:lineRule="auto"/>
            </w:pPr>
            <w:r/>
            <w:r>
              <w:rPr>
                <w:rFonts w:ascii="Aptos" w:hAnsi="Aptos"/>
                <w:b w:val="0"/>
                <w:sz w:val="15"/>
              </w:rPr>
              <w:t>Videovigilancia</w:t>
            </w:r>
          </w:p>
        </w:tc>
        <w:tc>
          <w:tcPr>
            <w:tcW w:type="dxa" w:w="3969"/>
            <w:vAlign w:val="center"/>
            <w:tcMar>
              <w:top w:w="60" w:type="dxa"/>
              <w:start w:w="70" w:type="dxa"/>
              <w:bottom w:w="60" w:type="dxa"/>
              <w:end w:w="70" w:type="dxa"/>
            </w:tcMar>
            <w:shd w:fill="F3F6F8"/>
          </w:tcPr>
          <w:p>
            <w:pPr>
              <w:spacing w:after="0" w:before="0" w:line="240" w:lineRule="auto"/>
            </w:pPr>
            <w:r/>
            <w:r>
              <w:rPr>
                <w:rFonts w:ascii="Aptos" w:hAnsi="Aptos"/>
                <w:b w:val="0"/>
                <w:sz w:val="15"/>
              </w:rPr>
              <w:t>NVR y discos en el edificio.</w:t>
            </w:r>
          </w:p>
        </w:tc>
        <w:tc>
          <w:tcPr>
            <w:tcW w:type="dxa" w:w="4139"/>
            <w:vAlign w:val="center"/>
            <w:tcMar>
              <w:top w:w="60" w:type="dxa"/>
              <w:start w:w="70" w:type="dxa"/>
              <w:bottom w:w="60" w:type="dxa"/>
              <w:end w:w="70" w:type="dxa"/>
            </w:tcMar>
            <w:shd w:fill="F3F6F8"/>
          </w:tcPr>
          <w:p>
            <w:pPr>
              <w:spacing w:after="0" w:before="0" w:line="240" w:lineRule="auto"/>
            </w:pPr>
            <w:r/>
            <w:r>
              <w:rPr>
                <w:rFonts w:ascii="Aptos" w:hAnsi="Aptos"/>
                <w:b w:val="0"/>
                <w:sz w:val="15"/>
              </w:rPr>
              <w:t>Se mantiene local por privacidad, tráfico y respuesta en la red física.</w:t>
            </w:r>
          </w:p>
        </w:tc>
      </w:tr>
      <w:tr>
        <w:trPr>
          <w:cantSplit/>
        </w:trPr>
        <w:tc>
          <w:tcPr>
            <w:tcW w:type="dxa" w:w="1701"/>
            <w:vAlign w:val="center"/>
            <w:tcMar>
              <w:top w:w="60" w:type="dxa"/>
              <w:start w:w="70" w:type="dxa"/>
              <w:bottom w:w="60" w:type="dxa"/>
              <w:end w:w="70" w:type="dxa"/>
            </w:tcMar>
          </w:tcPr>
          <w:p>
            <w:pPr>
              <w:spacing w:after="0" w:before="0" w:line="240" w:lineRule="auto"/>
            </w:pPr>
            <w:r/>
            <w:r>
              <w:rPr>
                <w:rFonts w:ascii="Aptos" w:hAnsi="Aptos"/>
                <w:b w:val="0"/>
                <w:sz w:val="15"/>
              </w:rPr>
              <w:t>Wi-Fi, switches y cortafuegos</w:t>
            </w:r>
          </w:p>
        </w:tc>
        <w:tc>
          <w:tcPr>
            <w:tcW w:type="dxa" w:w="3969"/>
            <w:vAlign w:val="center"/>
            <w:tcMar>
              <w:top w:w="60" w:type="dxa"/>
              <w:start w:w="70" w:type="dxa"/>
              <w:bottom w:w="60" w:type="dxa"/>
              <w:end w:w="70" w:type="dxa"/>
            </w:tcMar>
          </w:tcPr>
          <w:p>
            <w:pPr>
              <w:spacing w:after="0" w:before="0" w:line="240" w:lineRule="auto"/>
            </w:pPr>
            <w:r/>
            <w:r>
              <w:rPr>
                <w:rFonts w:ascii="Aptos" w:hAnsi="Aptos"/>
                <w:b w:val="0"/>
                <w:sz w:val="15"/>
              </w:rPr>
              <w:t>Equipamiento local.</w:t>
            </w:r>
          </w:p>
        </w:tc>
        <w:tc>
          <w:tcPr>
            <w:tcW w:type="dxa" w:w="4139"/>
            <w:vAlign w:val="center"/>
            <w:tcMar>
              <w:top w:w="60" w:type="dxa"/>
              <w:start w:w="70" w:type="dxa"/>
              <w:bottom w:w="60" w:type="dxa"/>
              <w:end w:w="70" w:type="dxa"/>
            </w:tcMar>
          </w:tcPr>
          <w:p>
            <w:pPr>
              <w:spacing w:after="0" w:before="0" w:line="240" w:lineRule="auto"/>
            </w:pPr>
            <w:r/>
            <w:r>
              <w:rPr>
                <w:rFonts w:ascii="Aptos" w:hAnsi="Aptos"/>
                <w:b w:val="0"/>
                <w:sz w:val="15"/>
              </w:rPr>
              <w:t>El mismo equipamiento local permanece: AWS no sustituye los puntos de acceso ni la electrónica de red del edificio.</w:t>
            </w:r>
          </w:p>
        </w:tc>
      </w:tr>
      <w:tr>
        <w:trPr>
          <w:cantSplit/>
        </w:trPr>
        <w:tc>
          <w:tcPr>
            <w:tcW w:type="dxa" w:w="1701"/>
            <w:vAlign w:val="center"/>
            <w:tcMar>
              <w:top w:w="60" w:type="dxa"/>
              <w:start w:w="70" w:type="dxa"/>
              <w:bottom w:w="60" w:type="dxa"/>
              <w:end w:w="70" w:type="dxa"/>
            </w:tcMar>
            <w:shd w:fill="F3F6F8"/>
          </w:tcPr>
          <w:p>
            <w:pPr>
              <w:spacing w:after="0" w:before="0" w:line="240" w:lineRule="auto"/>
            </w:pPr>
            <w:r/>
            <w:r>
              <w:rPr>
                <w:rFonts w:ascii="Aptos" w:hAnsi="Aptos"/>
                <w:b w:val="0"/>
                <w:sz w:val="15"/>
              </w:rPr>
              <w:t>Gestión académica/Aules/ITACA</w:t>
            </w:r>
          </w:p>
        </w:tc>
        <w:tc>
          <w:tcPr>
            <w:tcW w:type="dxa" w:w="3969"/>
            <w:vAlign w:val="center"/>
            <w:tcMar>
              <w:top w:w="60" w:type="dxa"/>
              <w:start w:w="70" w:type="dxa"/>
              <w:bottom w:w="60" w:type="dxa"/>
              <w:end w:w="70" w:type="dxa"/>
            </w:tcMar>
            <w:shd w:fill="F3F6F8"/>
          </w:tcPr>
          <w:p>
            <w:pPr>
              <w:spacing w:after="0" w:before="0" w:line="240" w:lineRule="auto"/>
            </w:pPr>
            <w:r/>
            <w:r>
              <w:rPr>
                <w:rFonts w:ascii="Aptos" w:hAnsi="Aptos"/>
                <w:b w:val="0"/>
                <w:sz w:val="15"/>
              </w:rPr>
              <w:t>Sigue correspondiendo a la Conselleria/servicio oficial.</w:t>
            </w:r>
          </w:p>
        </w:tc>
        <w:tc>
          <w:tcPr>
            <w:tcW w:type="dxa" w:w="4139"/>
            <w:vAlign w:val="center"/>
            <w:tcMar>
              <w:top w:w="60" w:type="dxa"/>
              <w:start w:w="70" w:type="dxa"/>
              <w:bottom w:w="60" w:type="dxa"/>
              <w:end w:w="70" w:type="dxa"/>
            </w:tcMar>
            <w:shd w:fill="F3F6F8"/>
          </w:tcPr>
          <w:p>
            <w:pPr>
              <w:spacing w:after="0" w:before="0" w:line="240" w:lineRule="auto"/>
            </w:pPr>
            <w:r/>
            <w:r>
              <w:rPr>
                <w:rFonts w:ascii="Aptos" w:hAnsi="Aptos"/>
                <w:b w:val="0"/>
                <w:sz w:val="15"/>
              </w:rPr>
              <w:t>No se duplica en AWS; se evita mantener otra fuente oficial de datos.</w:t>
            </w:r>
          </w:p>
        </w:tc>
      </w:tr>
    </w:tbl>
    <w:p>
      <w:pPr>
        <w:spacing w:after="20"/>
      </w:pPr>
    </w:p>
    <w:p>
      <w:r>
        <w:rPr>
          <w:i/>
        </w:rPr>
        <w:t>La figura siguiente reúne los elementos comunes y los recursos que cambian de ubicación. El esquema es conceptual y no sustituye al plano detallado de armarios, puertos y VLAN de la tarea 1.2.</w:t>
      </w:r>
    </w:p>
    <w:p>
      <w:r>
        <w:drawing>
          <wp:inline xmlns:a="http://schemas.openxmlformats.org/drawingml/2006/main" xmlns:pic="http://schemas.openxmlformats.org/drawingml/2006/picture">
            <wp:extent cx="5868000" cy="3534026"/>
            <wp:docPr id="1" name="Picture 1"/>
            <wp:cNvGraphicFramePr>
              <a:graphicFrameLocks noChangeAspect="1"/>
            </wp:cNvGraphicFramePr>
            <a:graphic>
              <a:graphicData uri="http://schemas.openxmlformats.org/drawingml/2006/picture">
                <pic:pic>
                  <pic:nvPicPr>
                    <pic:cNvPr id="0" name="arquitectura_comparada.png"/>
                    <pic:cNvPicPr/>
                  </pic:nvPicPr>
                  <pic:blipFill>
                    <a:blip r:embed="rId11"/>
                    <a:stretch>
                      <a:fillRect/>
                    </a:stretch>
                  </pic:blipFill>
                  <pic:spPr>
                    <a:xfrm>
                      <a:off x="0" y="0"/>
                      <a:ext cx="5868000" cy="3534026"/>
                    </a:xfrm>
                    <a:prstGeom prst="rect"/>
                  </pic:spPr>
                </pic:pic>
              </a:graphicData>
            </a:graphic>
          </wp:inline>
        </w:drawing>
      </w:r>
    </w:p>
    <w:p>
      <w:pPr>
        <w:jc w:val="center"/>
      </w:pPr>
      <w:r>
        <w:rPr>
          <w:i/>
          <w:color w:val="5F7382"/>
          <w:sz w:val="16"/>
        </w:rPr>
        <w:t>Figura 1. Arquitectura comparada: infraestructura común y servicios alojados en el CPD local o en AWS.</w:t>
      </w:r>
    </w:p>
    <w:p>
      <w:r>
        <w:br w:type="page"/>
      </w:r>
    </w:p>
    <w:p>
      <w:pPr>
        <w:pStyle w:val="Heading1"/>
      </w:pPr>
      <w:r>
        <w:t>4. Estimación de costes de la infraestructura local</w:t>
      </w:r>
    </w:p>
    <w:p>
      <w:pPr>
        <w:pStyle w:val="Heading2"/>
      </w:pPr>
      <w:r>
        <w:t>4.1. A. Inversión inicial (CAPEX)</w:t>
      </w:r>
    </w:p>
    <w:p>
      <w:r>
        <w:rPr>
          <w:i w:val="0"/>
        </w:rPr>
        <w:t>La tabla estima la compra del equipamiento necesario para el diseño local, incluidos los dispositivos de red que siguen siendo necesarios en la alternativa AWS. Se utilizan precios públicos de fabricantes o distribuidores como referencia a 25/10/2026. Cuando el precio final depende de memoria, discos, soporte o configuración, se indica como presupuesto aproximado de dimensionamiento y no como cotización cerrada.</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cantSplit/>
        </w:trPr>
        <w:tc>
          <w:tcPr>
            <w:tcW w:type="dxa" w:w="1474"/>
            <w:vAlign w:val="center"/>
            <w:tcMar>
              <w:top w:w="25" w:type="dxa"/>
              <w:start w:w="70" w:type="dxa"/>
              <w:bottom w:w="25" w:type="dxa"/>
              <w:end w:w="70" w:type="dxa"/>
            </w:tcMar>
            <w:shd w:fill="#17324D"/>
          </w:tcPr>
          <w:p>
            <w:pPr>
              <w:spacing w:after="0" w:before="0" w:line="240" w:lineRule="auto"/>
            </w:pPr>
            <w:r/>
            <w:r>
              <w:rPr>
                <w:rFonts w:ascii="Aptos" w:hAnsi="Aptos"/>
                <w:b/>
                <w:color w:val="FFFFFF"/>
                <w:sz w:val="14"/>
              </w:rPr>
              <w:t>Recurso</w:t>
            </w:r>
          </w:p>
        </w:tc>
        <w:tc>
          <w:tcPr>
            <w:tcW w:type="dxa" w:w="4592"/>
            <w:vAlign w:val="center"/>
            <w:tcMar>
              <w:top w:w="25" w:type="dxa"/>
              <w:start w:w="70" w:type="dxa"/>
              <w:bottom w:w="25" w:type="dxa"/>
              <w:end w:w="70" w:type="dxa"/>
            </w:tcMar>
            <w:shd w:fill="#17324D"/>
          </w:tcPr>
          <w:p>
            <w:pPr>
              <w:spacing w:after="0" w:before="0" w:line="240" w:lineRule="auto"/>
            </w:pPr>
            <w:r/>
            <w:r>
              <w:rPr>
                <w:rFonts w:ascii="Aptos" w:hAnsi="Aptos"/>
                <w:b/>
                <w:color w:val="FFFFFF"/>
                <w:sz w:val="14"/>
              </w:rPr>
              <w:t>Modelo/función</w:t>
            </w:r>
          </w:p>
        </w:tc>
        <w:tc>
          <w:tcPr>
            <w:tcW w:type="dxa" w:w="737"/>
            <w:vAlign w:val="center"/>
            <w:tcMar>
              <w:top w:w="25" w:type="dxa"/>
              <w:start w:w="70" w:type="dxa"/>
              <w:bottom w:w="25" w:type="dxa"/>
              <w:end w:w="70" w:type="dxa"/>
            </w:tcMar>
            <w:shd w:fill="#17324D"/>
          </w:tcPr>
          <w:p>
            <w:pPr>
              <w:spacing w:after="0" w:before="0" w:line="240" w:lineRule="auto"/>
            </w:pPr>
            <w:r/>
            <w:r>
              <w:rPr>
                <w:rFonts w:ascii="Aptos" w:hAnsi="Aptos"/>
                <w:b/>
                <w:color w:val="FFFFFF"/>
                <w:sz w:val="14"/>
              </w:rPr>
              <w:t>Cant.</w:t>
            </w:r>
          </w:p>
        </w:tc>
        <w:tc>
          <w:tcPr>
            <w:tcW w:type="dxa" w:w="1191"/>
            <w:vAlign w:val="center"/>
            <w:tcMar>
              <w:top w:w="25" w:type="dxa"/>
              <w:start w:w="70" w:type="dxa"/>
              <w:bottom w:w="25" w:type="dxa"/>
              <w:end w:w="70" w:type="dxa"/>
            </w:tcMar>
            <w:shd w:fill="#17324D"/>
          </w:tcPr>
          <w:p>
            <w:pPr>
              <w:spacing w:after="0" w:before="0" w:line="240" w:lineRule="auto"/>
            </w:pPr>
            <w:r/>
            <w:r>
              <w:rPr>
                <w:rFonts w:ascii="Aptos" w:hAnsi="Aptos"/>
                <w:b/>
                <w:color w:val="FFFFFF"/>
                <w:sz w:val="14"/>
              </w:rPr>
              <w:t>Precio unitario</w:t>
            </w:r>
          </w:p>
        </w:tc>
        <w:tc>
          <w:tcPr>
            <w:tcW w:type="dxa" w:w="1134"/>
            <w:vAlign w:val="center"/>
            <w:tcMar>
              <w:top w:w="25" w:type="dxa"/>
              <w:start w:w="70" w:type="dxa"/>
              <w:bottom w:w="25" w:type="dxa"/>
              <w:end w:w="70" w:type="dxa"/>
            </w:tcMar>
            <w:shd w:fill="#17324D"/>
          </w:tcPr>
          <w:p>
            <w:pPr>
              <w:spacing w:after="0" w:before="0" w:line="240" w:lineRule="auto"/>
            </w:pPr>
            <w:r/>
            <w:r>
              <w:rPr>
                <w:rFonts w:ascii="Aptos" w:hAnsi="Aptos"/>
                <w:b/>
                <w:color w:val="FFFFFF"/>
                <w:sz w:val="14"/>
              </w:rPr>
              <w:t>Subtotal</w:t>
            </w:r>
          </w:p>
        </w:tc>
      </w:tr>
      <w:tr>
        <w:trPr>
          <w:cantSplit/>
        </w:trPr>
        <w:tc>
          <w:tcPr>
            <w:tcW w:type="dxa" w:w="1474"/>
            <w:vAlign w:val="center"/>
            <w:tcMar>
              <w:top w:w="25" w:type="dxa"/>
              <w:start w:w="70" w:type="dxa"/>
              <w:bottom w:w="25" w:type="dxa"/>
              <w:end w:w="70" w:type="dxa"/>
            </w:tcMar>
          </w:tcPr>
          <w:p>
            <w:pPr>
              <w:spacing w:after="0" w:before="0" w:line="240" w:lineRule="auto"/>
            </w:pPr>
            <w:r/>
            <w:r>
              <w:rPr>
                <w:rFonts w:ascii="Aptos" w:hAnsi="Aptos"/>
                <w:b w:val="0"/>
                <w:sz w:val="14"/>
              </w:rPr>
              <w:t>Servidores de virtualización</w:t>
            </w:r>
          </w:p>
        </w:tc>
        <w:tc>
          <w:tcPr>
            <w:tcW w:type="dxa" w:w="4592"/>
            <w:vAlign w:val="center"/>
            <w:tcMar>
              <w:top w:w="25" w:type="dxa"/>
              <w:start w:w="70" w:type="dxa"/>
              <w:bottom w:w="25" w:type="dxa"/>
              <w:end w:w="70" w:type="dxa"/>
            </w:tcMar>
          </w:tcPr>
          <w:p>
            <w:pPr>
              <w:spacing w:after="0" w:before="0" w:line="240" w:lineRule="auto"/>
            </w:pPr>
            <w:r/>
            <w:r>
              <w:rPr>
                <w:rFonts w:ascii="Aptos" w:hAnsi="Aptos"/>
                <w:b w:val="0"/>
                <w:sz w:val="14"/>
              </w:rPr>
              <w:t>Dell PowerEdge T360; cada nodo dimensionado con memoria ampliada y almacenamiento SSD redundante. [1]</w:t>
            </w:r>
          </w:p>
        </w:tc>
        <w:tc>
          <w:tcPr>
            <w:tcW w:type="dxa" w:w="737"/>
            <w:vAlign w:val="center"/>
            <w:tcMar>
              <w:top w:w="25" w:type="dxa"/>
              <w:start w:w="70" w:type="dxa"/>
              <w:bottom w:w="25" w:type="dxa"/>
              <w:end w:w="70" w:type="dxa"/>
            </w:tcMar>
          </w:tcPr>
          <w:p>
            <w:pPr>
              <w:spacing w:after="0" w:before="0" w:line="240" w:lineRule="auto"/>
            </w:pPr>
            <w:r/>
            <w:r>
              <w:rPr>
                <w:rFonts w:ascii="Aptos" w:hAnsi="Aptos"/>
                <w:b w:val="0"/>
                <w:sz w:val="14"/>
              </w:rPr>
              <w:t>3</w:t>
            </w:r>
          </w:p>
        </w:tc>
        <w:tc>
          <w:tcPr>
            <w:tcW w:type="dxa" w:w="1191"/>
            <w:vAlign w:val="center"/>
            <w:tcMar>
              <w:top w:w="25" w:type="dxa"/>
              <w:start w:w="70" w:type="dxa"/>
              <w:bottom w:w="25" w:type="dxa"/>
              <w:end w:w="70" w:type="dxa"/>
            </w:tcMar>
          </w:tcPr>
          <w:p>
            <w:pPr>
              <w:spacing w:after="0" w:before="0" w:line="240" w:lineRule="auto"/>
            </w:pPr>
            <w:r/>
            <w:r>
              <w:rPr>
                <w:rFonts w:ascii="Aptos" w:hAnsi="Aptos"/>
                <w:b w:val="0"/>
                <w:sz w:val="14"/>
              </w:rPr>
              <w:t>7.500 €</w:t>
            </w:r>
          </w:p>
        </w:tc>
        <w:tc>
          <w:tcPr>
            <w:tcW w:type="dxa" w:w="1134"/>
            <w:vAlign w:val="center"/>
            <w:tcMar>
              <w:top w:w="25" w:type="dxa"/>
              <w:start w:w="70" w:type="dxa"/>
              <w:bottom w:w="25" w:type="dxa"/>
              <w:end w:w="70" w:type="dxa"/>
            </w:tcMar>
          </w:tcPr>
          <w:p>
            <w:pPr>
              <w:spacing w:after="0" w:before="0" w:line="240" w:lineRule="auto"/>
            </w:pPr>
            <w:r/>
            <w:r>
              <w:rPr>
                <w:rFonts w:ascii="Aptos" w:hAnsi="Aptos"/>
                <w:b w:val="0"/>
                <w:sz w:val="14"/>
              </w:rPr>
              <w:t>22.500 €</w:t>
            </w:r>
          </w:p>
        </w:tc>
      </w:tr>
      <w:tr>
        <w:trPr>
          <w:cantSplit/>
        </w:trPr>
        <w:tc>
          <w:tcPr>
            <w:tcW w:type="dxa" w:w="1474"/>
            <w:vAlign w:val="center"/>
            <w:tcMar>
              <w:top w:w="25" w:type="dxa"/>
              <w:start w:w="70" w:type="dxa"/>
              <w:bottom w:w="25" w:type="dxa"/>
              <w:end w:w="70" w:type="dxa"/>
            </w:tcMar>
            <w:shd w:fill="F3F6F8"/>
          </w:tcPr>
          <w:p>
            <w:pPr>
              <w:spacing w:after="0" w:before="0" w:line="240" w:lineRule="auto"/>
            </w:pPr>
            <w:r/>
            <w:r>
              <w:rPr>
                <w:rFonts w:ascii="Aptos" w:hAnsi="Aptos"/>
                <w:b w:val="0"/>
                <w:sz w:val="14"/>
              </w:rPr>
              <w:t>Chasis NAS principal y de copia</w:t>
            </w:r>
          </w:p>
        </w:tc>
        <w:tc>
          <w:tcPr>
            <w:tcW w:type="dxa" w:w="4592"/>
            <w:vAlign w:val="center"/>
            <w:tcMar>
              <w:top w:w="25" w:type="dxa"/>
              <w:start w:w="70" w:type="dxa"/>
              <w:bottom w:w="25" w:type="dxa"/>
              <w:end w:w="70" w:type="dxa"/>
            </w:tcMar>
            <w:shd w:fill="F3F6F8"/>
          </w:tcPr>
          <w:p>
            <w:pPr>
              <w:spacing w:after="0" w:before="0" w:line="240" w:lineRule="auto"/>
            </w:pPr>
            <w:r/>
            <w:r>
              <w:rPr>
                <w:rFonts w:ascii="Aptos" w:hAnsi="Aptos"/>
                <w:b w:val="0"/>
                <w:sz w:val="14"/>
              </w:rPr>
              <w:t>Synology RackStation RS1221RP+, 8 bahías, fuente redundante. [2]</w:t>
            </w:r>
          </w:p>
        </w:tc>
        <w:tc>
          <w:tcPr>
            <w:tcW w:type="dxa" w:w="737"/>
            <w:vAlign w:val="center"/>
            <w:tcMar>
              <w:top w:w="25" w:type="dxa"/>
              <w:start w:w="70" w:type="dxa"/>
              <w:bottom w:w="25" w:type="dxa"/>
              <w:end w:w="70" w:type="dxa"/>
            </w:tcMar>
            <w:shd w:fill="F3F6F8"/>
          </w:tcPr>
          <w:p>
            <w:pPr>
              <w:spacing w:after="0" w:before="0" w:line="240" w:lineRule="auto"/>
            </w:pPr>
            <w:r/>
            <w:r>
              <w:rPr>
                <w:rFonts w:ascii="Aptos" w:hAnsi="Aptos"/>
                <w:b w:val="0"/>
                <w:sz w:val="14"/>
              </w:rPr>
              <w:t>2</w:t>
            </w:r>
          </w:p>
        </w:tc>
        <w:tc>
          <w:tcPr>
            <w:tcW w:type="dxa" w:w="1191"/>
            <w:vAlign w:val="center"/>
            <w:tcMar>
              <w:top w:w="25" w:type="dxa"/>
              <w:start w:w="70" w:type="dxa"/>
              <w:bottom w:w="25" w:type="dxa"/>
              <w:end w:w="70" w:type="dxa"/>
            </w:tcMar>
            <w:shd w:fill="F3F6F8"/>
          </w:tcPr>
          <w:p>
            <w:pPr>
              <w:spacing w:after="0" w:before="0" w:line="240" w:lineRule="auto"/>
            </w:pPr>
            <w:r/>
            <w:r>
              <w:rPr>
                <w:rFonts w:ascii="Aptos" w:hAnsi="Aptos"/>
                <w:b w:val="0"/>
                <w:sz w:val="14"/>
              </w:rPr>
              <w:t>2.050 €</w:t>
            </w:r>
          </w:p>
        </w:tc>
        <w:tc>
          <w:tcPr>
            <w:tcW w:type="dxa" w:w="1134"/>
            <w:vAlign w:val="center"/>
            <w:tcMar>
              <w:top w:w="25" w:type="dxa"/>
              <w:start w:w="70" w:type="dxa"/>
              <w:bottom w:w="25" w:type="dxa"/>
              <w:end w:w="70" w:type="dxa"/>
            </w:tcMar>
            <w:shd w:fill="F3F6F8"/>
          </w:tcPr>
          <w:p>
            <w:pPr>
              <w:spacing w:after="0" w:before="0" w:line="240" w:lineRule="auto"/>
            </w:pPr>
            <w:r/>
            <w:r>
              <w:rPr>
                <w:rFonts w:ascii="Aptos" w:hAnsi="Aptos"/>
                <w:b w:val="0"/>
                <w:sz w:val="14"/>
              </w:rPr>
              <w:t>4.100 €</w:t>
            </w:r>
          </w:p>
        </w:tc>
      </w:tr>
      <w:tr>
        <w:trPr>
          <w:cantSplit/>
        </w:trPr>
        <w:tc>
          <w:tcPr>
            <w:tcW w:type="dxa" w:w="1474"/>
            <w:vAlign w:val="center"/>
            <w:tcMar>
              <w:top w:w="25" w:type="dxa"/>
              <w:start w:w="70" w:type="dxa"/>
              <w:bottom w:w="25" w:type="dxa"/>
              <w:end w:w="70" w:type="dxa"/>
            </w:tcMar>
          </w:tcPr>
          <w:p>
            <w:pPr>
              <w:spacing w:after="0" w:before="0" w:line="240" w:lineRule="auto"/>
            </w:pPr>
            <w:r/>
            <w:r>
              <w:rPr>
                <w:rFonts w:ascii="Aptos" w:hAnsi="Aptos"/>
                <w:b w:val="0"/>
                <w:sz w:val="14"/>
              </w:rPr>
              <w:t>Discos para NAS</w:t>
            </w:r>
          </w:p>
        </w:tc>
        <w:tc>
          <w:tcPr>
            <w:tcW w:type="dxa" w:w="4592"/>
            <w:vAlign w:val="center"/>
            <w:tcMar>
              <w:top w:w="25" w:type="dxa"/>
              <w:start w:w="70" w:type="dxa"/>
              <w:bottom w:w="25" w:type="dxa"/>
              <w:end w:w="70" w:type="dxa"/>
            </w:tcMar>
          </w:tcPr>
          <w:p>
            <w:pPr>
              <w:spacing w:after="0" w:before="0" w:line="240" w:lineRule="auto"/>
            </w:pPr>
            <w:r/>
            <w:r>
              <w:rPr>
                <w:rFonts w:ascii="Aptos" w:hAnsi="Aptos"/>
                <w:b w:val="0"/>
                <w:sz w:val="14"/>
              </w:rPr>
              <w:t>Seagate IronWolf Pro 8 TB, 8 unidades por NAS; RAID 6 ofrece aprox. 48 TB nominales útiles por NAS. [3]</w:t>
            </w:r>
          </w:p>
        </w:tc>
        <w:tc>
          <w:tcPr>
            <w:tcW w:type="dxa" w:w="737"/>
            <w:vAlign w:val="center"/>
            <w:tcMar>
              <w:top w:w="25" w:type="dxa"/>
              <w:start w:w="70" w:type="dxa"/>
              <w:bottom w:w="25" w:type="dxa"/>
              <w:end w:w="70" w:type="dxa"/>
            </w:tcMar>
          </w:tcPr>
          <w:p>
            <w:pPr>
              <w:spacing w:after="0" w:before="0" w:line="240" w:lineRule="auto"/>
            </w:pPr>
            <w:r/>
            <w:r>
              <w:rPr>
                <w:rFonts w:ascii="Aptos" w:hAnsi="Aptos"/>
                <w:b w:val="0"/>
                <w:sz w:val="14"/>
              </w:rPr>
              <w:t>16</w:t>
            </w:r>
          </w:p>
        </w:tc>
        <w:tc>
          <w:tcPr>
            <w:tcW w:type="dxa" w:w="1191"/>
            <w:vAlign w:val="center"/>
            <w:tcMar>
              <w:top w:w="25" w:type="dxa"/>
              <w:start w:w="70" w:type="dxa"/>
              <w:bottom w:w="25" w:type="dxa"/>
              <w:end w:w="70" w:type="dxa"/>
            </w:tcMar>
          </w:tcPr>
          <w:p>
            <w:pPr>
              <w:spacing w:after="0" w:before="0" w:line="240" w:lineRule="auto"/>
            </w:pPr>
            <w:r/>
            <w:r>
              <w:rPr>
                <w:rFonts w:ascii="Aptos" w:hAnsi="Aptos"/>
                <w:b w:val="0"/>
                <w:sz w:val="14"/>
              </w:rPr>
              <w:t>410 €</w:t>
            </w:r>
          </w:p>
        </w:tc>
        <w:tc>
          <w:tcPr>
            <w:tcW w:type="dxa" w:w="1134"/>
            <w:vAlign w:val="center"/>
            <w:tcMar>
              <w:top w:w="25" w:type="dxa"/>
              <w:start w:w="70" w:type="dxa"/>
              <w:bottom w:w="25" w:type="dxa"/>
              <w:end w:w="70" w:type="dxa"/>
            </w:tcMar>
          </w:tcPr>
          <w:p>
            <w:pPr>
              <w:spacing w:after="0" w:before="0" w:line="240" w:lineRule="auto"/>
            </w:pPr>
            <w:r/>
            <w:r>
              <w:rPr>
                <w:rFonts w:ascii="Aptos" w:hAnsi="Aptos"/>
                <w:b w:val="0"/>
                <w:sz w:val="14"/>
              </w:rPr>
              <w:t>6.560 €</w:t>
            </w:r>
          </w:p>
        </w:tc>
      </w:tr>
      <w:tr>
        <w:trPr>
          <w:cantSplit/>
        </w:trPr>
        <w:tc>
          <w:tcPr>
            <w:tcW w:type="dxa" w:w="1474"/>
            <w:vAlign w:val="center"/>
            <w:tcMar>
              <w:top w:w="25" w:type="dxa"/>
              <w:start w:w="70" w:type="dxa"/>
              <w:bottom w:w="25" w:type="dxa"/>
              <w:end w:w="70" w:type="dxa"/>
            </w:tcMar>
            <w:shd w:fill="F3F6F8"/>
          </w:tcPr>
          <w:p>
            <w:pPr>
              <w:spacing w:after="0" w:before="0" w:line="240" w:lineRule="auto"/>
            </w:pPr>
            <w:r/>
            <w:r>
              <w:rPr>
                <w:rFonts w:ascii="Aptos" w:hAnsi="Aptos"/>
                <w:b w:val="0"/>
                <w:sz w:val="14"/>
              </w:rPr>
              <w:t>Grabador de videovigilancia</w:t>
            </w:r>
          </w:p>
        </w:tc>
        <w:tc>
          <w:tcPr>
            <w:tcW w:type="dxa" w:w="4592"/>
            <w:vAlign w:val="center"/>
            <w:tcMar>
              <w:top w:w="25" w:type="dxa"/>
              <w:start w:w="70" w:type="dxa"/>
              <w:bottom w:w="25" w:type="dxa"/>
              <w:end w:w="70" w:type="dxa"/>
            </w:tcMar>
            <w:shd w:fill="F3F6F8"/>
          </w:tcPr>
          <w:p>
            <w:pPr>
              <w:spacing w:after="0" w:before="0" w:line="240" w:lineRule="auto"/>
            </w:pPr>
            <w:r/>
            <w:r>
              <w:rPr>
                <w:rFonts w:ascii="Aptos" w:hAnsi="Aptos"/>
                <w:b w:val="0"/>
                <w:sz w:val="14"/>
              </w:rPr>
              <w:t>Hikvision DS-9632NI-M8, hasta 32 canales y 8 bahías. [4]</w:t>
            </w:r>
          </w:p>
        </w:tc>
        <w:tc>
          <w:tcPr>
            <w:tcW w:type="dxa" w:w="737"/>
            <w:vAlign w:val="center"/>
            <w:tcMar>
              <w:top w:w="25" w:type="dxa"/>
              <w:start w:w="70" w:type="dxa"/>
              <w:bottom w:w="25" w:type="dxa"/>
              <w:end w:w="70" w:type="dxa"/>
            </w:tcMar>
            <w:shd w:fill="F3F6F8"/>
          </w:tcPr>
          <w:p>
            <w:pPr>
              <w:spacing w:after="0" w:before="0" w:line="240" w:lineRule="auto"/>
            </w:pPr>
            <w:r/>
            <w:r>
              <w:rPr>
                <w:rFonts w:ascii="Aptos" w:hAnsi="Aptos"/>
                <w:b w:val="0"/>
                <w:sz w:val="14"/>
              </w:rPr>
              <w:t>1</w:t>
            </w:r>
          </w:p>
        </w:tc>
        <w:tc>
          <w:tcPr>
            <w:tcW w:type="dxa" w:w="1191"/>
            <w:vAlign w:val="center"/>
            <w:tcMar>
              <w:top w:w="25" w:type="dxa"/>
              <w:start w:w="70" w:type="dxa"/>
              <w:bottom w:w="25" w:type="dxa"/>
              <w:end w:w="70" w:type="dxa"/>
            </w:tcMar>
            <w:shd w:fill="F3F6F8"/>
          </w:tcPr>
          <w:p>
            <w:pPr>
              <w:spacing w:after="0" w:before="0" w:line="240" w:lineRule="auto"/>
            </w:pPr>
            <w:r/>
            <w:r>
              <w:rPr>
                <w:rFonts w:ascii="Aptos" w:hAnsi="Aptos"/>
                <w:b w:val="0"/>
                <w:sz w:val="14"/>
              </w:rPr>
              <w:t>2.372 €</w:t>
            </w:r>
          </w:p>
        </w:tc>
        <w:tc>
          <w:tcPr>
            <w:tcW w:type="dxa" w:w="1134"/>
            <w:vAlign w:val="center"/>
            <w:tcMar>
              <w:top w:w="25" w:type="dxa"/>
              <w:start w:w="70" w:type="dxa"/>
              <w:bottom w:w="25" w:type="dxa"/>
              <w:end w:w="70" w:type="dxa"/>
            </w:tcMar>
            <w:shd w:fill="F3F6F8"/>
          </w:tcPr>
          <w:p>
            <w:pPr>
              <w:spacing w:after="0" w:before="0" w:line="240" w:lineRule="auto"/>
            </w:pPr>
            <w:r/>
            <w:r>
              <w:rPr>
                <w:rFonts w:ascii="Aptos" w:hAnsi="Aptos"/>
                <w:b w:val="0"/>
                <w:sz w:val="14"/>
              </w:rPr>
              <w:t>2.372 €</w:t>
            </w:r>
          </w:p>
        </w:tc>
      </w:tr>
      <w:tr>
        <w:trPr>
          <w:cantSplit/>
        </w:trPr>
        <w:tc>
          <w:tcPr>
            <w:tcW w:type="dxa" w:w="1474"/>
            <w:vAlign w:val="center"/>
            <w:tcMar>
              <w:top w:w="25" w:type="dxa"/>
              <w:start w:w="70" w:type="dxa"/>
              <w:bottom w:w="25" w:type="dxa"/>
              <w:end w:w="70" w:type="dxa"/>
            </w:tcMar>
          </w:tcPr>
          <w:p>
            <w:pPr>
              <w:spacing w:after="0" w:before="0" w:line="240" w:lineRule="auto"/>
            </w:pPr>
            <w:r/>
            <w:r>
              <w:rPr>
                <w:rFonts w:ascii="Aptos" w:hAnsi="Aptos"/>
                <w:b w:val="0"/>
                <w:sz w:val="14"/>
              </w:rPr>
              <w:t>Discos para NVR</w:t>
            </w:r>
          </w:p>
        </w:tc>
        <w:tc>
          <w:tcPr>
            <w:tcW w:type="dxa" w:w="4592"/>
            <w:vAlign w:val="center"/>
            <w:tcMar>
              <w:top w:w="25" w:type="dxa"/>
              <w:start w:w="70" w:type="dxa"/>
              <w:bottom w:w="25" w:type="dxa"/>
              <w:end w:w="70" w:type="dxa"/>
            </w:tcMar>
          </w:tcPr>
          <w:p>
            <w:pPr>
              <w:spacing w:after="0" w:before="0" w:line="240" w:lineRule="auto"/>
            </w:pPr>
            <w:r/>
            <w:r>
              <w:rPr>
                <w:rFonts w:ascii="Aptos" w:hAnsi="Aptos"/>
                <w:b w:val="0"/>
                <w:sz w:val="14"/>
              </w:rPr>
              <w:t>Seagate SkyHawk 8 TB, pensados para carga de videovigilancia 24/7. [5]</w:t>
            </w:r>
          </w:p>
        </w:tc>
        <w:tc>
          <w:tcPr>
            <w:tcW w:type="dxa" w:w="737"/>
            <w:vAlign w:val="center"/>
            <w:tcMar>
              <w:top w:w="25" w:type="dxa"/>
              <w:start w:w="70" w:type="dxa"/>
              <w:bottom w:w="25" w:type="dxa"/>
              <w:end w:w="70" w:type="dxa"/>
            </w:tcMar>
          </w:tcPr>
          <w:p>
            <w:pPr>
              <w:spacing w:after="0" w:before="0" w:line="240" w:lineRule="auto"/>
            </w:pPr>
            <w:r/>
            <w:r>
              <w:rPr>
                <w:rFonts w:ascii="Aptos" w:hAnsi="Aptos"/>
                <w:b w:val="0"/>
                <w:sz w:val="14"/>
              </w:rPr>
              <w:t>4</w:t>
            </w:r>
          </w:p>
        </w:tc>
        <w:tc>
          <w:tcPr>
            <w:tcW w:type="dxa" w:w="1191"/>
            <w:vAlign w:val="center"/>
            <w:tcMar>
              <w:top w:w="25" w:type="dxa"/>
              <w:start w:w="70" w:type="dxa"/>
              <w:bottom w:w="25" w:type="dxa"/>
              <w:end w:w="70" w:type="dxa"/>
            </w:tcMar>
          </w:tcPr>
          <w:p>
            <w:pPr>
              <w:spacing w:after="0" w:before="0" w:line="240" w:lineRule="auto"/>
            </w:pPr>
            <w:r/>
            <w:r>
              <w:rPr>
                <w:rFonts w:ascii="Aptos" w:hAnsi="Aptos"/>
                <w:b w:val="0"/>
                <w:sz w:val="14"/>
              </w:rPr>
              <w:t>380 €</w:t>
            </w:r>
          </w:p>
        </w:tc>
        <w:tc>
          <w:tcPr>
            <w:tcW w:type="dxa" w:w="1134"/>
            <w:vAlign w:val="center"/>
            <w:tcMar>
              <w:top w:w="25" w:type="dxa"/>
              <w:start w:w="70" w:type="dxa"/>
              <w:bottom w:w="25" w:type="dxa"/>
              <w:end w:w="70" w:type="dxa"/>
            </w:tcMar>
          </w:tcPr>
          <w:p>
            <w:pPr>
              <w:spacing w:after="0" w:before="0" w:line="240" w:lineRule="auto"/>
            </w:pPr>
            <w:r/>
            <w:r>
              <w:rPr>
                <w:rFonts w:ascii="Aptos" w:hAnsi="Aptos"/>
                <w:b w:val="0"/>
                <w:sz w:val="14"/>
              </w:rPr>
              <w:t>1.520 €</w:t>
            </w:r>
          </w:p>
        </w:tc>
      </w:tr>
      <w:tr>
        <w:trPr>
          <w:cantSplit/>
        </w:trPr>
        <w:tc>
          <w:tcPr>
            <w:tcW w:type="dxa" w:w="1474"/>
            <w:vAlign w:val="center"/>
            <w:tcMar>
              <w:top w:w="25" w:type="dxa"/>
              <w:start w:w="70" w:type="dxa"/>
              <w:bottom w:w="25" w:type="dxa"/>
              <w:end w:w="70" w:type="dxa"/>
            </w:tcMar>
            <w:shd w:fill="F3F6F8"/>
          </w:tcPr>
          <w:p>
            <w:pPr>
              <w:spacing w:after="0" w:before="0" w:line="240" w:lineRule="auto"/>
            </w:pPr>
            <w:r/>
            <w:r>
              <w:rPr>
                <w:rFonts w:ascii="Aptos" w:hAnsi="Aptos"/>
                <w:b w:val="0"/>
                <w:sz w:val="14"/>
              </w:rPr>
              <w:t>Cortafuegos NGFW</w:t>
            </w:r>
          </w:p>
        </w:tc>
        <w:tc>
          <w:tcPr>
            <w:tcW w:type="dxa" w:w="4592"/>
            <w:vAlign w:val="center"/>
            <w:tcMar>
              <w:top w:w="25" w:type="dxa"/>
              <w:start w:w="70" w:type="dxa"/>
              <w:bottom w:w="25" w:type="dxa"/>
              <w:end w:w="70" w:type="dxa"/>
            </w:tcMar>
            <w:shd w:fill="F3F6F8"/>
          </w:tcPr>
          <w:p>
            <w:pPr>
              <w:spacing w:after="0" w:before="0" w:line="240" w:lineRule="auto"/>
            </w:pPr>
            <w:r/>
            <w:r>
              <w:rPr>
                <w:rFonts w:ascii="Aptos" w:hAnsi="Aptos"/>
                <w:b w:val="0"/>
                <w:sz w:val="14"/>
              </w:rPr>
              <w:t>FortiGate 90G, solo hardware. No se suman suscripciones IPS/filtrado porque las licencias se excluyen del alcance. [6]</w:t>
            </w:r>
          </w:p>
        </w:tc>
        <w:tc>
          <w:tcPr>
            <w:tcW w:type="dxa" w:w="737"/>
            <w:vAlign w:val="center"/>
            <w:tcMar>
              <w:top w:w="25" w:type="dxa"/>
              <w:start w:w="70" w:type="dxa"/>
              <w:bottom w:w="25" w:type="dxa"/>
              <w:end w:w="70" w:type="dxa"/>
            </w:tcMar>
            <w:shd w:fill="F3F6F8"/>
          </w:tcPr>
          <w:p>
            <w:pPr>
              <w:spacing w:after="0" w:before="0" w:line="240" w:lineRule="auto"/>
            </w:pPr>
            <w:r/>
            <w:r>
              <w:rPr>
                <w:rFonts w:ascii="Aptos" w:hAnsi="Aptos"/>
                <w:b w:val="0"/>
                <w:sz w:val="14"/>
              </w:rPr>
              <w:t>2</w:t>
            </w:r>
          </w:p>
        </w:tc>
        <w:tc>
          <w:tcPr>
            <w:tcW w:type="dxa" w:w="1191"/>
            <w:vAlign w:val="center"/>
            <w:tcMar>
              <w:top w:w="25" w:type="dxa"/>
              <w:start w:w="70" w:type="dxa"/>
              <w:bottom w:w="25" w:type="dxa"/>
              <w:end w:w="70" w:type="dxa"/>
            </w:tcMar>
            <w:shd w:fill="F3F6F8"/>
          </w:tcPr>
          <w:p>
            <w:pPr>
              <w:spacing w:after="0" w:before="0" w:line="240" w:lineRule="auto"/>
            </w:pPr>
            <w:r/>
            <w:r>
              <w:rPr>
                <w:rFonts w:ascii="Aptos" w:hAnsi="Aptos"/>
                <w:b w:val="0"/>
                <w:sz w:val="14"/>
              </w:rPr>
              <w:t>2.357 €</w:t>
            </w:r>
          </w:p>
        </w:tc>
        <w:tc>
          <w:tcPr>
            <w:tcW w:type="dxa" w:w="1134"/>
            <w:vAlign w:val="center"/>
            <w:tcMar>
              <w:top w:w="25" w:type="dxa"/>
              <w:start w:w="70" w:type="dxa"/>
              <w:bottom w:w="25" w:type="dxa"/>
              <w:end w:w="70" w:type="dxa"/>
            </w:tcMar>
            <w:shd w:fill="F3F6F8"/>
          </w:tcPr>
          <w:p>
            <w:pPr>
              <w:spacing w:after="0" w:before="0" w:line="240" w:lineRule="auto"/>
            </w:pPr>
            <w:r/>
            <w:r>
              <w:rPr>
                <w:rFonts w:ascii="Aptos" w:hAnsi="Aptos"/>
                <w:b w:val="0"/>
                <w:sz w:val="14"/>
              </w:rPr>
              <w:t>4.714 €</w:t>
            </w:r>
          </w:p>
        </w:tc>
      </w:tr>
      <w:tr>
        <w:trPr>
          <w:cantSplit/>
        </w:trPr>
        <w:tc>
          <w:tcPr>
            <w:tcW w:type="dxa" w:w="1474"/>
            <w:vAlign w:val="center"/>
            <w:tcMar>
              <w:top w:w="25" w:type="dxa"/>
              <w:start w:w="70" w:type="dxa"/>
              <w:bottom w:w="25" w:type="dxa"/>
              <w:end w:w="70" w:type="dxa"/>
            </w:tcMar>
          </w:tcPr>
          <w:p>
            <w:pPr>
              <w:spacing w:after="0" w:before="0" w:line="240" w:lineRule="auto"/>
            </w:pPr>
            <w:r/>
            <w:r>
              <w:rPr>
                <w:rFonts w:ascii="Aptos" w:hAnsi="Aptos"/>
                <w:b w:val="0"/>
                <w:sz w:val="14"/>
              </w:rPr>
              <w:t>Switches de núcleo L3</w:t>
            </w:r>
          </w:p>
        </w:tc>
        <w:tc>
          <w:tcPr>
            <w:tcW w:type="dxa" w:w="4592"/>
            <w:vAlign w:val="center"/>
            <w:tcMar>
              <w:top w:w="25" w:type="dxa"/>
              <w:start w:w="70" w:type="dxa"/>
              <w:bottom w:w="25" w:type="dxa"/>
              <w:end w:w="70" w:type="dxa"/>
            </w:tcMar>
          </w:tcPr>
          <w:p>
            <w:pPr>
              <w:spacing w:after="0" w:before="0" w:line="240" w:lineRule="auto"/>
            </w:pPr>
            <w:r/>
            <w:r>
              <w:rPr>
                <w:rFonts w:ascii="Aptos" w:hAnsi="Aptos"/>
                <w:b w:val="0"/>
                <w:sz w:val="14"/>
              </w:rPr>
              <w:t>Ubiquiti USW-Pro-48, 48 puertos con uplinks 10G; precio de referencia. [7]</w:t>
            </w:r>
          </w:p>
        </w:tc>
        <w:tc>
          <w:tcPr>
            <w:tcW w:type="dxa" w:w="737"/>
            <w:vAlign w:val="center"/>
            <w:tcMar>
              <w:top w:w="25" w:type="dxa"/>
              <w:start w:w="70" w:type="dxa"/>
              <w:bottom w:w="25" w:type="dxa"/>
              <w:end w:w="70" w:type="dxa"/>
            </w:tcMar>
          </w:tcPr>
          <w:p>
            <w:pPr>
              <w:spacing w:after="0" w:before="0" w:line="240" w:lineRule="auto"/>
            </w:pPr>
            <w:r/>
            <w:r>
              <w:rPr>
                <w:rFonts w:ascii="Aptos" w:hAnsi="Aptos"/>
                <w:b w:val="0"/>
                <w:sz w:val="14"/>
              </w:rPr>
              <w:t>2</w:t>
            </w:r>
          </w:p>
        </w:tc>
        <w:tc>
          <w:tcPr>
            <w:tcW w:type="dxa" w:w="1191"/>
            <w:vAlign w:val="center"/>
            <w:tcMar>
              <w:top w:w="25" w:type="dxa"/>
              <w:start w:w="70" w:type="dxa"/>
              <w:bottom w:w="25" w:type="dxa"/>
              <w:end w:w="70" w:type="dxa"/>
            </w:tcMar>
          </w:tcPr>
          <w:p>
            <w:pPr>
              <w:spacing w:after="0" w:before="0" w:line="240" w:lineRule="auto"/>
            </w:pPr>
            <w:r/>
            <w:r>
              <w:rPr>
                <w:rFonts w:ascii="Aptos" w:hAnsi="Aptos"/>
                <w:b w:val="0"/>
                <w:sz w:val="14"/>
              </w:rPr>
              <w:t>539 €</w:t>
            </w:r>
          </w:p>
        </w:tc>
        <w:tc>
          <w:tcPr>
            <w:tcW w:type="dxa" w:w="1134"/>
            <w:vAlign w:val="center"/>
            <w:tcMar>
              <w:top w:w="25" w:type="dxa"/>
              <w:start w:w="70" w:type="dxa"/>
              <w:bottom w:w="25" w:type="dxa"/>
              <w:end w:w="70" w:type="dxa"/>
            </w:tcMar>
          </w:tcPr>
          <w:p>
            <w:pPr>
              <w:spacing w:after="0" w:before="0" w:line="240" w:lineRule="auto"/>
            </w:pPr>
            <w:r/>
            <w:r>
              <w:rPr>
                <w:rFonts w:ascii="Aptos" w:hAnsi="Aptos"/>
                <w:b w:val="0"/>
                <w:sz w:val="14"/>
              </w:rPr>
              <w:t>1.078 €</w:t>
            </w:r>
          </w:p>
        </w:tc>
      </w:tr>
      <w:tr>
        <w:trPr>
          <w:cantSplit/>
        </w:trPr>
        <w:tc>
          <w:tcPr>
            <w:tcW w:type="dxa" w:w="1474"/>
            <w:vAlign w:val="center"/>
            <w:tcMar>
              <w:top w:w="25" w:type="dxa"/>
              <w:start w:w="70" w:type="dxa"/>
              <w:bottom w:w="25" w:type="dxa"/>
              <w:end w:w="70" w:type="dxa"/>
            </w:tcMar>
            <w:shd w:fill="F3F6F8"/>
          </w:tcPr>
          <w:p>
            <w:pPr>
              <w:spacing w:after="0" w:before="0" w:line="240" w:lineRule="auto"/>
            </w:pPr>
            <w:r/>
            <w:r>
              <w:rPr>
                <w:rFonts w:ascii="Aptos" w:hAnsi="Aptos"/>
                <w:b w:val="0"/>
                <w:sz w:val="14"/>
              </w:rPr>
              <w:t>Switches de acceso PoE</w:t>
            </w:r>
          </w:p>
        </w:tc>
        <w:tc>
          <w:tcPr>
            <w:tcW w:type="dxa" w:w="4592"/>
            <w:vAlign w:val="center"/>
            <w:tcMar>
              <w:top w:w="25" w:type="dxa"/>
              <w:start w:w="70" w:type="dxa"/>
              <w:bottom w:w="25" w:type="dxa"/>
              <w:end w:w="70" w:type="dxa"/>
            </w:tcMar>
            <w:shd w:fill="F3F6F8"/>
          </w:tcPr>
          <w:p>
            <w:pPr>
              <w:spacing w:after="0" w:before="0" w:line="240" w:lineRule="auto"/>
            </w:pPr>
            <w:r/>
            <w:r>
              <w:rPr>
                <w:rFonts w:ascii="Aptos" w:hAnsi="Aptos"/>
                <w:b w:val="0"/>
                <w:sz w:val="14"/>
              </w:rPr>
              <w:t>Ubiquiti USW-Pro-48-POE (600 W), para puntos de acceso y otros dispositivos PoE. [7]</w:t>
            </w:r>
          </w:p>
        </w:tc>
        <w:tc>
          <w:tcPr>
            <w:tcW w:type="dxa" w:w="737"/>
            <w:vAlign w:val="center"/>
            <w:tcMar>
              <w:top w:w="25" w:type="dxa"/>
              <w:start w:w="70" w:type="dxa"/>
              <w:bottom w:w="25" w:type="dxa"/>
              <w:end w:w="70" w:type="dxa"/>
            </w:tcMar>
            <w:shd w:fill="F3F6F8"/>
          </w:tcPr>
          <w:p>
            <w:pPr>
              <w:spacing w:after="0" w:before="0" w:line="240" w:lineRule="auto"/>
            </w:pPr>
            <w:r/>
            <w:r>
              <w:rPr>
                <w:rFonts w:ascii="Aptos" w:hAnsi="Aptos"/>
                <w:b w:val="0"/>
                <w:sz w:val="14"/>
              </w:rPr>
              <w:t>4</w:t>
            </w:r>
          </w:p>
        </w:tc>
        <w:tc>
          <w:tcPr>
            <w:tcW w:type="dxa" w:w="1191"/>
            <w:vAlign w:val="center"/>
            <w:tcMar>
              <w:top w:w="25" w:type="dxa"/>
              <w:start w:w="70" w:type="dxa"/>
              <w:bottom w:w="25" w:type="dxa"/>
              <w:end w:w="70" w:type="dxa"/>
            </w:tcMar>
            <w:shd w:fill="F3F6F8"/>
          </w:tcPr>
          <w:p>
            <w:pPr>
              <w:spacing w:after="0" w:before="0" w:line="240" w:lineRule="auto"/>
            </w:pPr>
            <w:r/>
            <w:r>
              <w:rPr>
                <w:rFonts w:ascii="Aptos" w:hAnsi="Aptos"/>
                <w:b w:val="0"/>
                <w:sz w:val="14"/>
              </w:rPr>
              <w:t>989 €</w:t>
            </w:r>
          </w:p>
        </w:tc>
        <w:tc>
          <w:tcPr>
            <w:tcW w:type="dxa" w:w="1134"/>
            <w:vAlign w:val="center"/>
            <w:tcMar>
              <w:top w:w="25" w:type="dxa"/>
              <w:start w:w="70" w:type="dxa"/>
              <w:bottom w:w="25" w:type="dxa"/>
              <w:end w:w="70" w:type="dxa"/>
            </w:tcMar>
            <w:shd w:fill="F3F6F8"/>
          </w:tcPr>
          <w:p>
            <w:pPr>
              <w:spacing w:after="0" w:before="0" w:line="240" w:lineRule="auto"/>
            </w:pPr>
            <w:r/>
            <w:r>
              <w:rPr>
                <w:rFonts w:ascii="Aptos" w:hAnsi="Aptos"/>
                <w:b w:val="0"/>
                <w:sz w:val="14"/>
              </w:rPr>
              <w:t>3.956 €</w:t>
            </w:r>
          </w:p>
        </w:tc>
      </w:tr>
      <w:tr>
        <w:trPr>
          <w:cantSplit/>
        </w:trPr>
        <w:tc>
          <w:tcPr>
            <w:tcW w:type="dxa" w:w="1474"/>
            <w:vAlign w:val="center"/>
            <w:tcMar>
              <w:top w:w="25" w:type="dxa"/>
              <w:start w:w="70" w:type="dxa"/>
              <w:bottom w:w="25" w:type="dxa"/>
              <w:end w:w="70" w:type="dxa"/>
            </w:tcMar>
          </w:tcPr>
          <w:p>
            <w:pPr>
              <w:spacing w:after="0" w:before="0" w:line="240" w:lineRule="auto"/>
            </w:pPr>
            <w:r/>
            <w:r>
              <w:rPr>
                <w:rFonts w:ascii="Aptos" w:hAnsi="Aptos"/>
                <w:b w:val="0"/>
                <w:sz w:val="14"/>
              </w:rPr>
              <w:t>Switches de acceso adicionales</w:t>
            </w:r>
          </w:p>
        </w:tc>
        <w:tc>
          <w:tcPr>
            <w:tcW w:type="dxa" w:w="4592"/>
            <w:vAlign w:val="center"/>
            <w:tcMar>
              <w:top w:w="25" w:type="dxa"/>
              <w:start w:w="70" w:type="dxa"/>
              <w:bottom w:w="25" w:type="dxa"/>
              <w:end w:w="70" w:type="dxa"/>
            </w:tcMar>
          </w:tcPr>
          <w:p>
            <w:pPr>
              <w:spacing w:after="0" w:before="0" w:line="240" w:lineRule="auto"/>
            </w:pPr>
            <w:r/>
            <w:r>
              <w:rPr>
                <w:rFonts w:ascii="Aptos" w:hAnsi="Aptos"/>
                <w:b w:val="0"/>
                <w:sz w:val="14"/>
              </w:rPr>
              <w:t>Ubiquiti USW-Pro-48, para puestos cableados. [7]</w:t>
            </w:r>
          </w:p>
        </w:tc>
        <w:tc>
          <w:tcPr>
            <w:tcW w:type="dxa" w:w="737"/>
            <w:vAlign w:val="center"/>
            <w:tcMar>
              <w:top w:w="25" w:type="dxa"/>
              <w:start w:w="70" w:type="dxa"/>
              <w:bottom w:w="25" w:type="dxa"/>
              <w:end w:w="70" w:type="dxa"/>
            </w:tcMar>
          </w:tcPr>
          <w:p>
            <w:pPr>
              <w:spacing w:after="0" w:before="0" w:line="240" w:lineRule="auto"/>
            </w:pPr>
            <w:r/>
            <w:r>
              <w:rPr>
                <w:rFonts w:ascii="Aptos" w:hAnsi="Aptos"/>
                <w:b w:val="0"/>
                <w:sz w:val="14"/>
              </w:rPr>
              <w:t>3</w:t>
            </w:r>
          </w:p>
        </w:tc>
        <w:tc>
          <w:tcPr>
            <w:tcW w:type="dxa" w:w="1191"/>
            <w:vAlign w:val="center"/>
            <w:tcMar>
              <w:top w:w="25" w:type="dxa"/>
              <w:start w:w="70" w:type="dxa"/>
              <w:bottom w:w="25" w:type="dxa"/>
              <w:end w:w="70" w:type="dxa"/>
            </w:tcMar>
          </w:tcPr>
          <w:p>
            <w:pPr>
              <w:spacing w:after="0" w:before="0" w:line="240" w:lineRule="auto"/>
            </w:pPr>
            <w:r/>
            <w:r>
              <w:rPr>
                <w:rFonts w:ascii="Aptos" w:hAnsi="Aptos"/>
                <w:b w:val="0"/>
                <w:sz w:val="14"/>
              </w:rPr>
              <w:t>539 €</w:t>
            </w:r>
          </w:p>
        </w:tc>
        <w:tc>
          <w:tcPr>
            <w:tcW w:type="dxa" w:w="1134"/>
            <w:vAlign w:val="center"/>
            <w:tcMar>
              <w:top w:w="25" w:type="dxa"/>
              <w:start w:w="70" w:type="dxa"/>
              <w:bottom w:w="25" w:type="dxa"/>
              <w:end w:w="70" w:type="dxa"/>
            </w:tcMar>
          </w:tcPr>
          <w:p>
            <w:pPr>
              <w:spacing w:after="0" w:before="0" w:line="240" w:lineRule="auto"/>
            </w:pPr>
            <w:r/>
            <w:r>
              <w:rPr>
                <w:rFonts w:ascii="Aptos" w:hAnsi="Aptos"/>
                <w:b w:val="0"/>
                <w:sz w:val="14"/>
              </w:rPr>
              <w:t>1.617 €</w:t>
            </w:r>
          </w:p>
        </w:tc>
      </w:tr>
      <w:tr>
        <w:trPr>
          <w:cantSplit/>
        </w:trPr>
        <w:tc>
          <w:tcPr>
            <w:tcW w:type="dxa" w:w="1474"/>
            <w:vAlign w:val="center"/>
            <w:tcMar>
              <w:top w:w="25" w:type="dxa"/>
              <w:start w:w="70" w:type="dxa"/>
              <w:bottom w:w="25" w:type="dxa"/>
              <w:end w:w="70" w:type="dxa"/>
            </w:tcMar>
            <w:shd w:fill="F3F6F8"/>
          </w:tcPr>
          <w:p>
            <w:pPr>
              <w:spacing w:after="0" w:before="0" w:line="240" w:lineRule="auto"/>
            </w:pPr>
            <w:r/>
            <w:r>
              <w:rPr>
                <w:rFonts w:ascii="Aptos" w:hAnsi="Aptos"/>
                <w:b w:val="0"/>
                <w:sz w:val="14"/>
              </w:rPr>
              <w:t>Puntos de acceso Wi-Fi</w:t>
            </w:r>
          </w:p>
        </w:tc>
        <w:tc>
          <w:tcPr>
            <w:tcW w:type="dxa" w:w="4592"/>
            <w:vAlign w:val="center"/>
            <w:tcMar>
              <w:top w:w="25" w:type="dxa"/>
              <w:start w:w="70" w:type="dxa"/>
              <w:bottom w:w="25" w:type="dxa"/>
              <w:end w:w="70" w:type="dxa"/>
            </w:tcMar>
            <w:shd w:fill="F3F6F8"/>
          </w:tcPr>
          <w:p>
            <w:pPr>
              <w:spacing w:after="0" w:before="0" w:line="240" w:lineRule="auto"/>
            </w:pPr>
            <w:r/>
            <w:r>
              <w:rPr>
                <w:rFonts w:ascii="Aptos" w:hAnsi="Aptos"/>
                <w:b w:val="0"/>
                <w:sz w:val="14"/>
              </w:rPr>
              <w:t>Ubiquiti U6 Pro Wi-Fi 6; 70 unidades para cobertura de las estancias. [8]</w:t>
            </w:r>
          </w:p>
        </w:tc>
        <w:tc>
          <w:tcPr>
            <w:tcW w:type="dxa" w:w="737"/>
            <w:vAlign w:val="center"/>
            <w:tcMar>
              <w:top w:w="25" w:type="dxa"/>
              <w:start w:w="70" w:type="dxa"/>
              <w:bottom w:w="25" w:type="dxa"/>
              <w:end w:w="70" w:type="dxa"/>
            </w:tcMar>
            <w:shd w:fill="F3F6F8"/>
          </w:tcPr>
          <w:p>
            <w:pPr>
              <w:spacing w:after="0" w:before="0" w:line="240" w:lineRule="auto"/>
            </w:pPr>
            <w:r/>
            <w:r>
              <w:rPr>
                <w:rFonts w:ascii="Aptos" w:hAnsi="Aptos"/>
                <w:b w:val="0"/>
                <w:sz w:val="14"/>
              </w:rPr>
              <w:t>70</w:t>
            </w:r>
          </w:p>
        </w:tc>
        <w:tc>
          <w:tcPr>
            <w:tcW w:type="dxa" w:w="1191"/>
            <w:vAlign w:val="center"/>
            <w:tcMar>
              <w:top w:w="25" w:type="dxa"/>
              <w:start w:w="70" w:type="dxa"/>
              <w:bottom w:w="25" w:type="dxa"/>
              <w:end w:w="70" w:type="dxa"/>
            </w:tcMar>
            <w:shd w:fill="F3F6F8"/>
          </w:tcPr>
          <w:p>
            <w:pPr>
              <w:spacing w:after="0" w:before="0" w:line="240" w:lineRule="auto"/>
            </w:pPr>
            <w:r/>
            <w:r>
              <w:rPr>
                <w:rFonts w:ascii="Aptos" w:hAnsi="Aptos"/>
                <w:b w:val="0"/>
                <w:sz w:val="14"/>
              </w:rPr>
              <w:t>145 €</w:t>
            </w:r>
          </w:p>
        </w:tc>
        <w:tc>
          <w:tcPr>
            <w:tcW w:type="dxa" w:w="1134"/>
            <w:vAlign w:val="center"/>
            <w:tcMar>
              <w:top w:w="25" w:type="dxa"/>
              <w:start w:w="70" w:type="dxa"/>
              <w:bottom w:w="25" w:type="dxa"/>
              <w:end w:w="70" w:type="dxa"/>
            </w:tcMar>
            <w:shd w:fill="F3F6F8"/>
          </w:tcPr>
          <w:p>
            <w:pPr>
              <w:spacing w:after="0" w:before="0" w:line="240" w:lineRule="auto"/>
            </w:pPr>
            <w:r/>
            <w:r>
              <w:rPr>
                <w:rFonts w:ascii="Aptos" w:hAnsi="Aptos"/>
                <w:b w:val="0"/>
                <w:sz w:val="14"/>
              </w:rPr>
              <w:t>10.150 €</w:t>
            </w:r>
          </w:p>
        </w:tc>
      </w:tr>
      <w:tr>
        <w:trPr>
          <w:cantSplit/>
        </w:trPr>
        <w:tc>
          <w:tcPr>
            <w:tcW w:type="dxa" w:w="1474"/>
            <w:vAlign w:val="center"/>
            <w:tcMar>
              <w:top w:w="25" w:type="dxa"/>
              <w:start w:w="70" w:type="dxa"/>
              <w:bottom w:w="25" w:type="dxa"/>
              <w:end w:w="70" w:type="dxa"/>
            </w:tcMar>
          </w:tcPr>
          <w:p>
            <w:pPr>
              <w:spacing w:after="0" w:before="0" w:line="240" w:lineRule="auto"/>
            </w:pPr>
            <w:r/>
            <w:r>
              <w:rPr>
                <w:rFonts w:ascii="Aptos" w:hAnsi="Aptos"/>
                <w:b w:val="0"/>
                <w:sz w:val="14"/>
              </w:rPr>
              <w:t>SAI en línea</w:t>
            </w:r>
          </w:p>
        </w:tc>
        <w:tc>
          <w:tcPr>
            <w:tcW w:type="dxa" w:w="4592"/>
            <w:vAlign w:val="center"/>
            <w:tcMar>
              <w:top w:w="25" w:type="dxa"/>
              <w:start w:w="70" w:type="dxa"/>
              <w:bottom w:w="25" w:type="dxa"/>
              <w:end w:w="70" w:type="dxa"/>
            </w:tcMar>
          </w:tcPr>
          <w:p>
            <w:pPr>
              <w:spacing w:after="0" w:before="0" w:line="240" w:lineRule="auto"/>
            </w:pPr>
            <w:r/>
            <w:r>
              <w:rPr>
                <w:rFonts w:ascii="Aptos" w:hAnsi="Aptos"/>
                <w:b w:val="0"/>
                <w:sz w:val="14"/>
              </w:rPr>
              <w:t>APC Smart-UPS SRT 3000 VA RM, autonomía objetivo de al menos 30 min según carga real. [9]</w:t>
            </w:r>
          </w:p>
        </w:tc>
        <w:tc>
          <w:tcPr>
            <w:tcW w:type="dxa" w:w="737"/>
            <w:vAlign w:val="center"/>
            <w:tcMar>
              <w:top w:w="25" w:type="dxa"/>
              <w:start w:w="70" w:type="dxa"/>
              <w:bottom w:w="25" w:type="dxa"/>
              <w:end w:w="70" w:type="dxa"/>
            </w:tcMar>
          </w:tcPr>
          <w:p>
            <w:pPr>
              <w:spacing w:after="0" w:before="0" w:line="240" w:lineRule="auto"/>
            </w:pPr>
            <w:r/>
            <w:r>
              <w:rPr>
                <w:rFonts w:ascii="Aptos" w:hAnsi="Aptos"/>
                <w:b w:val="0"/>
                <w:sz w:val="14"/>
              </w:rPr>
              <w:t>2</w:t>
            </w:r>
          </w:p>
        </w:tc>
        <w:tc>
          <w:tcPr>
            <w:tcW w:type="dxa" w:w="1191"/>
            <w:vAlign w:val="center"/>
            <w:tcMar>
              <w:top w:w="25" w:type="dxa"/>
              <w:start w:w="70" w:type="dxa"/>
              <w:bottom w:w="25" w:type="dxa"/>
              <w:end w:w="70" w:type="dxa"/>
            </w:tcMar>
          </w:tcPr>
          <w:p>
            <w:pPr>
              <w:spacing w:after="0" w:before="0" w:line="240" w:lineRule="auto"/>
            </w:pPr>
            <w:r/>
            <w:r>
              <w:rPr>
                <w:rFonts w:ascii="Aptos" w:hAnsi="Aptos"/>
                <w:b w:val="0"/>
                <w:sz w:val="14"/>
              </w:rPr>
              <w:t>3.355 €</w:t>
            </w:r>
          </w:p>
        </w:tc>
        <w:tc>
          <w:tcPr>
            <w:tcW w:type="dxa" w:w="1134"/>
            <w:vAlign w:val="center"/>
            <w:tcMar>
              <w:top w:w="25" w:type="dxa"/>
              <w:start w:w="70" w:type="dxa"/>
              <w:bottom w:w="25" w:type="dxa"/>
              <w:end w:w="70" w:type="dxa"/>
            </w:tcMar>
          </w:tcPr>
          <w:p>
            <w:pPr>
              <w:spacing w:after="0" w:before="0" w:line="240" w:lineRule="auto"/>
            </w:pPr>
            <w:r/>
            <w:r>
              <w:rPr>
                <w:rFonts w:ascii="Aptos" w:hAnsi="Aptos"/>
                <w:b w:val="0"/>
                <w:sz w:val="14"/>
              </w:rPr>
              <w:t>6.710 €</w:t>
            </w:r>
          </w:p>
        </w:tc>
      </w:tr>
      <w:tr>
        <w:trPr>
          <w:cantSplit/>
        </w:trPr>
        <w:tc>
          <w:tcPr>
            <w:tcW w:type="dxa" w:w="1474"/>
            <w:vAlign w:val="center"/>
            <w:tcMar>
              <w:top w:w="25" w:type="dxa"/>
              <w:start w:w="70" w:type="dxa"/>
              <w:bottom w:w="25" w:type="dxa"/>
              <w:end w:w="70" w:type="dxa"/>
            </w:tcMar>
            <w:shd w:fill="F3F6F8"/>
          </w:tcPr>
          <w:p>
            <w:pPr>
              <w:spacing w:after="0" w:before="0" w:line="240" w:lineRule="auto"/>
            </w:pPr>
            <w:r/>
            <w:r>
              <w:rPr>
                <w:rFonts w:ascii="Aptos" w:hAnsi="Aptos"/>
                <w:b w:val="0"/>
                <w:sz w:val="14"/>
              </w:rPr>
              <w:t>Rack, PDU y organización</w:t>
            </w:r>
          </w:p>
        </w:tc>
        <w:tc>
          <w:tcPr>
            <w:tcW w:type="dxa" w:w="4592"/>
            <w:vAlign w:val="center"/>
            <w:tcMar>
              <w:top w:w="25" w:type="dxa"/>
              <w:start w:w="70" w:type="dxa"/>
              <w:bottom w:w="25" w:type="dxa"/>
              <w:end w:w="70" w:type="dxa"/>
            </w:tcMar>
            <w:shd w:fill="F3F6F8"/>
          </w:tcPr>
          <w:p>
            <w:pPr>
              <w:spacing w:after="0" w:before="0" w:line="240" w:lineRule="auto"/>
            </w:pPr>
            <w:r/>
            <w:r>
              <w:rPr>
                <w:rFonts w:ascii="Aptos" w:hAnsi="Aptos"/>
                <w:b w:val="0"/>
                <w:sz w:val="14"/>
              </w:rPr>
              <w:t>Reserva orientativa para rack, bandejas, PDU y gestión del cableado; requiere oferta específica.</w:t>
            </w:r>
          </w:p>
        </w:tc>
        <w:tc>
          <w:tcPr>
            <w:tcW w:type="dxa" w:w="737"/>
            <w:vAlign w:val="center"/>
            <w:tcMar>
              <w:top w:w="25" w:type="dxa"/>
              <w:start w:w="70" w:type="dxa"/>
              <w:bottom w:w="25" w:type="dxa"/>
              <w:end w:w="70" w:type="dxa"/>
            </w:tcMar>
            <w:shd w:fill="F3F6F8"/>
          </w:tcPr>
          <w:p>
            <w:pPr>
              <w:spacing w:after="0" w:before="0" w:line="240" w:lineRule="auto"/>
            </w:pPr>
            <w:r/>
            <w:r>
              <w:rPr>
                <w:rFonts w:ascii="Aptos" w:hAnsi="Aptos"/>
                <w:b w:val="0"/>
                <w:sz w:val="14"/>
              </w:rPr>
              <w:t>1 lote</w:t>
            </w:r>
          </w:p>
        </w:tc>
        <w:tc>
          <w:tcPr>
            <w:tcW w:type="dxa" w:w="1191"/>
            <w:vAlign w:val="center"/>
            <w:tcMar>
              <w:top w:w="25" w:type="dxa"/>
              <w:start w:w="70" w:type="dxa"/>
              <w:bottom w:w="25" w:type="dxa"/>
              <w:end w:w="70" w:type="dxa"/>
            </w:tcMar>
            <w:shd w:fill="F3F6F8"/>
          </w:tcPr>
          <w:p>
            <w:pPr>
              <w:spacing w:after="0" w:before="0" w:line="240" w:lineRule="auto"/>
            </w:pPr>
            <w:r/>
            <w:r>
              <w:rPr>
                <w:rFonts w:ascii="Aptos" w:hAnsi="Aptos"/>
                <w:b w:val="0"/>
                <w:sz w:val="14"/>
              </w:rPr>
              <w:t>1.200 €</w:t>
            </w:r>
          </w:p>
        </w:tc>
        <w:tc>
          <w:tcPr>
            <w:tcW w:type="dxa" w:w="1134"/>
            <w:vAlign w:val="center"/>
            <w:tcMar>
              <w:top w:w="25" w:type="dxa"/>
              <w:start w:w="70" w:type="dxa"/>
              <w:bottom w:w="25" w:type="dxa"/>
              <w:end w:w="70" w:type="dxa"/>
            </w:tcMar>
            <w:shd w:fill="F3F6F8"/>
          </w:tcPr>
          <w:p>
            <w:pPr>
              <w:spacing w:after="0" w:before="0" w:line="240" w:lineRule="auto"/>
            </w:pPr>
            <w:r/>
            <w:r>
              <w:rPr>
                <w:rFonts w:ascii="Aptos" w:hAnsi="Aptos"/>
                <w:b w:val="0"/>
                <w:sz w:val="14"/>
              </w:rPr>
              <w:t>1.200 €</w:t>
            </w:r>
          </w:p>
        </w:tc>
      </w:tr>
      <w:tr>
        <w:trPr>
          <w:cantSplit/>
        </w:trPr>
        <w:tc>
          <w:tcPr>
            <w:tcW w:type="dxa" w:w="1474"/>
            <w:vAlign w:val="center"/>
            <w:tcMar>
              <w:top w:w="25" w:type="dxa"/>
              <w:start w:w="70" w:type="dxa"/>
              <w:bottom w:w="25" w:type="dxa"/>
              <w:end w:w="70" w:type="dxa"/>
            </w:tcMar>
          </w:tcPr>
          <w:p>
            <w:pPr>
              <w:spacing w:after="0" w:before="0" w:line="240" w:lineRule="auto"/>
            </w:pPr>
            <w:r/>
            <w:r>
              <w:rPr>
                <w:rFonts w:ascii="Aptos" w:hAnsi="Aptos"/>
                <w:b w:val="0"/>
                <w:sz w:val="14"/>
              </w:rPr>
              <w:t>Climatización dedicada</w:t>
            </w:r>
          </w:p>
        </w:tc>
        <w:tc>
          <w:tcPr>
            <w:tcW w:type="dxa" w:w="4592"/>
            <w:vAlign w:val="center"/>
            <w:tcMar>
              <w:top w:w="25" w:type="dxa"/>
              <w:start w:w="70" w:type="dxa"/>
              <w:bottom w:w="25" w:type="dxa"/>
              <w:end w:w="70" w:type="dxa"/>
            </w:tcMar>
          </w:tcPr>
          <w:p>
            <w:pPr>
              <w:spacing w:after="0" w:before="0" w:line="240" w:lineRule="auto"/>
            </w:pPr>
            <w:r/>
            <w:r>
              <w:rPr>
                <w:rFonts w:ascii="Aptos" w:hAnsi="Aptos"/>
                <w:b w:val="0"/>
                <w:sz w:val="14"/>
              </w:rPr>
              <w:t>Reserva para equipo de climatización de sala; se excluye instalación. Requiere dimensionamiento térmico definitivo.</w:t>
            </w:r>
          </w:p>
        </w:tc>
        <w:tc>
          <w:tcPr>
            <w:tcW w:type="dxa" w:w="737"/>
            <w:vAlign w:val="center"/>
            <w:tcMar>
              <w:top w:w="25" w:type="dxa"/>
              <w:start w:w="70" w:type="dxa"/>
              <w:bottom w:w="25" w:type="dxa"/>
              <w:end w:w="70" w:type="dxa"/>
            </w:tcMar>
          </w:tcPr>
          <w:p>
            <w:pPr>
              <w:spacing w:after="0" w:before="0" w:line="240" w:lineRule="auto"/>
            </w:pPr>
            <w:r/>
            <w:r>
              <w:rPr>
                <w:rFonts w:ascii="Aptos" w:hAnsi="Aptos"/>
                <w:b w:val="0"/>
                <w:sz w:val="14"/>
              </w:rPr>
              <w:t>1 lote</w:t>
            </w:r>
          </w:p>
        </w:tc>
        <w:tc>
          <w:tcPr>
            <w:tcW w:type="dxa" w:w="1191"/>
            <w:vAlign w:val="center"/>
            <w:tcMar>
              <w:top w:w="25" w:type="dxa"/>
              <w:start w:w="70" w:type="dxa"/>
              <w:bottom w:w="25" w:type="dxa"/>
              <w:end w:w="70" w:type="dxa"/>
            </w:tcMar>
          </w:tcPr>
          <w:p>
            <w:pPr>
              <w:spacing w:after="0" w:before="0" w:line="240" w:lineRule="auto"/>
            </w:pPr>
            <w:r/>
            <w:r>
              <w:rPr>
                <w:rFonts w:ascii="Aptos" w:hAnsi="Aptos"/>
                <w:b w:val="0"/>
                <w:sz w:val="14"/>
              </w:rPr>
              <w:t>2.000 €</w:t>
            </w:r>
          </w:p>
        </w:tc>
        <w:tc>
          <w:tcPr>
            <w:tcW w:type="dxa" w:w="1134"/>
            <w:vAlign w:val="center"/>
            <w:tcMar>
              <w:top w:w="25" w:type="dxa"/>
              <w:start w:w="70" w:type="dxa"/>
              <w:bottom w:w="25" w:type="dxa"/>
              <w:end w:w="70" w:type="dxa"/>
            </w:tcMar>
          </w:tcPr>
          <w:p>
            <w:pPr>
              <w:spacing w:after="0" w:before="0" w:line="240" w:lineRule="auto"/>
            </w:pPr>
            <w:r/>
            <w:r>
              <w:rPr>
                <w:rFonts w:ascii="Aptos" w:hAnsi="Aptos"/>
                <w:b w:val="0"/>
                <w:sz w:val="14"/>
              </w:rPr>
              <w:t>2.000 €</w:t>
            </w:r>
          </w:p>
        </w:tc>
      </w:tr>
      <w:tr>
        <w:trPr>
          <w:cantSplit/>
        </w:trPr>
        <w:tc>
          <w:tcPr>
            <w:tcW w:type="dxa" w:w="1474"/>
            <w:vAlign w:val="center"/>
            <w:tcMar>
              <w:top w:w="25" w:type="dxa"/>
              <w:start w:w="70" w:type="dxa"/>
              <w:bottom w:w="25" w:type="dxa"/>
              <w:end w:w="70" w:type="dxa"/>
            </w:tcMar>
            <w:shd w:fill="F3F6F8"/>
          </w:tcPr>
          <w:p>
            <w:pPr>
              <w:spacing w:after="0" w:before="0" w:line="240" w:lineRule="auto"/>
            </w:pPr>
            <w:r/>
            <w:r>
              <w:rPr>
                <w:rFonts w:ascii="Aptos" w:hAnsi="Aptos"/>
                <w:b w:val="0"/>
                <w:sz w:val="14"/>
              </w:rPr>
              <w:t>Ópticas, DAC y latiguillos de fibra</w:t>
            </w:r>
          </w:p>
        </w:tc>
        <w:tc>
          <w:tcPr>
            <w:tcW w:type="dxa" w:w="4592"/>
            <w:vAlign w:val="center"/>
            <w:tcMar>
              <w:top w:w="25" w:type="dxa"/>
              <w:start w:w="70" w:type="dxa"/>
              <w:bottom w:w="25" w:type="dxa"/>
              <w:end w:w="70" w:type="dxa"/>
            </w:tcMar>
            <w:shd w:fill="F3F6F8"/>
          </w:tcPr>
          <w:p>
            <w:pPr>
              <w:spacing w:after="0" w:before="0" w:line="240" w:lineRule="auto"/>
            </w:pPr>
            <w:r/>
            <w:r>
              <w:rPr>
                <w:rFonts w:ascii="Aptos" w:hAnsi="Aptos"/>
                <w:b w:val="0"/>
                <w:sz w:val="14"/>
              </w:rPr>
              <w:t>Reserva para interconexión redundante 10G y accesorios. No incluye cableado estructurado ni mano de obra. [7]</w:t>
            </w:r>
          </w:p>
        </w:tc>
        <w:tc>
          <w:tcPr>
            <w:tcW w:type="dxa" w:w="737"/>
            <w:vAlign w:val="center"/>
            <w:tcMar>
              <w:top w:w="25" w:type="dxa"/>
              <w:start w:w="70" w:type="dxa"/>
              <w:bottom w:w="25" w:type="dxa"/>
              <w:end w:w="70" w:type="dxa"/>
            </w:tcMar>
            <w:shd w:fill="F3F6F8"/>
          </w:tcPr>
          <w:p>
            <w:pPr>
              <w:spacing w:after="0" w:before="0" w:line="240" w:lineRule="auto"/>
            </w:pPr>
            <w:r/>
            <w:r>
              <w:rPr>
                <w:rFonts w:ascii="Aptos" w:hAnsi="Aptos"/>
                <w:b w:val="0"/>
                <w:sz w:val="14"/>
              </w:rPr>
              <w:t>1 lote</w:t>
            </w:r>
          </w:p>
        </w:tc>
        <w:tc>
          <w:tcPr>
            <w:tcW w:type="dxa" w:w="1191"/>
            <w:vAlign w:val="center"/>
            <w:tcMar>
              <w:top w:w="25" w:type="dxa"/>
              <w:start w:w="70" w:type="dxa"/>
              <w:bottom w:w="25" w:type="dxa"/>
              <w:end w:w="70" w:type="dxa"/>
            </w:tcMar>
            <w:shd w:fill="F3F6F8"/>
          </w:tcPr>
          <w:p>
            <w:pPr>
              <w:spacing w:after="0" w:before="0" w:line="240" w:lineRule="auto"/>
            </w:pPr>
            <w:r/>
            <w:r>
              <w:rPr>
                <w:rFonts w:ascii="Aptos" w:hAnsi="Aptos"/>
                <w:b w:val="0"/>
                <w:sz w:val="14"/>
              </w:rPr>
              <w:t>1.200 €</w:t>
            </w:r>
          </w:p>
        </w:tc>
        <w:tc>
          <w:tcPr>
            <w:tcW w:type="dxa" w:w="1134"/>
            <w:vAlign w:val="center"/>
            <w:tcMar>
              <w:top w:w="25" w:type="dxa"/>
              <w:start w:w="70" w:type="dxa"/>
              <w:bottom w:w="25" w:type="dxa"/>
              <w:end w:w="70" w:type="dxa"/>
            </w:tcMar>
            <w:shd w:fill="F3F6F8"/>
          </w:tcPr>
          <w:p>
            <w:pPr>
              <w:spacing w:after="0" w:before="0" w:line="240" w:lineRule="auto"/>
            </w:pPr>
            <w:r/>
            <w:r>
              <w:rPr>
                <w:rFonts w:ascii="Aptos" w:hAnsi="Aptos"/>
                <w:b w:val="0"/>
                <w:sz w:val="14"/>
              </w:rPr>
              <w:t>1.200 €</w:t>
            </w:r>
          </w:p>
        </w:tc>
      </w:tr>
    </w:tbl>
    <w:p>
      <w:pPr>
        <w:spacing w:after="20"/>
      </w:pP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835"/>
            <w:vAlign w:val="center"/>
            <w:tcMar>
              <w:top w:w="60" w:type="dxa"/>
              <w:start w:w="70" w:type="dxa"/>
              <w:bottom w:w="60" w:type="dxa"/>
              <w:end w:w="70" w:type="dxa"/>
            </w:tcMar>
            <w:shd w:fill="#17324D"/>
          </w:tcPr>
          <w:p>
            <w:pPr>
              <w:spacing w:after="0" w:before="0" w:line="240" w:lineRule="auto"/>
            </w:pPr>
            <w:r/>
            <w:r>
              <w:rPr>
                <w:rFonts w:ascii="Aptos" w:hAnsi="Aptos"/>
                <w:b/>
                <w:color w:val="FFFFFF"/>
                <w:sz w:val="16"/>
              </w:rPr>
              <w:t>Resumen CAPEX</w:t>
            </w:r>
          </w:p>
        </w:tc>
        <w:tc>
          <w:tcPr>
            <w:tcW w:type="dxa" w:w="1701"/>
            <w:vAlign w:val="center"/>
            <w:tcMar>
              <w:top w:w="60" w:type="dxa"/>
              <w:start w:w="70" w:type="dxa"/>
              <w:bottom w:w="60" w:type="dxa"/>
              <w:end w:w="70" w:type="dxa"/>
            </w:tcMar>
            <w:shd w:fill="#17324D"/>
          </w:tcPr>
          <w:p>
            <w:pPr>
              <w:spacing w:after="0" w:before="0" w:line="240" w:lineRule="auto"/>
            </w:pPr>
            <w:r/>
            <w:r>
              <w:rPr>
                <w:rFonts w:ascii="Aptos" w:hAnsi="Aptos"/>
                <w:b/>
                <w:color w:val="FFFFFF"/>
                <w:sz w:val="16"/>
              </w:rPr>
              <w:t>Importe estimado</w:t>
            </w:r>
          </w:p>
        </w:tc>
        <w:tc>
          <w:tcPr>
            <w:tcW w:type="dxa" w:w="5386"/>
            <w:vAlign w:val="center"/>
            <w:tcMar>
              <w:top w:w="60" w:type="dxa"/>
              <w:start w:w="70" w:type="dxa"/>
              <w:bottom w:w="60" w:type="dxa"/>
              <w:end w:w="70" w:type="dxa"/>
            </w:tcMar>
            <w:shd w:fill="#17324D"/>
          </w:tcPr>
          <w:p>
            <w:pPr>
              <w:spacing w:after="0" w:before="0" w:line="240" w:lineRule="auto"/>
            </w:pPr>
            <w:r/>
            <w:r>
              <w:rPr>
                <w:rFonts w:ascii="Aptos" w:hAnsi="Aptos"/>
                <w:b/>
                <w:color w:val="FFFFFF"/>
                <w:sz w:val="16"/>
              </w:rPr>
              <w:t>Qué incluye</w:t>
            </w:r>
          </w:p>
        </w:tc>
      </w:tr>
      <w:tr>
        <w:trPr>
          <w:cantSplit/>
        </w:trPr>
        <w:tc>
          <w:tcPr>
            <w:tcW w:type="dxa" w:w="2835"/>
            <w:vAlign w:val="center"/>
            <w:tcMar>
              <w:top w:w="60" w:type="dxa"/>
              <w:start w:w="70" w:type="dxa"/>
              <w:bottom w:w="60" w:type="dxa"/>
              <w:end w:w="70" w:type="dxa"/>
            </w:tcMar>
          </w:tcPr>
          <w:p>
            <w:pPr>
              <w:spacing w:after="0" w:before="0" w:line="240" w:lineRule="auto"/>
            </w:pPr>
            <w:r/>
            <w:r>
              <w:rPr>
                <w:rFonts w:ascii="Aptos" w:hAnsi="Aptos"/>
                <w:b w:val="0"/>
                <w:sz w:val="16"/>
              </w:rPr>
              <w:t>Equipamiento completo del escenario local</w:t>
            </w:r>
          </w:p>
        </w:tc>
        <w:tc>
          <w:tcPr>
            <w:tcW w:type="dxa" w:w="1701"/>
            <w:vAlign w:val="center"/>
            <w:tcMar>
              <w:top w:w="60" w:type="dxa"/>
              <w:start w:w="70" w:type="dxa"/>
              <w:bottom w:w="60" w:type="dxa"/>
              <w:end w:w="70" w:type="dxa"/>
            </w:tcMar>
          </w:tcPr>
          <w:p>
            <w:pPr>
              <w:spacing w:after="0" w:before="0" w:line="240" w:lineRule="auto"/>
            </w:pPr>
            <w:r/>
            <w:r>
              <w:rPr>
                <w:rFonts w:ascii="Aptos" w:hAnsi="Aptos"/>
                <w:b w:val="0"/>
                <w:sz w:val="16"/>
              </w:rPr>
              <w:t>69.677 €</w:t>
            </w:r>
          </w:p>
        </w:tc>
        <w:tc>
          <w:tcPr>
            <w:tcW w:type="dxa" w:w="5386"/>
            <w:vAlign w:val="center"/>
            <w:tcMar>
              <w:top w:w="60" w:type="dxa"/>
              <w:start w:w="70" w:type="dxa"/>
              <w:bottom w:w="60" w:type="dxa"/>
              <w:end w:w="70" w:type="dxa"/>
            </w:tcMar>
          </w:tcPr>
          <w:p>
            <w:pPr>
              <w:spacing w:after="0" w:before="0" w:line="240" w:lineRule="auto"/>
            </w:pPr>
            <w:r/>
            <w:r>
              <w:rPr>
                <w:rFonts w:ascii="Aptos" w:hAnsi="Aptos"/>
                <w:b w:val="0"/>
                <w:sz w:val="16"/>
              </w:rPr>
              <w:t>Servidores, NAS y discos, NVR, cortafuegos, switches, AP, SAI, rack, climatización y elementos ópticos.</w:t>
            </w:r>
          </w:p>
        </w:tc>
      </w:tr>
      <w:tr>
        <w:trPr>
          <w:cantSplit/>
        </w:trPr>
        <w:tc>
          <w:tcPr>
            <w:tcW w:type="dxa" w:w="2835"/>
            <w:vAlign w:val="center"/>
            <w:tcMar>
              <w:top w:w="60" w:type="dxa"/>
              <w:start w:w="70" w:type="dxa"/>
              <w:bottom w:w="60" w:type="dxa"/>
              <w:end w:w="70" w:type="dxa"/>
            </w:tcMar>
            <w:shd w:fill="F3F6F8"/>
          </w:tcPr>
          <w:p>
            <w:pPr>
              <w:spacing w:after="0" w:before="0" w:line="240" w:lineRule="auto"/>
            </w:pPr>
            <w:r/>
            <w:r>
              <w:rPr>
                <w:rFonts w:ascii="Aptos" w:hAnsi="Aptos"/>
                <w:b w:val="0"/>
                <w:sz w:val="16"/>
              </w:rPr>
              <w:t>Recursos comunes conservados en AWS</w:t>
            </w:r>
          </w:p>
        </w:tc>
        <w:tc>
          <w:tcPr>
            <w:tcW w:type="dxa" w:w="1701"/>
            <w:vAlign w:val="center"/>
            <w:tcMar>
              <w:top w:w="60" w:type="dxa"/>
              <w:start w:w="70" w:type="dxa"/>
              <w:bottom w:w="60" w:type="dxa"/>
              <w:end w:w="70" w:type="dxa"/>
            </w:tcMar>
            <w:shd w:fill="F3F6F8"/>
          </w:tcPr>
          <w:p>
            <w:pPr>
              <w:spacing w:after="0" w:before="0" w:line="240" w:lineRule="auto"/>
            </w:pPr>
            <w:r/>
            <w:r>
              <w:rPr>
                <w:rFonts w:ascii="Aptos" w:hAnsi="Aptos"/>
                <w:b w:val="0"/>
                <w:sz w:val="16"/>
              </w:rPr>
              <w:t>36.517 €</w:t>
            </w:r>
          </w:p>
        </w:tc>
        <w:tc>
          <w:tcPr>
            <w:tcW w:type="dxa" w:w="5386"/>
            <w:vAlign w:val="center"/>
            <w:tcMar>
              <w:top w:w="60" w:type="dxa"/>
              <w:start w:w="70" w:type="dxa"/>
              <w:bottom w:w="60" w:type="dxa"/>
              <w:end w:w="70" w:type="dxa"/>
            </w:tcMar>
            <w:shd w:fill="F3F6F8"/>
          </w:tcPr>
          <w:p>
            <w:pPr>
              <w:spacing w:after="0" w:before="0" w:line="240" w:lineRule="auto"/>
            </w:pPr>
            <w:r/>
            <w:r>
              <w:rPr>
                <w:rFonts w:ascii="Aptos" w:hAnsi="Aptos"/>
                <w:b w:val="0"/>
                <w:sz w:val="16"/>
              </w:rPr>
              <w:t>Red, Wi-Fi, NGFW, NVR y discos, SAI, rack, climatización y accesorios de red; se presupuestan también en el escenario cloud.</w:t>
            </w:r>
          </w:p>
        </w:tc>
      </w:tr>
      <w:tr>
        <w:trPr>
          <w:cantSplit/>
        </w:trPr>
        <w:tc>
          <w:tcPr>
            <w:tcW w:type="dxa" w:w="2835"/>
            <w:vAlign w:val="center"/>
            <w:tcMar>
              <w:top w:w="60" w:type="dxa"/>
              <w:start w:w="70" w:type="dxa"/>
              <w:bottom w:w="60" w:type="dxa"/>
              <w:end w:w="70" w:type="dxa"/>
            </w:tcMar>
          </w:tcPr>
          <w:p>
            <w:pPr>
              <w:spacing w:after="0" w:before="0" w:line="240" w:lineRule="auto"/>
            </w:pPr>
            <w:r/>
            <w:r>
              <w:rPr>
                <w:rFonts w:ascii="Aptos" w:hAnsi="Aptos"/>
                <w:b w:val="0"/>
                <w:sz w:val="16"/>
              </w:rPr>
              <w:t>CAPEX exclusivo del CPD de cómputo/almacenamiento</w:t>
            </w:r>
          </w:p>
        </w:tc>
        <w:tc>
          <w:tcPr>
            <w:tcW w:type="dxa" w:w="1701"/>
            <w:vAlign w:val="center"/>
            <w:tcMar>
              <w:top w:w="60" w:type="dxa"/>
              <w:start w:w="70" w:type="dxa"/>
              <w:bottom w:w="60" w:type="dxa"/>
              <w:end w:w="70" w:type="dxa"/>
            </w:tcMar>
          </w:tcPr>
          <w:p>
            <w:pPr>
              <w:spacing w:after="0" w:before="0" w:line="240" w:lineRule="auto"/>
            </w:pPr>
            <w:r/>
            <w:r>
              <w:rPr>
                <w:rFonts w:ascii="Aptos" w:hAnsi="Aptos"/>
                <w:b w:val="0"/>
                <w:sz w:val="16"/>
              </w:rPr>
              <w:t>33.160 €</w:t>
            </w:r>
          </w:p>
        </w:tc>
        <w:tc>
          <w:tcPr>
            <w:tcW w:type="dxa" w:w="5386"/>
            <w:vAlign w:val="center"/>
            <w:tcMar>
              <w:top w:w="60" w:type="dxa"/>
              <w:start w:w="70" w:type="dxa"/>
              <w:bottom w:w="60" w:type="dxa"/>
              <w:end w:w="70" w:type="dxa"/>
            </w:tcMar>
          </w:tcPr>
          <w:p>
            <w:pPr>
              <w:spacing w:after="0" w:before="0" w:line="240" w:lineRule="auto"/>
            </w:pPr>
            <w:r/>
            <w:r>
              <w:rPr>
                <w:rFonts w:ascii="Aptos" w:hAnsi="Aptos"/>
                <w:b w:val="0"/>
                <w:sz w:val="16"/>
              </w:rPr>
              <w:t>Tres nodos de virtualización, dos chasis NAS y 16 discos NAS. Este es el desembolso inicial que evita principalmente la alternativa AWS.</w:t>
            </w:r>
          </w:p>
        </w:tc>
      </w:tr>
    </w:tbl>
    <w:p>
      <w:pPr>
        <w:spacing w:after="20"/>
      </w:pPr>
    </w:p>
    <w:tbl>
      <w:tblPr>
        <w:tblW w:type="auto" w:w="0"/>
        <w:jc w:val="center"/>
        <w:tblLook w:firstColumn="1" w:firstRow="1" w:lastColumn="0" w:lastRow="0" w:noHBand="0" w:noVBand="1" w:val="04A0"/>
      </w:tblPr>
      <w:tblGrid>
        <w:gridCol w:w="10200"/>
      </w:tblGrid>
      <w:tr>
        <w:trPr>
          <w:cantSplit/>
        </w:trPr>
        <w:tc>
          <w:tcPr>
            <w:tcW w:type="dxa" w:w="10200"/>
            <w:shd w:fill="EAF1F6"/>
            <w:tcMar>
              <w:top w:w="100" w:type="dxa"/>
              <w:start w:w="130" w:type="dxa"/>
              <w:bottom w:w="100" w:type="dxa"/>
              <w:end w:w="130" w:type="dxa"/>
            </w:tcMar>
          </w:tcPr>
          <w:p>
            <w:pPr>
              <w:spacing w:after="0"/>
            </w:pPr>
            <w:r/>
            <w:r>
              <w:rPr>
                <w:color w:val="264255"/>
                <w:sz w:val="17"/>
              </w:rPr>
              <w:t>Capacidad y límites de la estimación: cada NAS incorpora 8 discos de 8 TB; RAID 6 deja unos 48 TB útiles nominales por NAS antes de diferencias TB/TiB y espacio reservado. Es suficiente para los 15–20 TB iniciales y una segunda copia, pero RAID no sustituye una copia externa. Los 7.500 € por servidor son una provisión para memoria, SSD redundantes y red apropiada; debe validarse con una cotización real, igual que las partidas de rack, ópticas y climatización.</w:t>
            </w:r>
          </w:p>
        </w:tc>
      </w:tr>
    </w:tbl>
    <w:p>
      <w:pPr>
        <w:spacing w:after="20"/>
      </w:pPr>
    </w:p>
    <w:p>
      <w:pPr>
        <w:pStyle w:val="Heading2"/>
      </w:pPr>
      <w:r>
        <w:t>4.2. B. Costes de funcionamiento (OPEX): consumo eléctrico</w:t>
      </w:r>
    </w:p>
    <w:p>
      <w:r>
        <w:rPr>
          <w:i w:val="0"/>
        </w:rPr>
        <w:t>Se estima la potencia media de funcionamiento de cada componente, no la suma de los máximos nominales de las fuentes de alimentación. En los switches PoE se cuenta su consumo base y se calcula por separado la potencia de los puntos de acceso alimentados por ellos, para no duplicarla. Se incorpora una estimación de pérdidas del SAI y del consumo de climatización dedicado a la sala.</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3969"/>
            <w:vAlign w:val="center"/>
            <w:tcMar>
              <w:top w:w="60" w:type="dxa"/>
              <w:start w:w="70" w:type="dxa"/>
              <w:bottom w:w="60" w:type="dxa"/>
              <w:end w:w="70" w:type="dxa"/>
            </w:tcMar>
            <w:shd w:fill="#17324D"/>
          </w:tcPr>
          <w:p>
            <w:pPr>
              <w:spacing w:after="0" w:before="0" w:line="240" w:lineRule="auto"/>
            </w:pPr>
            <w:r/>
            <w:r>
              <w:rPr>
                <w:rFonts w:ascii="Aptos" w:hAnsi="Aptos"/>
                <w:b/>
                <w:color w:val="FFFFFF"/>
                <w:sz w:val="16"/>
              </w:rPr>
              <w:t>Equipo</w:t>
            </w:r>
          </w:p>
        </w:tc>
        <w:tc>
          <w:tcPr>
            <w:tcW w:type="dxa" w:w="1134"/>
            <w:vAlign w:val="center"/>
            <w:tcMar>
              <w:top w:w="60" w:type="dxa"/>
              <w:start w:w="70" w:type="dxa"/>
              <w:bottom w:w="60" w:type="dxa"/>
              <w:end w:w="70" w:type="dxa"/>
            </w:tcMar>
            <w:shd w:fill="#17324D"/>
          </w:tcPr>
          <w:p>
            <w:pPr>
              <w:spacing w:after="0" w:before="0" w:line="240" w:lineRule="auto"/>
            </w:pPr>
            <w:r/>
            <w:r>
              <w:rPr>
                <w:rFonts w:ascii="Aptos" w:hAnsi="Aptos"/>
                <w:b/>
                <w:color w:val="FFFFFF"/>
                <w:sz w:val="16"/>
              </w:rPr>
              <w:t>Unidades</w:t>
            </w:r>
          </w:p>
        </w:tc>
        <w:tc>
          <w:tcPr>
            <w:tcW w:type="dxa" w:w="2438"/>
            <w:vAlign w:val="center"/>
            <w:tcMar>
              <w:top w:w="60" w:type="dxa"/>
              <w:start w:w="70" w:type="dxa"/>
              <w:bottom w:w="60" w:type="dxa"/>
              <w:end w:w="70" w:type="dxa"/>
            </w:tcMar>
            <w:shd w:fill="#17324D"/>
          </w:tcPr>
          <w:p>
            <w:pPr>
              <w:spacing w:after="0" w:before="0" w:line="240" w:lineRule="auto"/>
            </w:pPr>
            <w:r/>
            <w:r>
              <w:rPr>
                <w:rFonts w:ascii="Aptos" w:hAnsi="Aptos"/>
                <w:b/>
                <w:color w:val="FFFFFF"/>
                <w:sz w:val="16"/>
              </w:rPr>
              <w:t>Potencia media estimada/unidad</w:t>
            </w:r>
          </w:p>
        </w:tc>
        <w:tc>
          <w:tcPr>
            <w:tcW w:type="dxa" w:w="2381"/>
            <w:vAlign w:val="center"/>
            <w:tcMar>
              <w:top w:w="60" w:type="dxa"/>
              <w:start w:w="70" w:type="dxa"/>
              <w:bottom w:w="60" w:type="dxa"/>
              <w:end w:w="70" w:type="dxa"/>
            </w:tcMar>
            <w:shd w:fill="#17324D"/>
          </w:tcPr>
          <w:p>
            <w:pPr>
              <w:spacing w:after="0" w:before="0" w:line="240" w:lineRule="auto"/>
            </w:pPr>
            <w:r/>
            <w:r>
              <w:rPr>
                <w:rFonts w:ascii="Aptos" w:hAnsi="Aptos"/>
                <w:b/>
                <w:color w:val="FFFFFF"/>
                <w:sz w:val="16"/>
              </w:rPr>
              <w:t>Potencia total</w:t>
            </w:r>
          </w:p>
        </w:tc>
      </w:tr>
      <w:tr>
        <w:trPr>
          <w:cantSplit/>
        </w:trPr>
        <w:tc>
          <w:tcPr>
            <w:tcW w:type="dxa" w:w="3969"/>
            <w:vAlign w:val="center"/>
            <w:tcMar>
              <w:top w:w="60" w:type="dxa"/>
              <w:start w:w="70" w:type="dxa"/>
              <w:bottom w:w="60" w:type="dxa"/>
              <w:end w:w="70" w:type="dxa"/>
            </w:tcMar>
          </w:tcPr>
          <w:p>
            <w:pPr>
              <w:spacing w:after="0" w:before="0" w:line="240" w:lineRule="auto"/>
            </w:pPr>
            <w:r/>
            <w:r>
              <w:rPr>
                <w:rFonts w:ascii="Aptos" w:hAnsi="Aptos"/>
                <w:b w:val="0"/>
                <w:sz w:val="16"/>
              </w:rPr>
              <w:t>Servidores de virtualización</w:t>
            </w:r>
          </w:p>
        </w:tc>
        <w:tc>
          <w:tcPr>
            <w:tcW w:type="dxa" w:w="1134"/>
            <w:vAlign w:val="center"/>
            <w:tcMar>
              <w:top w:w="60" w:type="dxa"/>
              <w:start w:w="70" w:type="dxa"/>
              <w:bottom w:w="60" w:type="dxa"/>
              <w:end w:w="70" w:type="dxa"/>
            </w:tcMar>
          </w:tcPr>
          <w:p>
            <w:pPr>
              <w:spacing w:after="0" w:before="0" w:line="240" w:lineRule="auto"/>
            </w:pPr>
            <w:r/>
            <w:r>
              <w:rPr>
                <w:rFonts w:ascii="Aptos" w:hAnsi="Aptos"/>
                <w:b w:val="0"/>
                <w:sz w:val="16"/>
              </w:rPr>
              <w:t>3</w:t>
            </w:r>
          </w:p>
        </w:tc>
        <w:tc>
          <w:tcPr>
            <w:tcW w:type="dxa" w:w="2438"/>
            <w:vAlign w:val="center"/>
            <w:tcMar>
              <w:top w:w="60" w:type="dxa"/>
              <w:start w:w="70" w:type="dxa"/>
              <w:bottom w:w="60" w:type="dxa"/>
              <w:end w:w="70" w:type="dxa"/>
            </w:tcMar>
          </w:tcPr>
          <w:p>
            <w:pPr>
              <w:spacing w:after="0" w:before="0" w:line="240" w:lineRule="auto"/>
            </w:pPr>
            <w:r/>
            <w:r>
              <w:rPr>
                <w:rFonts w:ascii="Aptos" w:hAnsi="Aptos"/>
                <w:b w:val="0"/>
                <w:sz w:val="16"/>
              </w:rPr>
              <w:t>250 W</w:t>
            </w:r>
          </w:p>
        </w:tc>
        <w:tc>
          <w:tcPr>
            <w:tcW w:type="dxa" w:w="2381"/>
            <w:vAlign w:val="center"/>
            <w:tcMar>
              <w:top w:w="60" w:type="dxa"/>
              <w:start w:w="70" w:type="dxa"/>
              <w:bottom w:w="60" w:type="dxa"/>
              <w:end w:w="70" w:type="dxa"/>
            </w:tcMar>
          </w:tcPr>
          <w:p>
            <w:pPr>
              <w:spacing w:after="0" w:before="0" w:line="240" w:lineRule="auto"/>
            </w:pPr>
            <w:r/>
            <w:r>
              <w:rPr>
                <w:rFonts w:ascii="Aptos" w:hAnsi="Aptos"/>
                <w:b w:val="0"/>
                <w:sz w:val="16"/>
              </w:rPr>
              <w:t>750 W</w:t>
            </w:r>
          </w:p>
        </w:tc>
      </w:tr>
      <w:tr>
        <w:trPr>
          <w:cantSplit/>
        </w:trPr>
        <w:tc>
          <w:tcPr>
            <w:tcW w:type="dxa" w:w="3969"/>
            <w:vAlign w:val="center"/>
            <w:tcMar>
              <w:top w:w="60" w:type="dxa"/>
              <w:start w:w="70" w:type="dxa"/>
              <w:bottom w:w="60" w:type="dxa"/>
              <w:end w:w="70" w:type="dxa"/>
            </w:tcMar>
            <w:shd w:fill="F3F6F8"/>
          </w:tcPr>
          <w:p>
            <w:pPr>
              <w:spacing w:after="0" w:before="0" w:line="240" w:lineRule="auto"/>
            </w:pPr>
            <w:r/>
            <w:r>
              <w:rPr>
                <w:rFonts w:ascii="Aptos" w:hAnsi="Aptos"/>
                <w:b w:val="0"/>
                <w:sz w:val="16"/>
              </w:rPr>
              <w:t>NAS con discos instalados</w:t>
            </w:r>
          </w:p>
        </w:tc>
        <w:tc>
          <w:tcPr>
            <w:tcW w:type="dxa" w:w="1134"/>
            <w:vAlign w:val="center"/>
            <w:tcMar>
              <w:top w:w="60" w:type="dxa"/>
              <w:start w:w="70" w:type="dxa"/>
              <w:bottom w:w="60" w:type="dxa"/>
              <w:end w:w="70" w:type="dxa"/>
            </w:tcMar>
            <w:shd w:fill="F3F6F8"/>
          </w:tcPr>
          <w:p>
            <w:pPr>
              <w:spacing w:after="0" w:before="0" w:line="240" w:lineRule="auto"/>
            </w:pPr>
            <w:r/>
            <w:r>
              <w:rPr>
                <w:rFonts w:ascii="Aptos" w:hAnsi="Aptos"/>
                <w:b w:val="0"/>
                <w:sz w:val="16"/>
              </w:rPr>
              <w:t>2</w:t>
            </w:r>
          </w:p>
        </w:tc>
        <w:tc>
          <w:tcPr>
            <w:tcW w:type="dxa" w:w="2438"/>
            <w:vAlign w:val="center"/>
            <w:tcMar>
              <w:top w:w="60" w:type="dxa"/>
              <w:start w:w="70" w:type="dxa"/>
              <w:bottom w:w="60" w:type="dxa"/>
              <w:end w:w="70" w:type="dxa"/>
            </w:tcMar>
            <w:shd w:fill="F3F6F8"/>
          </w:tcPr>
          <w:p>
            <w:pPr>
              <w:spacing w:after="0" w:before="0" w:line="240" w:lineRule="auto"/>
            </w:pPr>
            <w:r/>
            <w:r>
              <w:rPr>
                <w:rFonts w:ascii="Aptos" w:hAnsi="Aptos"/>
                <w:b w:val="0"/>
                <w:sz w:val="16"/>
              </w:rPr>
              <w:t>120 W</w:t>
            </w:r>
          </w:p>
        </w:tc>
        <w:tc>
          <w:tcPr>
            <w:tcW w:type="dxa" w:w="2381"/>
            <w:vAlign w:val="center"/>
            <w:tcMar>
              <w:top w:w="60" w:type="dxa"/>
              <w:start w:w="70" w:type="dxa"/>
              <w:bottom w:w="60" w:type="dxa"/>
              <w:end w:w="70" w:type="dxa"/>
            </w:tcMar>
            <w:shd w:fill="F3F6F8"/>
          </w:tcPr>
          <w:p>
            <w:pPr>
              <w:spacing w:after="0" w:before="0" w:line="240" w:lineRule="auto"/>
            </w:pPr>
            <w:r/>
            <w:r>
              <w:rPr>
                <w:rFonts w:ascii="Aptos" w:hAnsi="Aptos"/>
                <w:b w:val="0"/>
                <w:sz w:val="16"/>
              </w:rPr>
              <w:t>240 W</w:t>
            </w:r>
          </w:p>
        </w:tc>
      </w:tr>
      <w:tr>
        <w:trPr>
          <w:cantSplit/>
        </w:trPr>
        <w:tc>
          <w:tcPr>
            <w:tcW w:type="dxa" w:w="3969"/>
            <w:vAlign w:val="center"/>
            <w:tcMar>
              <w:top w:w="60" w:type="dxa"/>
              <w:start w:w="70" w:type="dxa"/>
              <w:bottom w:w="60" w:type="dxa"/>
              <w:end w:w="70" w:type="dxa"/>
            </w:tcMar>
          </w:tcPr>
          <w:p>
            <w:pPr>
              <w:spacing w:after="0" w:before="0" w:line="240" w:lineRule="auto"/>
            </w:pPr>
            <w:r/>
            <w:r>
              <w:rPr>
                <w:rFonts w:ascii="Aptos" w:hAnsi="Aptos"/>
                <w:b w:val="0"/>
                <w:sz w:val="16"/>
              </w:rPr>
              <w:t>NVR con discos</w:t>
            </w:r>
          </w:p>
        </w:tc>
        <w:tc>
          <w:tcPr>
            <w:tcW w:type="dxa" w:w="1134"/>
            <w:vAlign w:val="center"/>
            <w:tcMar>
              <w:top w:w="60" w:type="dxa"/>
              <w:start w:w="70" w:type="dxa"/>
              <w:bottom w:w="60" w:type="dxa"/>
              <w:end w:w="70" w:type="dxa"/>
            </w:tcMar>
          </w:tcPr>
          <w:p>
            <w:pPr>
              <w:spacing w:after="0" w:before="0" w:line="240" w:lineRule="auto"/>
            </w:pPr>
            <w:r/>
            <w:r>
              <w:rPr>
                <w:rFonts w:ascii="Aptos" w:hAnsi="Aptos"/>
                <w:b w:val="0"/>
                <w:sz w:val="16"/>
              </w:rPr>
              <w:t>1</w:t>
            </w:r>
          </w:p>
        </w:tc>
        <w:tc>
          <w:tcPr>
            <w:tcW w:type="dxa" w:w="2438"/>
            <w:vAlign w:val="center"/>
            <w:tcMar>
              <w:top w:w="60" w:type="dxa"/>
              <w:start w:w="70" w:type="dxa"/>
              <w:bottom w:w="60" w:type="dxa"/>
              <w:end w:w="70" w:type="dxa"/>
            </w:tcMar>
          </w:tcPr>
          <w:p>
            <w:pPr>
              <w:spacing w:after="0" w:before="0" w:line="240" w:lineRule="auto"/>
            </w:pPr>
            <w:r/>
            <w:r>
              <w:rPr>
                <w:rFonts w:ascii="Aptos" w:hAnsi="Aptos"/>
                <w:b w:val="0"/>
                <w:sz w:val="16"/>
              </w:rPr>
              <w:t>100 W</w:t>
            </w:r>
          </w:p>
        </w:tc>
        <w:tc>
          <w:tcPr>
            <w:tcW w:type="dxa" w:w="2381"/>
            <w:vAlign w:val="center"/>
            <w:tcMar>
              <w:top w:w="60" w:type="dxa"/>
              <w:start w:w="70" w:type="dxa"/>
              <w:bottom w:w="60" w:type="dxa"/>
              <w:end w:w="70" w:type="dxa"/>
            </w:tcMar>
          </w:tcPr>
          <w:p>
            <w:pPr>
              <w:spacing w:after="0" w:before="0" w:line="240" w:lineRule="auto"/>
            </w:pPr>
            <w:r/>
            <w:r>
              <w:rPr>
                <w:rFonts w:ascii="Aptos" w:hAnsi="Aptos"/>
                <w:b w:val="0"/>
                <w:sz w:val="16"/>
              </w:rPr>
              <w:t>100 W</w:t>
            </w:r>
          </w:p>
        </w:tc>
      </w:tr>
      <w:tr>
        <w:trPr>
          <w:cantSplit/>
        </w:trPr>
        <w:tc>
          <w:tcPr>
            <w:tcW w:type="dxa" w:w="3969"/>
            <w:vAlign w:val="center"/>
            <w:tcMar>
              <w:top w:w="60" w:type="dxa"/>
              <w:start w:w="70" w:type="dxa"/>
              <w:bottom w:w="60" w:type="dxa"/>
              <w:end w:w="70" w:type="dxa"/>
            </w:tcMar>
            <w:shd w:fill="F3F6F8"/>
          </w:tcPr>
          <w:p>
            <w:pPr>
              <w:spacing w:after="0" w:before="0" w:line="240" w:lineRule="auto"/>
            </w:pPr>
            <w:r/>
            <w:r>
              <w:rPr>
                <w:rFonts w:ascii="Aptos" w:hAnsi="Aptos"/>
                <w:b w:val="0"/>
                <w:sz w:val="16"/>
              </w:rPr>
              <w:t>Cortafuegos NGFW</w:t>
            </w:r>
          </w:p>
        </w:tc>
        <w:tc>
          <w:tcPr>
            <w:tcW w:type="dxa" w:w="1134"/>
            <w:vAlign w:val="center"/>
            <w:tcMar>
              <w:top w:w="60" w:type="dxa"/>
              <w:start w:w="70" w:type="dxa"/>
              <w:bottom w:w="60" w:type="dxa"/>
              <w:end w:w="70" w:type="dxa"/>
            </w:tcMar>
            <w:shd w:fill="F3F6F8"/>
          </w:tcPr>
          <w:p>
            <w:pPr>
              <w:spacing w:after="0" w:before="0" w:line="240" w:lineRule="auto"/>
            </w:pPr>
            <w:r/>
            <w:r>
              <w:rPr>
                <w:rFonts w:ascii="Aptos" w:hAnsi="Aptos"/>
                <w:b w:val="0"/>
                <w:sz w:val="16"/>
              </w:rPr>
              <w:t>2</w:t>
            </w:r>
          </w:p>
        </w:tc>
        <w:tc>
          <w:tcPr>
            <w:tcW w:type="dxa" w:w="2438"/>
            <w:vAlign w:val="center"/>
            <w:tcMar>
              <w:top w:w="60" w:type="dxa"/>
              <w:start w:w="70" w:type="dxa"/>
              <w:bottom w:w="60" w:type="dxa"/>
              <w:end w:w="70" w:type="dxa"/>
            </w:tcMar>
            <w:shd w:fill="F3F6F8"/>
          </w:tcPr>
          <w:p>
            <w:pPr>
              <w:spacing w:after="0" w:before="0" w:line="240" w:lineRule="auto"/>
            </w:pPr>
            <w:r/>
            <w:r>
              <w:rPr>
                <w:rFonts w:ascii="Aptos" w:hAnsi="Aptos"/>
                <w:b w:val="0"/>
                <w:sz w:val="16"/>
              </w:rPr>
              <w:t>40 W</w:t>
            </w:r>
          </w:p>
        </w:tc>
        <w:tc>
          <w:tcPr>
            <w:tcW w:type="dxa" w:w="2381"/>
            <w:vAlign w:val="center"/>
            <w:tcMar>
              <w:top w:w="60" w:type="dxa"/>
              <w:start w:w="70" w:type="dxa"/>
              <w:bottom w:w="60" w:type="dxa"/>
              <w:end w:w="70" w:type="dxa"/>
            </w:tcMar>
            <w:shd w:fill="F3F6F8"/>
          </w:tcPr>
          <w:p>
            <w:pPr>
              <w:spacing w:after="0" w:before="0" w:line="240" w:lineRule="auto"/>
            </w:pPr>
            <w:r/>
            <w:r>
              <w:rPr>
                <w:rFonts w:ascii="Aptos" w:hAnsi="Aptos"/>
                <w:b w:val="0"/>
                <w:sz w:val="16"/>
              </w:rPr>
              <w:t>80 W</w:t>
            </w:r>
          </w:p>
        </w:tc>
      </w:tr>
      <w:tr>
        <w:trPr>
          <w:cantSplit/>
        </w:trPr>
        <w:tc>
          <w:tcPr>
            <w:tcW w:type="dxa" w:w="3969"/>
            <w:vAlign w:val="center"/>
            <w:tcMar>
              <w:top w:w="60" w:type="dxa"/>
              <w:start w:w="70" w:type="dxa"/>
              <w:bottom w:w="60" w:type="dxa"/>
              <w:end w:w="70" w:type="dxa"/>
            </w:tcMar>
          </w:tcPr>
          <w:p>
            <w:pPr>
              <w:spacing w:after="0" w:before="0" w:line="240" w:lineRule="auto"/>
            </w:pPr>
            <w:r/>
            <w:r>
              <w:rPr>
                <w:rFonts w:ascii="Aptos" w:hAnsi="Aptos"/>
                <w:b w:val="0"/>
                <w:sz w:val="16"/>
              </w:rPr>
              <w:t>Switches de núcleo</w:t>
            </w:r>
          </w:p>
        </w:tc>
        <w:tc>
          <w:tcPr>
            <w:tcW w:type="dxa" w:w="1134"/>
            <w:vAlign w:val="center"/>
            <w:tcMar>
              <w:top w:w="60" w:type="dxa"/>
              <w:start w:w="70" w:type="dxa"/>
              <w:bottom w:w="60" w:type="dxa"/>
              <w:end w:w="70" w:type="dxa"/>
            </w:tcMar>
          </w:tcPr>
          <w:p>
            <w:pPr>
              <w:spacing w:after="0" w:before="0" w:line="240" w:lineRule="auto"/>
            </w:pPr>
            <w:r/>
            <w:r>
              <w:rPr>
                <w:rFonts w:ascii="Aptos" w:hAnsi="Aptos"/>
                <w:b w:val="0"/>
                <w:sz w:val="16"/>
              </w:rPr>
              <w:t>2</w:t>
            </w:r>
          </w:p>
        </w:tc>
        <w:tc>
          <w:tcPr>
            <w:tcW w:type="dxa" w:w="2438"/>
            <w:vAlign w:val="center"/>
            <w:tcMar>
              <w:top w:w="60" w:type="dxa"/>
              <w:start w:w="70" w:type="dxa"/>
              <w:bottom w:w="60" w:type="dxa"/>
              <w:end w:w="70" w:type="dxa"/>
            </w:tcMar>
          </w:tcPr>
          <w:p>
            <w:pPr>
              <w:spacing w:after="0" w:before="0" w:line="240" w:lineRule="auto"/>
            </w:pPr>
            <w:r/>
            <w:r>
              <w:rPr>
                <w:rFonts w:ascii="Aptos" w:hAnsi="Aptos"/>
                <w:b w:val="0"/>
                <w:sz w:val="16"/>
              </w:rPr>
              <w:t>45 W</w:t>
            </w:r>
          </w:p>
        </w:tc>
        <w:tc>
          <w:tcPr>
            <w:tcW w:type="dxa" w:w="2381"/>
            <w:vAlign w:val="center"/>
            <w:tcMar>
              <w:top w:w="60" w:type="dxa"/>
              <w:start w:w="70" w:type="dxa"/>
              <w:bottom w:w="60" w:type="dxa"/>
              <w:end w:w="70" w:type="dxa"/>
            </w:tcMar>
          </w:tcPr>
          <w:p>
            <w:pPr>
              <w:spacing w:after="0" w:before="0" w:line="240" w:lineRule="auto"/>
            </w:pPr>
            <w:r/>
            <w:r>
              <w:rPr>
                <w:rFonts w:ascii="Aptos" w:hAnsi="Aptos"/>
                <w:b w:val="0"/>
                <w:sz w:val="16"/>
              </w:rPr>
              <w:t>90 W</w:t>
            </w:r>
          </w:p>
        </w:tc>
      </w:tr>
      <w:tr>
        <w:trPr>
          <w:cantSplit/>
        </w:trPr>
        <w:tc>
          <w:tcPr>
            <w:tcW w:type="dxa" w:w="3969"/>
            <w:vAlign w:val="center"/>
            <w:tcMar>
              <w:top w:w="60" w:type="dxa"/>
              <w:start w:w="70" w:type="dxa"/>
              <w:bottom w:w="60" w:type="dxa"/>
              <w:end w:w="70" w:type="dxa"/>
            </w:tcMar>
            <w:shd w:fill="F3F6F8"/>
          </w:tcPr>
          <w:p>
            <w:pPr>
              <w:spacing w:after="0" w:before="0" w:line="240" w:lineRule="auto"/>
            </w:pPr>
            <w:r/>
            <w:r>
              <w:rPr>
                <w:rFonts w:ascii="Aptos" w:hAnsi="Aptos"/>
                <w:b w:val="0"/>
                <w:sz w:val="16"/>
              </w:rPr>
              <w:t>Switches de acceso PoE (consumo base, sin AP)</w:t>
            </w:r>
          </w:p>
        </w:tc>
        <w:tc>
          <w:tcPr>
            <w:tcW w:type="dxa" w:w="1134"/>
            <w:vAlign w:val="center"/>
            <w:tcMar>
              <w:top w:w="60" w:type="dxa"/>
              <w:start w:w="70" w:type="dxa"/>
              <w:bottom w:w="60" w:type="dxa"/>
              <w:end w:w="70" w:type="dxa"/>
            </w:tcMar>
            <w:shd w:fill="F3F6F8"/>
          </w:tcPr>
          <w:p>
            <w:pPr>
              <w:spacing w:after="0" w:before="0" w:line="240" w:lineRule="auto"/>
            </w:pPr>
            <w:r/>
            <w:r>
              <w:rPr>
                <w:rFonts w:ascii="Aptos" w:hAnsi="Aptos"/>
                <w:b w:val="0"/>
                <w:sz w:val="16"/>
              </w:rPr>
              <w:t>4</w:t>
            </w:r>
          </w:p>
        </w:tc>
        <w:tc>
          <w:tcPr>
            <w:tcW w:type="dxa" w:w="2438"/>
            <w:vAlign w:val="center"/>
            <w:tcMar>
              <w:top w:w="60" w:type="dxa"/>
              <w:start w:w="70" w:type="dxa"/>
              <w:bottom w:w="60" w:type="dxa"/>
              <w:end w:w="70" w:type="dxa"/>
            </w:tcMar>
            <w:shd w:fill="F3F6F8"/>
          </w:tcPr>
          <w:p>
            <w:pPr>
              <w:spacing w:after="0" w:before="0" w:line="240" w:lineRule="auto"/>
            </w:pPr>
            <w:r/>
            <w:r>
              <w:rPr>
                <w:rFonts w:ascii="Aptos" w:hAnsi="Aptos"/>
                <w:b w:val="0"/>
                <w:sz w:val="16"/>
              </w:rPr>
              <w:t>55 W</w:t>
            </w:r>
          </w:p>
        </w:tc>
        <w:tc>
          <w:tcPr>
            <w:tcW w:type="dxa" w:w="2381"/>
            <w:vAlign w:val="center"/>
            <w:tcMar>
              <w:top w:w="60" w:type="dxa"/>
              <w:start w:w="70" w:type="dxa"/>
              <w:bottom w:w="60" w:type="dxa"/>
              <w:end w:w="70" w:type="dxa"/>
            </w:tcMar>
            <w:shd w:fill="F3F6F8"/>
          </w:tcPr>
          <w:p>
            <w:pPr>
              <w:spacing w:after="0" w:before="0" w:line="240" w:lineRule="auto"/>
            </w:pPr>
            <w:r/>
            <w:r>
              <w:rPr>
                <w:rFonts w:ascii="Aptos" w:hAnsi="Aptos"/>
                <w:b w:val="0"/>
                <w:sz w:val="16"/>
              </w:rPr>
              <w:t>220 W</w:t>
            </w:r>
          </w:p>
        </w:tc>
      </w:tr>
      <w:tr>
        <w:trPr>
          <w:cantSplit/>
        </w:trPr>
        <w:tc>
          <w:tcPr>
            <w:tcW w:type="dxa" w:w="3969"/>
            <w:vAlign w:val="center"/>
            <w:tcMar>
              <w:top w:w="60" w:type="dxa"/>
              <w:start w:w="70" w:type="dxa"/>
              <w:bottom w:w="60" w:type="dxa"/>
              <w:end w:w="70" w:type="dxa"/>
            </w:tcMar>
          </w:tcPr>
          <w:p>
            <w:pPr>
              <w:spacing w:after="0" w:before="0" w:line="240" w:lineRule="auto"/>
            </w:pPr>
            <w:r/>
            <w:r>
              <w:rPr>
                <w:rFonts w:ascii="Aptos" w:hAnsi="Aptos"/>
                <w:b w:val="0"/>
                <w:sz w:val="16"/>
              </w:rPr>
              <w:t>Switches de acceso adicionales</w:t>
            </w:r>
          </w:p>
        </w:tc>
        <w:tc>
          <w:tcPr>
            <w:tcW w:type="dxa" w:w="1134"/>
            <w:vAlign w:val="center"/>
            <w:tcMar>
              <w:top w:w="60" w:type="dxa"/>
              <w:start w:w="70" w:type="dxa"/>
              <w:bottom w:w="60" w:type="dxa"/>
              <w:end w:w="70" w:type="dxa"/>
            </w:tcMar>
          </w:tcPr>
          <w:p>
            <w:pPr>
              <w:spacing w:after="0" w:before="0" w:line="240" w:lineRule="auto"/>
            </w:pPr>
            <w:r/>
            <w:r>
              <w:rPr>
                <w:rFonts w:ascii="Aptos" w:hAnsi="Aptos"/>
                <w:b w:val="0"/>
                <w:sz w:val="16"/>
              </w:rPr>
              <w:t>3</w:t>
            </w:r>
          </w:p>
        </w:tc>
        <w:tc>
          <w:tcPr>
            <w:tcW w:type="dxa" w:w="2438"/>
            <w:vAlign w:val="center"/>
            <w:tcMar>
              <w:top w:w="60" w:type="dxa"/>
              <w:start w:w="70" w:type="dxa"/>
              <w:bottom w:w="60" w:type="dxa"/>
              <w:end w:w="70" w:type="dxa"/>
            </w:tcMar>
          </w:tcPr>
          <w:p>
            <w:pPr>
              <w:spacing w:after="0" w:before="0" w:line="240" w:lineRule="auto"/>
            </w:pPr>
            <w:r/>
            <w:r>
              <w:rPr>
                <w:rFonts w:ascii="Aptos" w:hAnsi="Aptos"/>
                <w:b w:val="0"/>
                <w:sz w:val="16"/>
              </w:rPr>
              <w:t>30 W</w:t>
            </w:r>
          </w:p>
        </w:tc>
        <w:tc>
          <w:tcPr>
            <w:tcW w:type="dxa" w:w="2381"/>
            <w:vAlign w:val="center"/>
            <w:tcMar>
              <w:top w:w="60" w:type="dxa"/>
              <w:start w:w="70" w:type="dxa"/>
              <w:bottom w:w="60" w:type="dxa"/>
              <w:end w:w="70" w:type="dxa"/>
            </w:tcMar>
          </w:tcPr>
          <w:p>
            <w:pPr>
              <w:spacing w:after="0" w:before="0" w:line="240" w:lineRule="auto"/>
            </w:pPr>
            <w:r/>
            <w:r>
              <w:rPr>
                <w:rFonts w:ascii="Aptos" w:hAnsi="Aptos"/>
                <w:b w:val="0"/>
                <w:sz w:val="16"/>
              </w:rPr>
              <w:t>90 W</w:t>
            </w:r>
          </w:p>
        </w:tc>
      </w:tr>
      <w:tr>
        <w:trPr>
          <w:cantSplit/>
        </w:trPr>
        <w:tc>
          <w:tcPr>
            <w:tcW w:type="dxa" w:w="3969"/>
            <w:vAlign w:val="center"/>
            <w:tcMar>
              <w:top w:w="60" w:type="dxa"/>
              <w:start w:w="70" w:type="dxa"/>
              <w:bottom w:w="60" w:type="dxa"/>
              <w:end w:w="70" w:type="dxa"/>
            </w:tcMar>
            <w:shd w:fill="F3F6F8"/>
          </w:tcPr>
          <w:p>
            <w:pPr>
              <w:spacing w:after="0" w:before="0" w:line="240" w:lineRule="auto"/>
            </w:pPr>
            <w:r/>
            <w:r>
              <w:rPr>
                <w:rFonts w:ascii="Aptos" w:hAnsi="Aptos"/>
                <w:b w:val="0"/>
                <w:sz w:val="16"/>
              </w:rPr>
              <w:t>Puntos de acceso Wi-Fi 6</w:t>
            </w:r>
          </w:p>
        </w:tc>
        <w:tc>
          <w:tcPr>
            <w:tcW w:type="dxa" w:w="1134"/>
            <w:vAlign w:val="center"/>
            <w:tcMar>
              <w:top w:w="60" w:type="dxa"/>
              <w:start w:w="70" w:type="dxa"/>
              <w:bottom w:w="60" w:type="dxa"/>
              <w:end w:w="70" w:type="dxa"/>
            </w:tcMar>
            <w:shd w:fill="F3F6F8"/>
          </w:tcPr>
          <w:p>
            <w:pPr>
              <w:spacing w:after="0" w:before="0" w:line="240" w:lineRule="auto"/>
            </w:pPr>
            <w:r/>
            <w:r>
              <w:rPr>
                <w:rFonts w:ascii="Aptos" w:hAnsi="Aptos"/>
                <w:b w:val="0"/>
                <w:sz w:val="16"/>
              </w:rPr>
              <w:t>70</w:t>
            </w:r>
          </w:p>
        </w:tc>
        <w:tc>
          <w:tcPr>
            <w:tcW w:type="dxa" w:w="2438"/>
            <w:vAlign w:val="center"/>
            <w:tcMar>
              <w:top w:w="60" w:type="dxa"/>
              <w:start w:w="70" w:type="dxa"/>
              <w:bottom w:w="60" w:type="dxa"/>
              <w:end w:w="70" w:type="dxa"/>
            </w:tcMar>
            <w:shd w:fill="F3F6F8"/>
          </w:tcPr>
          <w:p>
            <w:pPr>
              <w:spacing w:after="0" w:before="0" w:line="240" w:lineRule="auto"/>
            </w:pPr>
            <w:r/>
            <w:r>
              <w:rPr>
                <w:rFonts w:ascii="Aptos" w:hAnsi="Aptos"/>
                <w:b w:val="0"/>
                <w:sz w:val="16"/>
              </w:rPr>
              <w:t>10 W</w:t>
            </w:r>
          </w:p>
        </w:tc>
        <w:tc>
          <w:tcPr>
            <w:tcW w:type="dxa" w:w="2381"/>
            <w:vAlign w:val="center"/>
            <w:tcMar>
              <w:top w:w="60" w:type="dxa"/>
              <w:start w:w="70" w:type="dxa"/>
              <w:bottom w:w="60" w:type="dxa"/>
              <w:end w:w="70" w:type="dxa"/>
            </w:tcMar>
            <w:shd w:fill="F3F6F8"/>
          </w:tcPr>
          <w:p>
            <w:pPr>
              <w:spacing w:after="0" w:before="0" w:line="240" w:lineRule="auto"/>
            </w:pPr>
            <w:r/>
            <w:r>
              <w:rPr>
                <w:rFonts w:ascii="Aptos" w:hAnsi="Aptos"/>
                <w:b w:val="0"/>
                <w:sz w:val="16"/>
              </w:rPr>
              <w:t>700 W</w:t>
            </w:r>
          </w:p>
        </w:tc>
      </w:tr>
      <w:tr>
        <w:trPr>
          <w:cantSplit/>
        </w:trPr>
        <w:tc>
          <w:tcPr>
            <w:tcW w:type="dxa" w:w="3969"/>
            <w:vAlign w:val="center"/>
            <w:tcMar>
              <w:top w:w="60" w:type="dxa"/>
              <w:start w:w="70" w:type="dxa"/>
              <w:bottom w:w="60" w:type="dxa"/>
              <w:end w:w="70" w:type="dxa"/>
            </w:tcMar>
          </w:tcPr>
          <w:p>
            <w:pPr>
              <w:spacing w:after="0" w:before="0" w:line="240" w:lineRule="auto"/>
            </w:pPr>
            <w:r/>
            <w:r>
              <w:rPr>
                <w:rFonts w:ascii="Aptos" w:hAnsi="Aptos"/>
                <w:b w:val="0"/>
                <w:sz w:val="16"/>
              </w:rPr>
              <w:t>Pérdidas de los SAI</w:t>
            </w:r>
          </w:p>
        </w:tc>
        <w:tc>
          <w:tcPr>
            <w:tcW w:type="dxa" w:w="1134"/>
            <w:vAlign w:val="center"/>
            <w:tcMar>
              <w:top w:w="60" w:type="dxa"/>
              <w:start w:w="70" w:type="dxa"/>
              <w:bottom w:w="60" w:type="dxa"/>
              <w:end w:w="70" w:type="dxa"/>
            </w:tcMar>
          </w:tcPr>
          <w:p>
            <w:pPr>
              <w:spacing w:after="0" w:before="0" w:line="240" w:lineRule="auto"/>
            </w:pPr>
            <w:r/>
            <w:r>
              <w:rPr>
                <w:rFonts w:ascii="Aptos" w:hAnsi="Aptos"/>
                <w:b w:val="0"/>
                <w:sz w:val="16"/>
              </w:rPr>
              <w:t>2</w:t>
            </w:r>
          </w:p>
        </w:tc>
        <w:tc>
          <w:tcPr>
            <w:tcW w:type="dxa" w:w="2438"/>
            <w:vAlign w:val="center"/>
            <w:tcMar>
              <w:top w:w="60" w:type="dxa"/>
              <w:start w:w="70" w:type="dxa"/>
              <w:bottom w:w="60" w:type="dxa"/>
              <w:end w:w="70" w:type="dxa"/>
            </w:tcMar>
          </w:tcPr>
          <w:p>
            <w:pPr>
              <w:spacing w:after="0" w:before="0" w:line="240" w:lineRule="auto"/>
            </w:pPr>
            <w:r/>
            <w:r>
              <w:rPr>
                <w:rFonts w:ascii="Aptos" w:hAnsi="Aptos"/>
                <w:b w:val="0"/>
                <w:sz w:val="16"/>
              </w:rPr>
              <w:t>60 W</w:t>
            </w:r>
          </w:p>
        </w:tc>
        <w:tc>
          <w:tcPr>
            <w:tcW w:type="dxa" w:w="2381"/>
            <w:vAlign w:val="center"/>
            <w:tcMar>
              <w:top w:w="60" w:type="dxa"/>
              <w:start w:w="70" w:type="dxa"/>
              <w:bottom w:w="60" w:type="dxa"/>
              <w:end w:w="70" w:type="dxa"/>
            </w:tcMar>
          </w:tcPr>
          <w:p>
            <w:pPr>
              <w:spacing w:after="0" w:before="0" w:line="240" w:lineRule="auto"/>
            </w:pPr>
            <w:r/>
            <w:r>
              <w:rPr>
                <w:rFonts w:ascii="Aptos" w:hAnsi="Aptos"/>
                <w:b w:val="0"/>
                <w:sz w:val="16"/>
              </w:rPr>
              <w:t>120 W</w:t>
            </w:r>
          </w:p>
        </w:tc>
      </w:tr>
      <w:tr>
        <w:trPr>
          <w:cantSplit/>
        </w:trPr>
        <w:tc>
          <w:tcPr>
            <w:tcW w:type="dxa" w:w="3969"/>
            <w:vAlign w:val="center"/>
            <w:tcMar>
              <w:top w:w="60" w:type="dxa"/>
              <w:start w:w="70" w:type="dxa"/>
              <w:bottom w:w="60" w:type="dxa"/>
              <w:end w:w="70" w:type="dxa"/>
            </w:tcMar>
            <w:shd w:fill="F3F6F8"/>
          </w:tcPr>
          <w:p>
            <w:pPr>
              <w:spacing w:after="0" w:before="0" w:line="240" w:lineRule="auto"/>
            </w:pPr>
            <w:r/>
            <w:r>
              <w:rPr>
                <w:rFonts w:ascii="Aptos" w:hAnsi="Aptos"/>
                <w:b w:val="0"/>
                <w:sz w:val="16"/>
              </w:rPr>
              <w:t>Climatización dedicada (media estimada)</w:t>
            </w:r>
          </w:p>
        </w:tc>
        <w:tc>
          <w:tcPr>
            <w:tcW w:type="dxa" w:w="1134"/>
            <w:vAlign w:val="center"/>
            <w:tcMar>
              <w:top w:w="60" w:type="dxa"/>
              <w:start w:w="70" w:type="dxa"/>
              <w:bottom w:w="60" w:type="dxa"/>
              <w:end w:w="70" w:type="dxa"/>
            </w:tcMar>
            <w:shd w:fill="F3F6F8"/>
          </w:tcPr>
          <w:p>
            <w:pPr>
              <w:spacing w:after="0" w:before="0" w:line="240" w:lineRule="auto"/>
            </w:pPr>
            <w:r/>
            <w:r>
              <w:rPr>
                <w:rFonts w:ascii="Aptos" w:hAnsi="Aptos"/>
                <w:b w:val="0"/>
                <w:sz w:val="16"/>
              </w:rPr>
              <w:t>1</w:t>
            </w:r>
          </w:p>
        </w:tc>
        <w:tc>
          <w:tcPr>
            <w:tcW w:type="dxa" w:w="2438"/>
            <w:vAlign w:val="center"/>
            <w:tcMar>
              <w:top w:w="60" w:type="dxa"/>
              <w:start w:w="70" w:type="dxa"/>
              <w:bottom w:w="60" w:type="dxa"/>
              <w:end w:w="70" w:type="dxa"/>
            </w:tcMar>
            <w:shd w:fill="F3F6F8"/>
          </w:tcPr>
          <w:p>
            <w:pPr>
              <w:spacing w:after="0" w:before="0" w:line="240" w:lineRule="auto"/>
            </w:pPr>
            <w:r/>
            <w:r>
              <w:rPr>
                <w:rFonts w:ascii="Aptos" w:hAnsi="Aptos"/>
                <w:b w:val="0"/>
                <w:sz w:val="16"/>
              </w:rPr>
              <w:t>700 W</w:t>
            </w:r>
          </w:p>
        </w:tc>
        <w:tc>
          <w:tcPr>
            <w:tcW w:type="dxa" w:w="2381"/>
            <w:vAlign w:val="center"/>
            <w:tcMar>
              <w:top w:w="60" w:type="dxa"/>
              <w:start w:w="70" w:type="dxa"/>
              <w:bottom w:w="60" w:type="dxa"/>
              <w:end w:w="70" w:type="dxa"/>
            </w:tcMar>
            <w:shd w:fill="F3F6F8"/>
          </w:tcPr>
          <w:p>
            <w:pPr>
              <w:spacing w:after="0" w:before="0" w:line="240" w:lineRule="auto"/>
            </w:pPr>
            <w:r/>
            <w:r>
              <w:rPr>
                <w:rFonts w:ascii="Aptos" w:hAnsi="Aptos"/>
                <w:b w:val="0"/>
                <w:sz w:val="16"/>
              </w:rPr>
              <w:t>700 W</w:t>
            </w:r>
          </w:p>
        </w:tc>
      </w:tr>
      <w:tr>
        <w:trPr>
          <w:cantSplit/>
        </w:trPr>
        <w:tc>
          <w:tcPr>
            <w:tcW w:type="dxa" w:w="3969"/>
            <w:vAlign w:val="center"/>
            <w:tcMar>
              <w:top w:w="60" w:type="dxa"/>
              <w:start w:w="70" w:type="dxa"/>
              <w:bottom w:w="60" w:type="dxa"/>
              <w:end w:w="70" w:type="dxa"/>
            </w:tcMar>
          </w:tcPr>
          <w:p>
            <w:pPr>
              <w:spacing w:after="0" w:before="0" w:line="240" w:lineRule="auto"/>
            </w:pPr>
            <w:r/>
            <w:r>
              <w:rPr>
                <w:rFonts w:ascii="Aptos" w:hAnsi="Aptos"/>
                <w:b w:val="0"/>
                <w:sz w:val="16"/>
              </w:rPr>
              <w:t>TOTAL</w:t>
            </w:r>
          </w:p>
        </w:tc>
        <w:tc>
          <w:tcPr>
            <w:tcW w:type="dxa" w:w="1134"/>
            <w:vAlign w:val="center"/>
            <w:tcMar>
              <w:top w:w="60" w:type="dxa"/>
              <w:start w:w="70" w:type="dxa"/>
              <w:bottom w:w="60" w:type="dxa"/>
              <w:end w:w="70" w:type="dxa"/>
            </w:tcMar>
          </w:tcPr>
          <w:p>
            <w:pPr>
              <w:spacing w:after="0" w:before="0" w:line="240" w:lineRule="auto"/>
            </w:pPr>
            <w:r/>
            <w:r>
              <w:rPr>
                <w:rFonts w:ascii="Aptos" w:hAnsi="Aptos"/>
                <w:b w:val="0"/>
                <w:sz w:val="16"/>
              </w:rPr>
              <w:t>—</w:t>
            </w:r>
          </w:p>
        </w:tc>
        <w:tc>
          <w:tcPr>
            <w:tcW w:type="dxa" w:w="2438"/>
            <w:vAlign w:val="center"/>
            <w:tcMar>
              <w:top w:w="60" w:type="dxa"/>
              <w:start w:w="70" w:type="dxa"/>
              <w:bottom w:w="60" w:type="dxa"/>
              <w:end w:w="70" w:type="dxa"/>
            </w:tcMar>
          </w:tcPr>
          <w:p>
            <w:pPr>
              <w:spacing w:after="0" w:before="0" w:line="240" w:lineRule="auto"/>
            </w:pPr>
            <w:r/>
            <w:r>
              <w:rPr>
                <w:rFonts w:ascii="Aptos" w:hAnsi="Aptos"/>
                <w:b w:val="0"/>
                <w:sz w:val="16"/>
              </w:rPr>
              <w:t>—</w:t>
            </w:r>
          </w:p>
        </w:tc>
        <w:tc>
          <w:tcPr>
            <w:tcW w:type="dxa" w:w="2381"/>
            <w:vAlign w:val="center"/>
            <w:tcMar>
              <w:top w:w="60" w:type="dxa"/>
              <w:start w:w="70" w:type="dxa"/>
              <w:bottom w:w="60" w:type="dxa"/>
              <w:end w:w="70" w:type="dxa"/>
            </w:tcMar>
          </w:tcPr>
          <w:p>
            <w:pPr>
              <w:spacing w:after="0" w:before="0" w:line="240" w:lineRule="auto"/>
            </w:pPr>
            <w:r/>
            <w:r>
              <w:rPr>
                <w:rFonts w:ascii="Aptos" w:hAnsi="Aptos"/>
                <w:b w:val="0"/>
                <w:sz w:val="16"/>
              </w:rPr>
              <w:t>3.090 W = 3,09 kW</w:t>
            </w:r>
          </w:p>
        </w:tc>
      </w:tr>
    </w:tbl>
    <w:p>
      <w:pPr>
        <w:spacing w:after="20"/>
      </w:pPr>
    </w:p>
    <w:p>
      <w:r>
        <w:rPr>
          <w:i w:val="0"/>
        </w:rPr>
        <w:t>Cálculos con funcionamiento continuo 24 horas al día durante 30 días:</w:t>
      </w:r>
    </w:p>
    <w:p>
      <w:pPr>
        <w:pStyle w:val="ListBullet"/>
        <w:spacing w:after="40"/>
      </w:pPr>
      <w:r>
        <w:t>Potencia total estimada: 3.090 W ÷ 1.000 = 3,09 kW.</w:t>
      </w:r>
    </w:p>
    <w:p>
      <w:pPr>
        <w:pStyle w:val="ListBullet"/>
        <w:spacing w:after="40"/>
      </w:pPr>
      <w:r>
        <w:t>Consumo diario: 3,09 kW × 24 h = 74,16 kWh/día.</w:t>
      </w:r>
    </w:p>
    <w:p>
      <w:pPr>
        <w:pStyle w:val="ListBullet"/>
        <w:spacing w:after="40"/>
      </w:pPr>
      <w:r>
        <w:t>Consumo mensual: 74,16 kWh/día × 30 días = 2.224,8 kWh/mes.</w:t>
      </w:r>
    </w:p>
    <w:p>
      <w:pPr>
        <w:pStyle w:val="ListBullet"/>
        <w:spacing w:after="40"/>
      </w:pPr>
      <w:r>
        <w:t>Coste eléctrico mensual: 2.224,8 kWh × 0,168 €/kWh = 373,77 €/mes.</w:t>
      </w:r>
    </w:p>
    <w:p>
      <w:pPr>
        <w:pStyle w:val="ListBullet"/>
        <w:spacing w:after="40"/>
      </w:pPr>
      <w:r>
        <w:t>Coste eléctrico anual de referencia: 373,77 €/mes × 12 = 4.485,20 €/año.</w:t>
      </w:r>
    </w:p>
    <w:p>
      <w:r>
        <w:rPr>
          <w:i w:val="0"/>
        </w:rPr>
        <w:t>Precio eléctrico utilizado: 0,168 €/kWh como aproximación basada en la estadística Eurostat del primer semestre de 2026 para consumidores no domésticos de España en la banda de 20 a 499 MWh/año (referencia de precio excluyendo IVA/impuestos recuperables). La banda es orientativa: no equivale a una tarifa contratada por el centro y su definición fiscal no es idéntica a excluir cualquier impuesto o cargo. Se conserva la trazabilidad de la fuente [10][11]. Si el centro dispone de una factura real, debe sustituirse el precio de referencia por el coste variable efectivo de energía.</w:t>
      </w:r>
    </w:p>
    <w:tbl>
      <w:tblPr>
        <w:tblW w:type="auto" w:w="0"/>
        <w:jc w:val="center"/>
        <w:tblLook w:firstColumn="1" w:firstRow="1" w:lastColumn="0" w:lastRow="0" w:noHBand="0" w:noVBand="1" w:val="04A0"/>
      </w:tblPr>
      <w:tblGrid>
        <w:gridCol w:w="10200"/>
      </w:tblGrid>
      <w:tr>
        <w:trPr>
          <w:cantSplit/>
        </w:trPr>
        <w:tc>
          <w:tcPr>
            <w:tcW w:type="dxa" w:w="10200"/>
            <w:shd w:fill="EAF1F6"/>
            <w:tcMar>
              <w:top w:w="100" w:type="dxa"/>
              <w:start w:w="130" w:type="dxa"/>
              <w:bottom w:w="100" w:type="dxa"/>
              <w:end w:w="130" w:type="dxa"/>
            </w:tcMar>
          </w:tcPr>
          <w:p>
            <w:pPr>
              <w:spacing w:after="0"/>
            </w:pPr>
            <w:r/>
            <w:r>
              <w:rPr>
                <w:color w:val="264255"/>
                <w:sz w:val="17"/>
              </w:rPr>
              <w:t>No están incluidos consumo de aulas y puestos de trabajo, tarifas de potencia, telecomunicaciones ni personal. Tampoco se incluyen licencias, mantenimiento o renovación de baterías y equipos. La potencia de refrigeración es una estimación inicial: en un proyecto real se calcularía a partir de la disipación térmica, la temperatura objetivo y el rendimiento del equipo HVAC.</w:t>
            </w:r>
          </w:p>
        </w:tc>
      </w:tr>
    </w:tbl>
    <w:p>
      <w:pPr>
        <w:spacing w:after="20"/>
      </w:pPr>
    </w:p>
    <w:p>
      <w:pPr>
        <w:pStyle w:val="Heading1"/>
      </w:pPr>
      <w:r>
        <w:t>5. Estimación de costes de la infraestructura en AWS</w:t>
      </w:r>
    </w:p>
    <w:p>
      <w:pPr>
        <w:pStyle w:val="Heading2"/>
      </w:pPr>
      <w:r>
        <w:t>5.1. A. Selección y dimensionamiento de servicios</w:t>
      </w:r>
    </w:p>
    <w:p>
      <w:r>
        <w:rPr>
          <w:i w:val="0"/>
        </w:rPr>
        <w:t>Se selecciona la región Europa (España), código eu-south-2, para alojar los componentes que no necesitan permanecer físicamente en el centro. AWS publica endpoints para servicios como FSx en esta región [12]. La red Wi-Fi, los cortafuegos, el switching, el NVR y los servicios mínimos de red permanecen en el edificio, porque deben seguir operativos ante cortes de Internet y porque las cámaras generan tráfico local.</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701"/>
            <w:vAlign w:val="center"/>
            <w:tcMar>
              <w:top w:w="60" w:type="dxa"/>
              <w:start w:w="70" w:type="dxa"/>
              <w:bottom w:w="60" w:type="dxa"/>
              <w:end w:w="70" w:type="dxa"/>
            </w:tcMar>
            <w:shd w:fill="#17324D"/>
          </w:tcPr>
          <w:p>
            <w:pPr>
              <w:spacing w:after="0" w:before="0" w:line="240" w:lineRule="auto"/>
            </w:pPr>
            <w:r/>
            <w:r>
              <w:rPr>
                <w:rFonts w:ascii="Aptos" w:hAnsi="Aptos"/>
                <w:b/>
                <w:color w:val="FFFFFF"/>
                <w:sz w:val="15"/>
              </w:rPr>
              <w:t>Servicio</w:t>
            </w:r>
          </w:p>
        </w:tc>
        <w:tc>
          <w:tcPr>
            <w:tcW w:type="dxa" w:w="4082"/>
            <w:vAlign w:val="center"/>
            <w:tcMar>
              <w:top w:w="60" w:type="dxa"/>
              <w:start w:w="70" w:type="dxa"/>
              <w:bottom w:w="60" w:type="dxa"/>
              <w:end w:w="70" w:type="dxa"/>
            </w:tcMar>
            <w:shd w:fill="#17324D"/>
          </w:tcPr>
          <w:p>
            <w:pPr>
              <w:spacing w:after="0" w:before="0" w:line="240" w:lineRule="auto"/>
            </w:pPr>
            <w:r/>
            <w:r>
              <w:rPr>
                <w:rFonts w:ascii="Aptos" w:hAnsi="Aptos"/>
                <w:b/>
                <w:color w:val="FFFFFF"/>
                <w:sz w:val="15"/>
              </w:rPr>
              <w:t>Configuración elegida</w:t>
            </w:r>
          </w:p>
        </w:tc>
        <w:tc>
          <w:tcPr>
            <w:tcW w:type="dxa" w:w="4139"/>
            <w:vAlign w:val="center"/>
            <w:tcMar>
              <w:top w:w="60" w:type="dxa"/>
              <w:start w:w="70" w:type="dxa"/>
              <w:bottom w:w="60" w:type="dxa"/>
              <w:end w:w="70" w:type="dxa"/>
            </w:tcMar>
            <w:shd w:fill="#17324D"/>
          </w:tcPr>
          <w:p>
            <w:pPr>
              <w:spacing w:after="0" w:before="0" w:line="240" w:lineRule="auto"/>
            </w:pPr>
            <w:r/>
            <w:r>
              <w:rPr>
                <w:rFonts w:ascii="Aptos" w:hAnsi="Aptos"/>
                <w:b/>
                <w:color w:val="FFFFFF"/>
                <w:sz w:val="15"/>
              </w:rPr>
              <w:t>Parámetros de precio y justificación</w:t>
            </w:r>
          </w:p>
        </w:tc>
      </w:tr>
      <w:tr>
        <w:trPr>
          <w:cantSplit/>
        </w:trPr>
        <w:tc>
          <w:tcPr>
            <w:tcW w:type="dxa" w:w="1701"/>
            <w:vAlign w:val="center"/>
            <w:tcMar>
              <w:top w:w="60" w:type="dxa"/>
              <w:start w:w="70" w:type="dxa"/>
              <w:bottom w:w="60" w:type="dxa"/>
              <w:end w:w="70" w:type="dxa"/>
            </w:tcMar>
          </w:tcPr>
          <w:p>
            <w:pPr>
              <w:spacing w:after="0" w:before="0" w:line="240" w:lineRule="auto"/>
            </w:pPr>
            <w:r/>
            <w:r>
              <w:rPr>
                <w:rFonts w:ascii="Aptos" w:hAnsi="Aptos"/>
                <w:b w:val="0"/>
                <w:sz w:val="15"/>
              </w:rPr>
              <w:t>Amazon EC2</w:t>
            </w:r>
          </w:p>
        </w:tc>
        <w:tc>
          <w:tcPr>
            <w:tcW w:type="dxa" w:w="4082"/>
            <w:vAlign w:val="center"/>
            <w:tcMar>
              <w:top w:w="60" w:type="dxa"/>
              <w:start w:w="70" w:type="dxa"/>
              <w:bottom w:w="60" w:type="dxa"/>
              <w:end w:w="70" w:type="dxa"/>
            </w:tcMar>
          </w:tcPr>
          <w:p>
            <w:pPr>
              <w:spacing w:after="0" w:before="0" w:line="240" w:lineRule="auto"/>
            </w:pPr>
            <w:r/>
            <w:r>
              <w:rPr>
                <w:rFonts w:ascii="Aptos" w:hAnsi="Aptos"/>
                <w:b w:val="0"/>
                <w:sz w:val="15"/>
              </w:rPr>
              <w:t>2 × t3.large Linux, 2 vCPU y 8 GiB por instancia, 730 h/mes; web/proxy y monitorización/gestión.</w:t>
            </w:r>
          </w:p>
        </w:tc>
        <w:tc>
          <w:tcPr>
            <w:tcW w:type="dxa" w:w="4139"/>
            <w:vAlign w:val="center"/>
            <w:tcMar>
              <w:top w:w="60" w:type="dxa"/>
              <w:start w:w="70" w:type="dxa"/>
              <w:bottom w:w="60" w:type="dxa"/>
              <w:end w:w="70" w:type="dxa"/>
            </w:tcMar>
          </w:tcPr>
          <w:p>
            <w:pPr>
              <w:spacing w:after="0" w:before="0" w:line="240" w:lineRule="auto"/>
            </w:pPr>
            <w:r/>
            <w:r>
              <w:rPr>
                <w:rFonts w:ascii="Aptos" w:hAnsi="Aptos"/>
                <w:b w:val="0"/>
                <w:sz w:val="15"/>
              </w:rPr>
              <w:t>Precio por hora, tipo de instancia, sistema operativo y horas encendidas. Se eligen tamaños modestos y On-Demand.</w:t>
            </w:r>
          </w:p>
        </w:tc>
      </w:tr>
      <w:tr>
        <w:trPr>
          <w:cantSplit/>
        </w:trPr>
        <w:tc>
          <w:tcPr>
            <w:tcW w:type="dxa" w:w="1701"/>
            <w:vAlign w:val="center"/>
            <w:tcMar>
              <w:top w:w="60" w:type="dxa"/>
              <w:start w:w="70" w:type="dxa"/>
              <w:bottom w:w="60" w:type="dxa"/>
              <w:end w:w="70" w:type="dxa"/>
            </w:tcMar>
            <w:shd w:fill="F3F6F8"/>
          </w:tcPr>
          <w:p>
            <w:pPr>
              <w:spacing w:after="0" w:before="0" w:line="240" w:lineRule="auto"/>
            </w:pPr>
            <w:r/>
            <w:r>
              <w:rPr>
                <w:rFonts w:ascii="Aptos" w:hAnsi="Aptos"/>
                <w:b w:val="0"/>
                <w:sz w:val="15"/>
              </w:rPr>
              <w:t>Amazon EC2</w:t>
            </w:r>
          </w:p>
        </w:tc>
        <w:tc>
          <w:tcPr>
            <w:tcW w:type="dxa" w:w="4082"/>
            <w:vAlign w:val="center"/>
            <w:tcMar>
              <w:top w:w="60" w:type="dxa"/>
              <w:start w:w="70" w:type="dxa"/>
              <w:bottom w:w="60" w:type="dxa"/>
              <w:end w:w="70" w:type="dxa"/>
            </w:tcMar>
            <w:shd w:fill="F3F6F8"/>
          </w:tcPr>
          <w:p>
            <w:pPr>
              <w:spacing w:after="0" w:before="0" w:line="240" w:lineRule="auto"/>
            </w:pPr>
            <w:r/>
            <w:r>
              <w:rPr>
                <w:rFonts w:ascii="Aptos" w:hAnsi="Aptos"/>
                <w:b w:val="0"/>
                <w:sz w:val="15"/>
              </w:rPr>
              <w:t>1 × t3.small Linux, 2 vCPU y 2 GiB, 730 h/mes; servicio auxiliar de baja carga.</w:t>
            </w:r>
          </w:p>
        </w:tc>
        <w:tc>
          <w:tcPr>
            <w:tcW w:type="dxa" w:w="4139"/>
            <w:vAlign w:val="center"/>
            <w:tcMar>
              <w:top w:w="60" w:type="dxa"/>
              <w:start w:w="70" w:type="dxa"/>
              <w:bottom w:w="60" w:type="dxa"/>
              <w:end w:w="70" w:type="dxa"/>
            </w:tcMar>
            <w:shd w:fill="F3F6F8"/>
          </w:tcPr>
          <w:p>
            <w:pPr>
              <w:spacing w:after="0" w:before="0" w:line="240" w:lineRule="auto"/>
            </w:pPr>
            <w:r/>
            <w:r>
              <w:rPr>
                <w:rFonts w:ascii="Aptos" w:hAnsi="Aptos"/>
                <w:b w:val="0"/>
                <w:sz w:val="15"/>
              </w:rPr>
              <w:t>Precio por hora y ejecución 24×7; no se aplican Savings Plans ni reservas.</w:t>
            </w:r>
          </w:p>
        </w:tc>
      </w:tr>
      <w:tr>
        <w:trPr>
          <w:cantSplit/>
        </w:trPr>
        <w:tc>
          <w:tcPr>
            <w:tcW w:type="dxa" w:w="1701"/>
            <w:vAlign w:val="center"/>
            <w:tcMar>
              <w:top w:w="60" w:type="dxa"/>
              <w:start w:w="70" w:type="dxa"/>
              <w:bottom w:w="60" w:type="dxa"/>
              <w:end w:w="70" w:type="dxa"/>
            </w:tcMar>
          </w:tcPr>
          <w:p>
            <w:pPr>
              <w:spacing w:after="0" w:before="0" w:line="240" w:lineRule="auto"/>
            </w:pPr>
            <w:r/>
            <w:r>
              <w:rPr>
                <w:rFonts w:ascii="Aptos" w:hAnsi="Aptos"/>
                <w:b w:val="0"/>
                <w:sz w:val="15"/>
              </w:rPr>
              <w:t>Amazon EBS</w:t>
            </w:r>
          </w:p>
        </w:tc>
        <w:tc>
          <w:tcPr>
            <w:tcW w:type="dxa" w:w="4082"/>
            <w:vAlign w:val="center"/>
            <w:tcMar>
              <w:top w:w="60" w:type="dxa"/>
              <w:start w:w="70" w:type="dxa"/>
              <w:bottom w:w="60" w:type="dxa"/>
              <w:end w:w="70" w:type="dxa"/>
            </w:tcMar>
          </w:tcPr>
          <w:p>
            <w:pPr>
              <w:spacing w:after="0" w:before="0" w:line="240" w:lineRule="auto"/>
            </w:pPr>
            <w:r/>
            <w:r>
              <w:rPr>
                <w:rFonts w:ascii="Aptos" w:hAnsi="Aptos"/>
                <w:b w:val="0"/>
                <w:sz w:val="15"/>
              </w:rPr>
              <w:t>300 GB gp3 para volúmenes de las instancias.</w:t>
            </w:r>
          </w:p>
        </w:tc>
        <w:tc>
          <w:tcPr>
            <w:tcW w:type="dxa" w:w="4139"/>
            <w:vAlign w:val="center"/>
            <w:tcMar>
              <w:top w:w="60" w:type="dxa"/>
              <w:start w:w="70" w:type="dxa"/>
              <w:bottom w:w="60" w:type="dxa"/>
              <w:end w:w="70" w:type="dxa"/>
            </w:tcMar>
          </w:tcPr>
          <w:p>
            <w:pPr>
              <w:spacing w:after="0" w:before="0" w:line="240" w:lineRule="auto"/>
            </w:pPr>
            <w:r/>
            <w:r>
              <w:rPr>
                <w:rFonts w:ascii="Aptos" w:hAnsi="Aptos"/>
                <w:b w:val="0"/>
                <w:sz w:val="15"/>
              </w:rPr>
              <w:t>GB aprovisionados/mes y cualquier IOPS o throughput por encima de lo incluido; se supone uso estándar.</w:t>
            </w:r>
          </w:p>
        </w:tc>
      </w:tr>
      <w:tr>
        <w:trPr>
          <w:cantSplit/>
        </w:trPr>
        <w:tc>
          <w:tcPr>
            <w:tcW w:type="dxa" w:w="1701"/>
            <w:vAlign w:val="center"/>
            <w:tcMar>
              <w:top w:w="60" w:type="dxa"/>
              <w:start w:w="70" w:type="dxa"/>
              <w:bottom w:w="60" w:type="dxa"/>
              <w:end w:w="70" w:type="dxa"/>
            </w:tcMar>
            <w:shd w:fill="F3F6F8"/>
          </w:tcPr>
          <w:p>
            <w:pPr>
              <w:spacing w:after="0" w:before="0" w:line="240" w:lineRule="auto"/>
            </w:pPr>
            <w:r/>
            <w:r>
              <w:rPr>
                <w:rFonts w:ascii="Aptos" w:hAnsi="Aptos"/>
                <w:b w:val="0"/>
                <w:sz w:val="15"/>
              </w:rPr>
              <w:t>Amazon RDS for PostgreSQL</w:t>
            </w:r>
          </w:p>
        </w:tc>
        <w:tc>
          <w:tcPr>
            <w:tcW w:type="dxa" w:w="4082"/>
            <w:vAlign w:val="center"/>
            <w:tcMar>
              <w:top w:w="60" w:type="dxa"/>
              <w:start w:w="70" w:type="dxa"/>
              <w:bottom w:w="60" w:type="dxa"/>
              <w:end w:w="70" w:type="dxa"/>
            </w:tcMar>
            <w:shd w:fill="F3F6F8"/>
          </w:tcPr>
          <w:p>
            <w:pPr>
              <w:spacing w:after="0" w:before="0" w:line="240" w:lineRule="auto"/>
            </w:pPr>
            <w:r/>
            <w:r>
              <w:rPr>
                <w:rFonts w:ascii="Aptos" w:hAnsi="Aptos"/>
                <w:b w:val="0"/>
                <w:sz w:val="15"/>
              </w:rPr>
              <w:t>db.t3.medium, despliegue Multi-AZ, 150 GB de almacenamiento gp3 y 7 días de copias automáticas.</w:t>
            </w:r>
          </w:p>
        </w:tc>
        <w:tc>
          <w:tcPr>
            <w:tcW w:type="dxa" w:w="4139"/>
            <w:vAlign w:val="center"/>
            <w:tcMar>
              <w:top w:w="60" w:type="dxa"/>
              <w:start w:w="70" w:type="dxa"/>
              <w:bottom w:w="60" w:type="dxa"/>
              <w:end w:w="70" w:type="dxa"/>
            </w:tcMar>
            <w:shd w:fill="F3F6F8"/>
          </w:tcPr>
          <w:p>
            <w:pPr>
              <w:spacing w:after="0" w:before="0" w:line="240" w:lineRule="auto"/>
            </w:pPr>
            <w:r/>
            <w:r>
              <w:rPr>
                <w:rFonts w:ascii="Aptos" w:hAnsi="Aptos"/>
                <w:b w:val="0"/>
                <w:sz w:val="15"/>
              </w:rPr>
              <w:t>Horas de instancia, tamaño, almacenamiento, despliegue Multi-AZ y copias. Se escoge PostgreSQL gestionado para reducir tareas de administración.</w:t>
            </w:r>
          </w:p>
        </w:tc>
      </w:tr>
      <w:tr>
        <w:trPr>
          <w:cantSplit/>
        </w:trPr>
        <w:tc>
          <w:tcPr>
            <w:tcW w:type="dxa" w:w="1701"/>
            <w:vAlign w:val="center"/>
            <w:tcMar>
              <w:top w:w="60" w:type="dxa"/>
              <w:start w:w="70" w:type="dxa"/>
              <w:bottom w:w="60" w:type="dxa"/>
              <w:end w:w="70" w:type="dxa"/>
            </w:tcMar>
          </w:tcPr>
          <w:p>
            <w:pPr>
              <w:spacing w:after="0" w:before="0" w:line="240" w:lineRule="auto"/>
            </w:pPr>
            <w:r/>
            <w:r>
              <w:rPr>
                <w:rFonts w:ascii="Aptos" w:hAnsi="Aptos"/>
                <w:b w:val="0"/>
                <w:sz w:val="15"/>
              </w:rPr>
              <w:t>Amazon FSx for Windows File Server</w:t>
            </w:r>
          </w:p>
        </w:tc>
        <w:tc>
          <w:tcPr>
            <w:tcW w:type="dxa" w:w="4082"/>
            <w:vAlign w:val="center"/>
            <w:tcMar>
              <w:top w:w="60" w:type="dxa"/>
              <w:start w:w="70" w:type="dxa"/>
              <w:bottom w:w="60" w:type="dxa"/>
              <w:end w:w="70" w:type="dxa"/>
            </w:tcMar>
          </w:tcPr>
          <w:p>
            <w:pPr>
              <w:spacing w:after="0" w:before="0" w:line="240" w:lineRule="auto"/>
            </w:pPr>
            <w:r/>
            <w:r>
              <w:rPr>
                <w:rFonts w:ascii="Aptos" w:hAnsi="Aptos"/>
                <w:b w:val="0"/>
                <w:sz w:val="15"/>
              </w:rPr>
              <w:t>20 TB HDD, despliegue Multi-AZ y 16 MB/s; estimación media de 10 TB de copias almacenadas.</w:t>
            </w:r>
          </w:p>
        </w:tc>
        <w:tc>
          <w:tcPr>
            <w:tcW w:type="dxa" w:w="4139"/>
            <w:vAlign w:val="center"/>
            <w:tcMar>
              <w:top w:w="60" w:type="dxa"/>
              <w:start w:w="70" w:type="dxa"/>
              <w:bottom w:w="60" w:type="dxa"/>
              <w:end w:w="70" w:type="dxa"/>
            </w:tcMar>
          </w:tcPr>
          <w:p>
            <w:pPr>
              <w:spacing w:after="0" w:before="0" w:line="240" w:lineRule="auto"/>
            </w:pPr>
            <w:r/>
            <w:r>
              <w:rPr>
                <w:rFonts w:ascii="Aptos" w:hAnsi="Aptos"/>
                <w:b w:val="0"/>
                <w:sz w:val="15"/>
              </w:rPr>
              <w:t>Capacidad, tipo de disco, throughput, modalidad Single/Multi-AZ, copias y transferencias. SMB mantiene compatibilidad con carpetas compartidas Windows.</w:t>
            </w:r>
          </w:p>
        </w:tc>
      </w:tr>
      <w:tr>
        <w:trPr>
          <w:cantSplit/>
        </w:trPr>
        <w:tc>
          <w:tcPr>
            <w:tcW w:type="dxa" w:w="1701"/>
            <w:vAlign w:val="center"/>
            <w:tcMar>
              <w:top w:w="60" w:type="dxa"/>
              <w:start w:w="70" w:type="dxa"/>
              <w:bottom w:w="60" w:type="dxa"/>
              <w:end w:w="70" w:type="dxa"/>
            </w:tcMar>
            <w:shd w:fill="F3F6F8"/>
          </w:tcPr>
          <w:p>
            <w:pPr>
              <w:spacing w:after="0" w:before="0" w:line="240" w:lineRule="auto"/>
            </w:pPr>
            <w:r/>
            <w:r>
              <w:rPr>
                <w:rFonts w:ascii="Aptos" w:hAnsi="Aptos"/>
                <w:b w:val="0"/>
                <w:sz w:val="15"/>
              </w:rPr>
              <w:t>Amazon S3 Glacier Deep Archive</w:t>
            </w:r>
          </w:p>
        </w:tc>
        <w:tc>
          <w:tcPr>
            <w:tcW w:type="dxa" w:w="4082"/>
            <w:vAlign w:val="center"/>
            <w:tcMar>
              <w:top w:w="60" w:type="dxa"/>
              <w:start w:w="70" w:type="dxa"/>
              <w:bottom w:w="60" w:type="dxa"/>
              <w:end w:w="70" w:type="dxa"/>
            </w:tcMar>
            <w:shd w:fill="F3F6F8"/>
          </w:tcPr>
          <w:p>
            <w:pPr>
              <w:spacing w:after="0" w:before="0" w:line="240" w:lineRule="auto"/>
            </w:pPr>
            <w:r/>
            <w:r>
              <w:rPr>
                <w:rFonts w:ascii="Aptos" w:hAnsi="Aptos"/>
                <w:b w:val="0"/>
                <w:sz w:val="15"/>
              </w:rPr>
              <w:t>10 TB de copia adicional de datos críticos, exportaciones de base de datos y configuraciones; se configura retención protegida/inmutable.</w:t>
            </w:r>
          </w:p>
        </w:tc>
        <w:tc>
          <w:tcPr>
            <w:tcW w:type="dxa" w:w="4139"/>
            <w:vAlign w:val="center"/>
            <w:tcMar>
              <w:top w:w="60" w:type="dxa"/>
              <w:start w:w="70" w:type="dxa"/>
              <w:bottom w:w="60" w:type="dxa"/>
              <w:end w:w="70" w:type="dxa"/>
            </w:tcMar>
            <w:shd w:fill="F3F6F8"/>
          </w:tcPr>
          <w:p>
            <w:pPr>
              <w:spacing w:after="0" w:before="0" w:line="240" w:lineRule="auto"/>
            </w:pPr>
            <w:r/>
            <w:r>
              <w:rPr>
                <w:rFonts w:ascii="Aptos" w:hAnsi="Aptos"/>
                <w:b w:val="0"/>
                <w:sz w:val="15"/>
              </w:rPr>
              <w:t>GB-mes almacenados, solicitudes y recuperaciones. La recuperación puede tardar y tiene un precio separado.</w:t>
            </w:r>
          </w:p>
        </w:tc>
      </w:tr>
      <w:tr>
        <w:trPr>
          <w:cantSplit/>
        </w:trPr>
        <w:tc>
          <w:tcPr>
            <w:tcW w:type="dxa" w:w="1701"/>
            <w:vAlign w:val="center"/>
            <w:tcMar>
              <w:top w:w="60" w:type="dxa"/>
              <w:start w:w="70" w:type="dxa"/>
              <w:bottom w:w="60" w:type="dxa"/>
              <w:end w:w="70" w:type="dxa"/>
            </w:tcMar>
          </w:tcPr>
          <w:p>
            <w:pPr>
              <w:spacing w:after="0" w:before="0" w:line="240" w:lineRule="auto"/>
            </w:pPr>
            <w:r/>
            <w:r>
              <w:rPr>
                <w:rFonts w:ascii="Aptos" w:hAnsi="Aptos"/>
                <w:b w:val="0"/>
                <w:sz w:val="15"/>
              </w:rPr>
              <w:t>AWS Site-to-Site VPN</w:t>
            </w:r>
          </w:p>
        </w:tc>
        <w:tc>
          <w:tcPr>
            <w:tcW w:type="dxa" w:w="4082"/>
            <w:vAlign w:val="center"/>
            <w:tcMar>
              <w:top w:w="60" w:type="dxa"/>
              <w:start w:w="70" w:type="dxa"/>
              <w:bottom w:w="60" w:type="dxa"/>
              <w:end w:w="70" w:type="dxa"/>
            </w:tcMar>
          </w:tcPr>
          <w:p>
            <w:pPr>
              <w:spacing w:after="0" w:before="0" w:line="240" w:lineRule="auto"/>
            </w:pPr>
            <w:r/>
            <w:r>
              <w:rPr>
                <w:rFonts w:ascii="Aptos" w:hAnsi="Aptos"/>
                <w:b w:val="0"/>
                <w:sz w:val="15"/>
              </w:rPr>
              <w:t>1 conexión sitio-a-sitio entre el cortafuegos local y la VPC.</w:t>
            </w:r>
          </w:p>
        </w:tc>
        <w:tc>
          <w:tcPr>
            <w:tcW w:type="dxa" w:w="4139"/>
            <w:vAlign w:val="center"/>
            <w:tcMar>
              <w:top w:w="60" w:type="dxa"/>
              <w:start w:w="70" w:type="dxa"/>
              <w:bottom w:w="60" w:type="dxa"/>
              <w:end w:w="70" w:type="dxa"/>
            </w:tcMar>
          </w:tcPr>
          <w:p>
            <w:pPr>
              <w:spacing w:after="0" w:before="0" w:line="240" w:lineRule="auto"/>
            </w:pPr>
            <w:r/>
            <w:r>
              <w:rPr>
                <w:rFonts w:ascii="Aptos" w:hAnsi="Aptos"/>
                <w:b w:val="0"/>
                <w:sz w:val="15"/>
              </w:rPr>
              <w:t>Horas de conexión y datos transferidos desde AWS hacia el centro/Internet.</w:t>
            </w:r>
          </w:p>
        </w:tc>
      </w:tr>
      <w:tr>
        <w:trPr>
          <w:cantSplit/>
        </w:trPr>
        <w:tc>
          <w:tcPr>
            <w:tcW w:type="dxa" w:w="1701"/>
            <w:vAlign w:val="center"/>
            <w:tcMar>
              <w:top w:w="60" w:type="dxa"/>
              <w:start w:w="70" w:type="dxa"/>
              <w:bottom w:w="60" w:type="dxa"/>
              <w:end w:w="70" w:type="dxa"/>
            </w:tcMar>
            <w:shd w:fill="F3F6F8"/>
          </w:tcPr>
          <w:p>
            <w:pPr>
              <w:spacing w:after="0" w:before="0" w:line="240" w:lineRule="auto"/>
            </w:pPr>
            <w:r/>
            <w:r>
              <w:rPr>
                <w:rFonts w:ascii="Aptos" w:hAnsi="Aptos"/>
                <w:b w:val="0"/>
                <w:sz w:val="15"/>
              </w:rPr>
              <w:t>Amazon CloudWatch</w:t>
            </w:r>
          </w:p>
        </w:tc>
        <w:tc>
          <w:tcPr>
            <w:tcW w:type="dxa" w:w="4082"/>
            <w:vAlign w:val="center"/>
            <w:tcMar>
              <w:top w:w="60" w:type="dxa"/>
              <w:start w:w="70" w:type="dxa"/>
              <w:bottom w:w="60" w:type="dxa"/>
              <w:end w:w="70" w:type="dxa"/>
            </w:tcMar>
            <w:shd w:fill="F3F6F8"/>
          </w:tcPr>
          <w:p>
            <w:pPr>
              <w:spacing w:after="0" w:before="0" w:line="240" w:lineRule="auto"/>
            </w:pPr>
            <w:r/>
            <w:r>
              <w:rPr>
                <w:rFonts w:ascii="Aptos" w:hAnsi="Aptos"/>
                <w:b w:val="0"/>
                <w:sz w:val="15"/>
              </w:rPr>
              <w:t>20 GB/mes de ingestión de registros y métricas básicas.</w:t>
            </w:r>
          </w:p>
        </w:tc>
        <w:tc>
          <w:tcPr>
            <w:tcW w:type="dxa" w:w="4139"/>
            <w:vAlign w:val="center"/>
            <w:tcMar>
              <w:top w:w="60" w:type="dxa"/>
              <w:start w:w="70" w:type="dxa"/>
              <w:bottom w:w="60" w:type="dxa"/>
              <w:end w:w="70" w:type="dxa"/>
            </w:tcMar>
            <w:shd w:fill="F3F6F8"/>
          </w:tcPr>
          <w:p>
            <w:pPr>
              <w:spacing w:after="0" w:before="0" w:line="240" w:lineRule="auto"/>
            </w:pPr>
            <w:r/>
            <w:r>
              <w:rPr>
                <w:rFonts w:ascii="Aptos" w:hAnsi="Aptos"/>
                <w:b w:val="0"/>
                <w:sz w:val="15"/>
              </w:rPr>
              <w:t>GB de logs ingeridos, métricas personalizadas y consultas; se limita la retención para evitar gasto no justificado.</w:t>
            </w:r>
          </w:p>
        </w:tc>
      </w:tr>
      <w:tr>
        <w:trPr>
          <w:cantSplit/>
        </w:trPr>
        <w:tc>
          <w:tcPr>
            <w:tcW w:type="dxa" w:w="1701"/>
            <w:vAlign w:val="center"/>
            <w:tcMar>
              <w:top w:w="60" w:type="dxa"/>
              <w:start w:w="70" w:type="dxa"/>
              <w:bottom w:w="60" w:type="dxa"/>
              <w:end w:w="70" w:type="dxa"/>
            </w:tcMar>
          </w:tcPr>
          <w:p>
            <w:pPr>
              <w:spacing w:after="0" w:before="0" w:line="240" w:lineRule="auto"/>
            </w:pPr>
            <w:r/>
            <w:r>
              <w:rPr>
                <w:rFonts w:ascii="Aptos" w:hAnsi="Aptos"/>
                <w:b w:val="0"/>
                <w:sz w:val="15"/>
              </w:rPr>
              <w:t>Transferencia de datos e IPv4</w:t>
            </w:r>
          </w:p>
        </w:tc>
        <w:tc>
          <w:tcPr>
            <w:tcW w:type="dxa" w:w="4082"/>
            <w:vAlign w:val="center"/>
            <w:tcMar>
              <w:top w:w="60" w:type="dxa"/>
              <w:start w:w="70" w:type="dxa"/>
              <w:bottom w:w="60" w:type="dxa"/>
              <w:end w:w="70" w:type="dxa"/>
            </w:tcMar>
          </w:tcPr>
          <w:p>
            <w:pPr>
              <w:spacing w:after="0" w:before="0" w:line="240" w:lineRule="auto"/>
            </w:pPr>
            <w:r/>
            <w:r>
              <w:rPr>
                <w:rFonts w:ascii="Aptos" w:hAnsi="Aptos"/>
                <w:b w:val="0"/>
                <w:sz w:val="15"/>
              </w:rPr>
              <w:t>2 TB/mes de tráfico de salida presupuestado y 3 direcciones IPv4 públicas equivalentes.</w:t>
            </w:r>
          </w:p>
        </w:tc>
        <w:tc>
          <w:tcPr>
            <w:tcW w:type="dxa" w:w="4139"/>
            <w:vAlign w:val="center"/>
            <w:tcMar>
              <w:top w:w="60" w:type="dxa"/>
              <w:start w:w="70" w:type="dxa"/>
              <w:bottom w:w="60" w:type="dxa"/>
              <w:end w:w="70" w:type="dxa"/>
            </w:tcMar>
          </w:tcPr>
          <w:p>
            <w:pPr>
              <w:spacing w:after="0" w:before="0" w:line="240" w:lineRule="auto"/>
            </w:pPr>
            <w:r/>
            <w:r>
              <w:rPr>
                <w:rFonts w:ascii="Aptos" w:hAnsi="Aptos"/>
                <w:b w:val="0"/>
                <w:sz w:val="15"/>
              </w:rPr>
              <w:t>El tráfico entrante suele no cobrarse, pero la salida y las IPv4 públicas tienen precio por uso.</w:t>
            </w:r>
          </w:p>
        </w:tc>
      </w:tr>
    </w:tbl>
    <w:p>
      <w:pPr>
        <w:spacing w:after="20"/>
      </w:pPr>
    </w:p>
    <w:p>
      <w:r>
        <w:rPr>
          <w:i w:val="0"/>
        </w:rPr>
        <w:t>Hipótesis de uso para la estimación: 730 horas/mes en instancias siempre encendidas, precios bajo demanda (On-Demand), región eu-south-2, sin descuentos por compromiso, sin licencias adquiridas por separado y sin servicio de soporte AWS de pago. Se supone 2 TB de salida mensual y 10 TB medios de copias de FSx. Estos valores son variables relevantes: si el centro descarga muchos archivos o conserva más copias/versiones, la factura crece.</w:t>
      </w:r>
    </w:p>
    <w:tbl>
      <w:tblPr>
        <w:tblW w:type="auto" w:w="0"/>
        <w:jc w:val="center"/>
        <w:tblLook w:firstColumn="1" w:firstRow="1" w:lastColumn="0" w:lastRow="0" w:noHBand="0" w:noVBand="1" w:val="04A0"/>
      </w:tblPr>
      <w:tblGrid>
        <w:gridCol w:w="10200"/>
      </w:tblGrid>
      <w:tr>
        <w:trPr>
          <w:cantSplit/>
        </w:trPr>
        <w:tc>
          <w:tcPr>
            <w:tcW w:type="dxa" w:w="10200"/>
            <w:shd w:fill="EAF1F6"/>
            <w:tcMar>
              <w:top w:w="100" w:type="dxa"/>
              <w:start w:w="130" w:type="dxa"/>
              <w:bottom w:w="100" w:type="dxa"/>
              <w:end w:w="130" w:type="dxa"/>
            </w:tcMar>
          </w:tcPr>
          <w:p>
            <w:pPr>
              <w:spacing w:after="0"/>
            </w:pPr>
            <w:r/>
            <w:r>
              <w:rPr>
                <w:color w:val="264255"/>
                <w:sz w:val="17"/>
              </w:rPr>
              <w:t>FSx para Windows File Server es el servicio apropiado cuando se desea mantener un recurso compartido SMB gestionado. El precio de FSx depende expresamente de capacidad de almacenamiento, throughput, modalidad de despliegue, copias y transferencia; por eso el coste de la tabla es sensible a las hipótesis [13]. Las tarifas de referencia de ejemplos públicos pueden corresponder a otra región; deben validarse introduciendo eu-south-2 en la calculadora.</w:t>
            </w:r>
          </w:p>
        </w:tc>
      </w:tr>
    </w:tbl>
    <w:p>
      <w:pPr>
        <w:spacing w:after="20"/>
      </w:pPr>
    </w:p>
    <w:p>
      <w:pPr>
        <w:pStyle w:val="Heading2"/>
      </w:pPr>
      <w:r>
        <w:t>5.2. B. Cálculo preliminar del coste mensual</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438"/>
            <w:vAlign w:val="center"/>
            <w:tcMar>
              <w:top w:w="60" w:type="dxa"/>
              <w:start w:w="70" w:type="dxa"/>
              <w:bottom w:w="60" w:type="dxa"/>
              <w:end w:w="70" w:type="dxa"/>
            </w:tcMar>
            <w:shd w:fill="#17324D"/>
          </w:tcPr>
          <w:p>
            <w:pPr>
              <w:spacing w:after="0" w:before="0" w:line="240" w:lineRule="auto"/>
            </w:pPr>
            <w:r/>
            <w:r>
              <w:rPr>
                <w:rFonts w:ascii="Aptos" w:hAnsi="Aptos"/>
                <w:b/>
                <w:color w:val="FFFFFF"/>
                <w:sz w:val="15"/>
              </w:rPr>
              <w:t>Concepto</w:t>
            </w:r>
          </w:p>
        </w:tc>
        <w:tc>
          <w:tcPr>
            <w:tcW w:type="dxa" w:w="5102"/>
            <w:vAlign w:val="center"/>
            <w:tcMar>
              <w:top w:w="60" w:type="dxa"/>
              <w:start w:w="70" w:type="dxa"/>
              <w:bottom w:w="60" w:type="dxa"/>
              <w:end w:w="70" w:type="dxa"/>
            </w:tcMar>
            <w:shd w:fill="#17324D"/>
          </w:tcPr>
          <w:p>
            <w:pPr>
              <w:spacing w:after="0" w:before="0" w:line="240" w:lineRule="auto"/>
            </w:pPr>
            <w:r/>
            <w:r>
              <w:rPr>
                <w:rFonts w:ascii="Aptos" w:hAnsi="Aptos"/>
                <w:b/>
                <w:color w:val="FFFFFF"/>
                <w:sz w:val="15"/>
              </w:rPr>
              <w:t>Hipótesis</w:t>
            </w:r>
          </w:p>
        </w:tc>
        <w:tc>
          <w:tcPr>
            <w:tcW w:type="dxa" w:w="2381"/>
            <w:vAlign w:val="center"/>
            <w:tcMar>
              <w:top w:w="60" w:type="dxa"/>
              <w:start w:w="70" w:type="dxa"/>
              <w:bottom w:w="60" w:type="dxa"/>
              <w:end w:w="70" w:type="dxa"/>
            </w:tcMar>
            <w:shd w:fill="#17324D"/>
          </w:tcPr>
          <w:p>
            <w:pPr>
              <w:spacing w:after="0" w:before="0" w:line="240" w:lineRule="auto"/>
            </w:pPr>
            <w:r/>
            <w:r>
              <w:rPr>
                <w:rFonts w:ascii="Aptos" w:hAnsi="Aptos"/>
                <w:b/>
                <w:color w:val="FFFFFF"/>
                <w:sz w:val="15"/>
              </w:rPr>
              <w:t>Coste mensual estimado</w:t>
            </w:r>
          </w:p>
        </w:tc>
      </w:tr>
      <w:tr>
        <w:trPr>
          <w:cantSplit/>
        </w:trPr>
        <w:tc>
          <w:tcPr>
            <w:tcW w:type="dxa" w:w="2438"/>
            <w:vAlign w:val="center"/>
            <w:tcMar>
              <w:top w:w="60" w:type="dxa"/>
              <w:start w:w="70" w:type="dxa"/>
              <w:bottom w:w="60" w:type="dxa"/>
              <w:end w:w="70" w:type="dxa"/>
            </w:tcMar>
          </w:tcPr>
          <w:p>
            <w:pPr>
              <w:spacing w:after="0" w:before="0" w:line="240" w:lineRule="auto"/>
            </w:pPr>
            <w:r/>
            <w:r>
              <w:rPr>
                <w:rFonts w:ascii="Aptos" w:hAnsi="Aptos"/>
                <w:b w:val="0"/>
                <w:sz w:val="15"/>
              </w:rPr>
              <w:t>EC2: 2 × t3.large</w:t>
            </w:r>
          </w:p>
        </w:tc>
        <w:tc>
          <w:tcPr>
            <w:tcW w:type="dxa" w:w="5102"/>
            <w:vAlign w:val="center"/>
            <w:tcMar>
              <w:top w:w="60" w:type="dxa"/>
              <w:start w:w="70" w:type="dxa"/>
              <w:bottom w:w="60" w:type="dxa"/>
              <w:end w:w="70" w:type="dxa"/>
            </w:tcMar>
          </w:tcPr>
          <w:p>
            <w:pPr>
              <w:spacing w:after="0" w:before="0" w:line="240" w:lineRule="auto"/>
            </w:pPr>
            <w:r/>
            <w:r>
              <w:rPr>
                <w:rFonts w:ascii="Aptos" w:hAnsi="Aptos"/>
                <w:b w:val="0"/>
                <w:sz w:val="15"/>
              </w:rPr>
              <w:t>24×7; Linux</w:t>
            </w:r>
          </w:p>
        </w:tc>
        <w:tc>
          <w:tcPr>
            <w:tcW w:type="dxa" w:w="2381"/>
            <w:vAlign w:val="center"/>
            <w:tcMar>
              <w:top w:w="60" w:type="dxa"/>
              <w:start w:w="70" w:type="dxa"/>
              <w:bottom w:w="60" w:type="dxa"/>
              <w:end w:w="70" w:type="dxa"/>
            </w:tcMar>
          </w:tcPr>
          <w:p>
            <w:pPr>
              <w:spacing w:after="0" w:before="0" w:line="240" w:lineRule="auto"/>
            </w:pPr>
            <w:r/>
            <w:r>
              <w:rPr>
                <w:rFonts w:ascii="Aptos" w:hAnsi="Aptos"/>
                <w:b w:val="0"/>
                <w:sz w:val="15"/>
              </w:rPr>
              <w:t>119 €</w:t>
            </w:r>
          </w:p>
        </w:tc>
      </w:tr>
      <w:tr>
        <w:trPr>
          <w:cantSplit/>
        </w:trPr>
        <w:tc>
          <w:tcPr>
            <w:tcW w:type="dxa" w:w="2438"/>
            <w:vAlign w:val="center"/>
            <w:tcMar>
              <w:top w:w="60" w:type="dxa"/>
              <w:start w:w="70" w:type="dxa"/>
              <w:bottom w:w="60" w:type="dxa"/>
              <w:end w:w="70" w:type="dxa"/>
            </w:tcMar>
            <w:shd w:fill="F3F6F8"/>
          </w:tcPr>
          <w:p>
            <w:pPr>
              <w:spacing w:after="0" w:before="0" w:line="240" w:lineRule="auto"/>
            </w:pPr>
            <w:r/>
            <w:r>
              <w:rPr>
                <w:rFonts w:ascii="Aptos" w:hAnsi="Aptos"/>
                <w:b w:val="0"/>
                <w:sz w:val="15"/>
              </w:rPr>
              <w:t>EC2: 1 × t3.small</w:t>
            </w:r>
          </w:p>
        </w:tc>
        <w:tc>
          <w:tcPr>
            <w:tcW w:type="dxa" w:w="5102"/>
            <w:vAlign w:val="center"/>
            <w:tcMar>
              <w:top w:w="60" w:type="dxa"/>
              <w:start w:w="70" w:type="dxa"/>
              <w:bottom w:w="60" w:type="dxa"/>
              <w:end w:w="70" w:type="dxa"/>
            </w:tcMar>
            <w:shd w:fill="F3F6F8"/>
          </w:tcPr>
          <w:p>
            <w:pPr>
              <w:spacing w:after="0" w:before="0" w:line="240" w:lineRule="auto"/>
            </w:pPr>
            <w:r/>
            <w:r>
              <w:rPr>
                <w:rFonts w:ascii="Aptos" w:hAnsi="Aptos"/>
                <w:b w:val="0"/>
                <w:sz w:val="15"/>
              </w:rPr>
              <w:t>24×7; Linux</w:t>
            </w:r>
          </w:p>
        </w:tc>
        <w:tc>
          <w:tcPr>
            <w:tcW w:type="dxa" w:w="2381"/>
            <w:vAlign w:val="center"/>
            <w:tcMar>
              <w:top w:w="60" w:type="dxa"/>
              <w:start w:w="70" w:type="dxa"/>
              <w:bottom w:w="60" w:type="dxa"/>
              <w:end w:w="70" w:type="dxa"/>
            </w:tcMar>
            <w:shd w:fill="F3F6F8"/>
          </w:tcPr>
          <w:p>
            <w:pPr>
              <w:spacing w:after="0" w:before="0" w:line="240" w:lineRule="auto"/>
            </w:pPr>
            <w:r/>
            <w:r>
              <w:rPr>
                <w:rFonts w:ascii="Aptos" w:hAnsi="Aptos"/>
                <w:b w:val="0"/>
                <w:sz w:val="15"/>
              </w:rPr>
              <w:t>15 €</w:t>
            </w:r>
          </w:p>
        </w:tc>
      </w:tr>
      <w:tr>
        <w:trPr>
          <w:cantSplit/>
        </w:trPr>
        <w:tc>
          <w:tcPr>
            <w:tcW w:type="dxa" w:w="2438"/>
            <w:vAlign w:val="center"/>
            <w:tcMar>
              <w:top w:w="60" w:type="dxa"/>
              <w:start w:w="70" w:type="dxa"/>
              <w:bottom w:w="60" w:type="dxa"/>
              <w:end w:w="70" w:type="dxa"/>
            </w:tcMar>
          </w:tcPr>
          <w:p>
            <w:pPr>
              <w:spacing w:after="0" w:before="0" w:line="240" w:lineRule="auto"/>
            </w:pPr>
            <w:r/>
            <w:r>
              <w:rPr>
                <w:rFonts w:ascii="Aptos" w:hAnsi="Aptos"/>
                <w:b w:val="0"/>
                <w:sz w:val="15"/>
              </w:rPr>
              <w:t>EBS gp3</w:t>
            </w:r>
          </w:p>
        </w:tc>
        <w:tc>
          <w:tcPr>
            <w:tcW w:type="dxa" w:w="5102"/>
            <w:vAlign w:val="center"/>
            <w:tcMar>
              <w:top w:w="60" w:type="dxa"/>
              <w:start w:w="70" w:type="dxa"/>
              <w:bottom w:w="60" w:type="dxa"/>
              <w:end w:w="70" w:type="dxa"/>
            </w:tcMar>
          </w:tcPr>
          <w:p>
            <w:pPr>
              <w:spacing w:after="0" w:before="0" w:line="240" w:lineRule="auto"/>
            </w:pPr>
            <w:r/>
            <w:r>
              <w:rPr>
                <w:rFonts w:ascii="Aptos" w:hAnsi="Aptos"/>
                <w:b w:val="0"/>
                <w:sz w:val="15"/>
              </w:rPr>
              <w:t>300 GB</w:t>
            </w:r>
          </w:p>
        </w:tc>
        <w:tc>
          <w:tcPr>
            <w:tcW w:type="dxa" w:w="2381"/>
            <w:vAlign w:val="center"/>
            <w:tcMar>
              <w:top w:w="60" w:type="dxa"/>
              <w:start w:w="70" w:type="dxa"/>
              <w:bottom w:w="60" w:type="dxa"/>
              <w:end w:w="70" w:type="dxa"/>
            </w:tcMar>
          </w:tcPr>
          <w:p>
            <w:pPr>
              <w:spacing w:after="0" w:before="0" w:line="240" w:lineRule="auto"/>
            </w:pPr>
            <w:r/>
            <w:r>
              <w:rPr>
                <w:rFonts w:ascii="Aptos" w:hAnsi="Aptos"/>
                <w:b w:val="0"/>
                <w:sz w:val="15"/>
              </w:rPr>
              <w:t>30 €</w:t>
            </w:r>
          </w:p>
        </w:tc>
      </w:tr>
      <w:tr>
        <w:trPr>
          <w:cantSplit/>
        </w:trPr>
        <w:tc>
          <w:tcPr>
            <w:tcW w:type="dxa" w:w="2438"/>
            <w:vAlign w:val="center"/>
            <w:tcMar>
              <w:top w:w="60" w:type="dxa"/>
              <w:start w:w="70" w:type="dxa"/>
              <w:bottom w:w="60" w:type="dxa"/>
              <w:end w:w="70" w:type="dxa"/>
            </w:tcMar>
            <w:shd w:fill="F3F6F8"/>
          </w:tcPr>
          <w:p>
            <w:pPr>
              <w:spacing w:after="0" w:before="0" w:line="240" w:lineRule="auto"/>
            </w:pPr>
            <w:r/>
            <w:r>
              <w:rPr>
                <w:rFonts w:ascii="Aptos" w:hAnsi="Aptos"/>
                <w:b w:val="0"/>
                <w:sz w:val="15"/>
              </w:rPr>
              <w:t>RDS PostgreSQL Multi-AZ</w:t>
            </w:r>
          </w:p>
        </w:tc>
        <w:tc>
          <w:tcPr>
            <w:tcW w:type="dxa" w:w="5102"/>
            <w:vAlign w:val="center"/>
            <w:tcMar>
              <w:top w:w="60" w:type="dxa"/>
              <w:start w:w="70" w:type="dxa"/>
              <w:bottom w:w="60" w:type="dxa"/>
              <w:end w:w="70" w:type="dxa"/>
            </w:tcMar>
            <w:shd w:fill="F3F6F8"/>
          </w:tcPr>
          <w:p>
            <w:pPr>
              <w:spacing w:after="0" w:before="0" w:line="240" w:lineRule="auto"/>
            </w:pPr>
            <w:r/>
            <w:r>
              <w:rPr>
                <w:rFonts w:ascii="Aptos" w:hAnsi="Aptos"/>
                <w:b w:val="0"/>
                <w:sz w:val="15"/>
              </w:rPr>
              <w:t>db.t3.medium; 150 GB; copias de 7 días</w:t>
            </w:r>
          </w:p>
        </w:tc>
        <w:tc>
          <w:tcPr>
            <w:tcW w:type="dxa" w:w="2381"/>
            <w:vAlign w:val="center"/>
            <w:tcMar>
              <w:top w:w="60" w:type="dxa"/>
              <w:start w:w="70" w:type="dxa"/>
              <w:bottom w:w="60" w:type="dxa"/>
              <w:end w:w="70" w:type="dxa"/>
            </w:tcMar>
            <w:shd w:fill="F3F6F8"/>
          </w:tcPr>
          <w:p>
            <w:pPr>
              <w:spacing w:after="0" w:before="0" w:line="240" w:lineRule="auto"/>
            </w:pPr>
            <w:r/>
            <w:r>
              <w:rPr>
                <w:rFonts w:ascii="Aptos" w:hAnsi="Aptos"/>
                <w:b w:val="0"/>
                <w:sz w:val="15"/>
              </w:rPr>
              <w:t>95 €</w:t>
            </w:r>
          </w:p>
        </w:tc>
      </w:tr>
      <w:tr>
        <w:trPr>
          <w:cantSplit/>
        </w:trPr>
        <w:tc>
          <w:tcPr>
            <w:tcW w:type="dxa" w:w="2438"/>
            <w:vAlign w:val="center"/>
            <w:tcMar>
              <w:top w:w="60" w:type="dxa"/>
              <w:start w:w="70" w:type="dxa"/>
              <w:bottom w:w="60" w:type="dxa"/>
              <w:end w:w="70" w:type="dxa"/>
            </w:tcMar>
          </w:tcPr>
          <w:p>
            <w:pPr>
              <w:spacing w:after="0" w:before="0" w:line="240" w:lineRule="auto"/>
            </w:pPr>
            <w:r/>
            <w:r>
              <w:rPr>
                <w:rFonts w:ascii="Aptos" w:hAnsi="Aptos"/>
                <w:b w:val="0"/>
                <w:sz w:val="15"/>
              </w:rPr>
              <w:t>FSx for Windows File Server</w:t>
            </w:r>
          </w:p>
        </w:tc>
        <w:tc>
          <w:tcPr>
            <w:tcW w:type="dxa" w:w="5102"/>
            <w:vAlign w:val="center"/>
            <w:tcMar>
              <w:top w:w="60" w:type="dxa"/>
              <w:start w:w="70" w:type="dxa"/>
              <w:bottom w:w="60" w:type="dxa"/>
              <w:end w:w="70" w:type="dxa"/>
            </w:tcMar>
          </w:tcPr>
          <w:p>
            <w:pPr>
              <w:spacing w:after="0" w:before="0" w:line="240" w:lineRule="auto"/>
            </w:pPr>
            <w:r/>
            <w:r>
              <w:rPr>
                <w:rFonts w:ascii="Aptos" w:hAnsi="Aptos"/>
                <w:b w:val="0"/>
                <w:sz w:val="15"/>
              </w:rPr>
              <w:t>20 TB HDD Multi-AZ; 16 MB/s; 10 TB medios de copia</w:t>
            </w:r>
          </w:p>
        </w:tc>
        <w:tc>
          <w:tcPr>
            <w:tcW w:type="dxa" w:w="2381"/>
            <w:vAlign w:val="center"/>
            <w:tcMar>
              <w:top w:w="60" w:type="dxa"/>
              <w:start w:w="70" w:type="dxa"/>
              <w:bottom w:w="60" w:type="dxa"/>
              <w:end w:w="70" w:type="dxa"/>
            </w:tcMar>
          </w:tcPr>
          <w:p>
            <w:pPr>
              <w:spacing w:after="0" w:before="0" w:line="240" w:lineRule="auto"/>
            </w:pPr>
            <w:r/>
            <w:r>
              <w:rPr>
                <w:rFonts w:ascii="Aptos" w:hAnsi="Aptos"/>
                <w:b w:val="0"/>
                <w:sz w:val="15"/>
              </w:rPr>
              <w:t>941 €</w:t>
            </w:r>
          </w:p>
        </w:tc>
      </w:tr>
      <w:tr>
        <w:trPr>
          <w:cantSplit/>
        </w:trPr>
        <w:tc>
          <w:tcPr>
            <w:tcW w:type="dxa" w:w="2438"/>
            <w:vAlign w:val="center"/>
            <w:tcMar>
              <w:top w:w="60" w:type="dxa"/>
              <w:start w:w="70" w:type="dxa"/>
              <w:bottom w:w="60" w:type="dxa"/>
              <w:end w:w="70" w:type="dxa"/>
            </w:tcMar>
            <w:shd w:fill="F3F6F8"/>
          </w:tcPr>
          <w:p>
            <w:pPr>
              <w:spacing w:after="0" w:before="0" w:line="240" w:lineRule="auto"/>
            </w:pPr>
            <w:r/>
            <w:r>
              <w:rPr>
                <w:rFonts w:ascii="Aptos" w:hAnsi="Aptos"/>
                <w:b w:val="0"/>
                <w:sz w:val="15"/>
              </w:rPr>
              <w:t>S3 Glacier Deep Archive</w:t>
            </w:r>
          </w:p>
        </w:tc>
        <w:tc>
          <w:tcPr>
            <w:tcW w:type="dxa" w:w="5102"/>
            <w:vAlign w:val="center"/>
            <w:tcMar>
              <w:top w:w="60" w:type="dxa"/>
              <w:start w:w="70" w:type="dxa"/>
              <w:bottom w:w="60" w:type="dxa"/>
              <w:end w:w="70" w:type="dxa"/>
            </w:tcMar>
            <w:shd w:fill="F3F6F8"/>
          </w:tcPr>
          <w:p>
            <w:pPr>
              <w:spacing w:after="0" w:before="0" w:line="240" w:lineRule="auto"/>
            </w:pPr>
            <w:r/>
            <w:r>
              <w:rPr>
                <w:rFonts w:ascii="Aptos" w:hAnsi="Aptos"/>
                <w:b w:val="0"/>
                <w:sz w:val="15"/>
              </w:rPr>
              <w:t>10 TB de copia adicional crítica</w:t>
            </w:r>
          </w:p>
        </w:tc>
        <w:tc>
          <w:tcPr>
            <w:tcW w:type="dxa" w:w="2381"/>
            <w:vAlign w:val="center"/>
            <w:tcMar>
              <w:top w:w="60" w:type="dxa"/>
              <w:start w:w="70" w:type="dxa"/>
              <w:bottom w:w="60" w:type="dxa"/>
              <w:end w:w="70" w:type="dxa"/>
            </w:tcMar>
            <w:shd w:fill="F3F6F8"/>
          </w:tcPr>
          <w:p>
            <w:pPr>
              <w:spacing w:after="0" w:before="0" w:line="240" w:lineRule="auto"/>
            </w:pPr>
            <w:r/>
            <w:r>
              <w:rPr>
                <w:rFonts w:ascii="Aptos" w:hAnsi="Aptos"/>
                <w:b w:val="0"/>
                <w:sz w:val="15"/>
              </w:rPr>
              <w:t>15 €</w:t>
            </w:r>
          </w:p>
        </w:tc>
      </w:tr>
      <w:tr>
        <w:trPr>
          <w:cantSplit/>
        </w:trPr>
        <w:tc>
          <w:tcPr>
            <w:tcW w:type="dxa" w:w="2438"/>
            <w:vAlign w:val="center"/>
            <w:tcMar>
              <w:top w:w="60" w:type="dxa"/>
              <w:start w:w="70" w:type="dxa"/>
              <w:bottom w:w="60" w:type="dxa"/>
              <w:end w:w="70" w:type="dxa"/>
            </w:tcMar>
          </w:tcPr>
          <w:p>
            <w:pPr>
              <w:spacing w:after="0" w:before="0" w:line="240" w:lineRule="auto"/>
            </w:pPr>
            <w:r/>
            <w:r>
              <w:rPr>
                <w:rFonts w:ascii="Aptos" w:hAnsi="Aptos"/>
                <w:b w:val="0"/>
                <w:sz w:val="15"/>
              </w:rPr>
              <w:t>Site-to-Site VPN</w:t>
            </w:r>
          </w:p>
        </w:tc>
        <w:tc>
          <w:tcPr>
            <w:tcW w:type="dxa" w:w="5102"/>
            <w:vAlign w:val="center"/>
            <w:tcMar>
              <w:top w:w="60" w:type="dxa"/>
              <w:start w:w="70" w:type="dxa"/>
              <w:bottom w:w="60" w:type="dxa"/>
              <w:end w:w="70" w:type="dxa"/>
            </w:tcMar>
          </w:tcPr>
          <w:p>
            <w:pPr>
              <w:spacing w:after="0" w:before="0" w:line="240" w:lineRule="auto"/>
            </w:pPr>
            <w:r/>
            <w:r>
              <w:rPr>
                <w:rFonts w:ascii="Aptos" w:hAnsi="Aptos"/>
                <w:b w:val="0"/>
                <w:sz w:val="15"/>
              </w:rPr>
              <w:t>1 conexión, 730 h/mes</w:t>
            </w:r>
          </w:p>
        </w:tc>
        <w:tc>
          <w:tcPr>
            <w:tcW w:type="dxa" w:w="2381"/>
            <w:vAlign w:val="center"/>
            <w:tcMar>
              <w:top w:w="60" w:type="dxa"/>
              <w:start w:w="70" w:type="dxa"/>
              <w:bottom w:w="60" w:type="dxa"/>
              <w:end w:w="70" w:type="dxa"/>
            </w:tcMar>
          </w:tcPr>
          <w:p>
            <w:pPr>
              <w:spacing w:after="0" w:before="0" w:line="240" w:lineRule="auto"/>
            </w:pPr>
            <w:r/>
            <w:r>
              <w:rPr>
                <w:rFonts w:ascii="Aptos" w:hAnsi="Aptos"/>
                <w:b w:val="0"/>
                <w:sz w:val="15"/>
              </w:rPr>
              <w:t>36 €</w:t>
            </w:r>
          </w:p>
        </w:tc>
      </w:tr>
      <w:tr>
        <w:trPr>
          <w:cantSplit/>
        </w:trPr>
        <w:tc>
          <w:tcPr>
            <w:tcW w:type="dxa" w:w="2438"/>
            <w:vAlign w:val="center"/>
            <w:tcMar>
              <w:top w:w="60" w:type="dxa"/>
              <w:start w:w="70" w:type="dxa"/>
              <w:bottom w:w="60" w:type="dxa"/>
              <w:end w:w="70" w:type="dxa"/>
            </w:tcMar>
            <w:shd w:fill="F3F6F8"/>
          </w:tcPr>
          <w:p>
            <w:pPr>
              <w:spacing w:after="0" w:before="0" w:line="240" w:lineRule="auto"/>
            </w:pPr>
            <w:r/>
            <w:r>
              <w:rPr>
                <w:rFonts w:ascii="Aptos" w:hAnsi="Aptos"/>
                <w:b w:val="0"/>
                <w:sz w:val="15"/>
              </w:rPr>
              <w:t>IPv4 pública</w:t>
            </w:r>
          </w:p>
        </w:tc>
        <w:tc>
          <w:tcPr>
            <w:tcW w:type="dxa" w:w="5102"/>
            <w:vAlign w:val="center"/>
            <w:tcMar>
              <w:top w:w="60" w:type="dxa"/>
              <w:start w:w="70" w:type="dxa"/>
              <w:bottom w:w="60" w:type="dxa"/>
              <w:end w:w="70" w:type="dxa"/>
            </w:tcMar>
            <w:shd w:fill="F3F6F8"/>
          </w:tcPr>
          <w:p>
            <w:pPr>
              <w:spacing w:after="0" w:before="0" w:line="240" w:lineRule="auto"/>
            </w:pPr>
            <w:r/>
            <w:r>
              <w:rPr>
                <w:rFonts w:ascii="Aptos" w:hAnsi="Aptos"/>
                <w:b w:val="0"/>
                <w:sz w:val="15"/>
              </w:rPr>
              <w:t>3 direcciones equivalentes</w:t>
            </w:r>
          </w:p>
        </w:tc>
        <w:tc>
          <w:tcPr>
            <w:tcW w:type="dxa" w:w="2381"/>
            <w:vAlign w:val="center"/>
            <w:tcMar>
              <w:top w:w="60" w:type="dxa"/>
              <w:start w:w="70" w:type="dxa"/>
              <w:bottom w:w="60" w:type="dxa"/>
              <w:end w:w="70" w:type="dxa"/>
            </w:tcMar>
            <w:shd w:fill="F3F6F8"/>
          </w:tcPr>
          <w:p>
            <w:pPr>
              <w:spacing w:after="0" w:before="0" w:line="240" w:lineRule="auto"/>
            </w:pPr>
            <w:r/>
            <w:r>
              <w:rPr>
                <w:rFonts w:ascii="Aptos" w:hAnsi="Aptos"/>
                <w:b w:val="0"/>
                <w:sz w:val="15"/>
              </w:rPr>
              <w:t>11 €</w:t>
            </w:r>
          </w:p>
        </w:tc>
      </w:tr>
      <w:tr>
        <w:trPr>
          <w:cantSplit/>
        </w:trPr>
        <w:tc>
          <w:tcPr>
            <w:tcW w:type="dxa" w:w="2438"/>
            <w:vAlign w:val="center"/>
            <w:tcMar>
              <w:top w:w="60" w:type="dxa"/>
              <w:start w:w="70" w:type="dxa"/>
              <w:bottom w:w="60" w:type="dxa"/>
              <w:end w:w="70" w:type="dxa"/>
            </w:tcMar>
          </w:tcPr>
          <w:p>
            <w:pPr>
              <w:spacing w:after="0" w:before="0" w:line="240" w:lineRule="auto"/>
            </w:pPr>
            <w:r/>
            <w:r>
              <w:rPr>
                <w:rFonts w:ascii="Aptos" w:hAnsi="Aptos"/>
                <w:b w:val="0"/>
                <w:sz w:val="15"/>
              </w:rPr>
              <w:t>Transferencia de salida</w:t>
            </w:r>
          </w:p>
        </w:tc>
        <w:tc>
          <w:tcPr>
            <w:tcW w:type="dxa" w:w="5102"/>
            <w:vAlign w:val="center"/>
            <w:tcMar>
              <w:top w:w="60" w:type="dxa"/>
              <w:start w:w="70" w:type="dxa"/>
              <w:bottom w:w="60" w:type="dxa"/>
              <w:end w:w="70" w:type="dxa"/>
            </w:tcMar>
          </w:tcPr>
          <w:p>
            <w:pPr>
              <w:spacing w:after="0" w:before="0" w:line="240" w:lineRule="auto"/>
            </w:pPr>
            <w:r/>
            <w:r>
              <w:rPr>
                <w:rFonts w:ascii="Aptos" w:hAnsi="Aptos"/>
                <w:b w:val="0"/>
                <w:sz w:val="15"/>
              </w:rPr>
              <w:t>2 TB/mes estimados</w:t>
            </w:r>
          </w:p>
        </w:tc>
        <w:tc>
          <w:tcPr>
            <w:tcW w:type="dxa" w:w="2381"/>
            <w:vAlign w:val="center"/>
            <w:tcMar>
              <w:top w:w="60" w:type="dxa"/>
              <w:start w:w="70" w:type="dxa"/>
              <w:bottom w:w="60" w:type="dxa"/>
              <w:end w:w="70" w:type="dxa"/>
            </w:tcMar>
          </w:tcPr>
          <w:p>
            <w:pPr>
              <w:spacing w:after="0" w:before="0" w:line="240" w:lineRule="auto"/>
            </w:pPr>
            <w:r/>
            <w:r>
              <w:rPr>
                <w:rFonts w:ascii="Aptos" w:hAnsi="Aptos"/>
                <w:b w:val="0"/>
                <w:sz w:val="15"/>
              </w:rPr>
              <w:t>147 €</w:t>
            </w:r>
          </w:p>
        </w:tc>
      </w:tr>
      <w:tr>
        <w:trPr>
          <w:cantSplit/>
        </w:trPr>
        <w:tc>
          <w:tcPr>
            <w:tcW w:type="dxa" w:w="2438"/>
            <w:vAlign w:val="center"/>
            <w:tcMar>
              <w:top w:w="60" w:type="dxa"/>
              <w:start w:w="70" w:type="dxa"/>
              <w:bottom w:w="60" w:type="dxa"/>
              <w:end w:w="70" w:type="dxa"/>
            </w:tcMar>
            <w:shd w:fill="F3F6F8"/>
          </w:tcPr>
          <w:p>
            <w:pPr>
              <w:spacing w:after="0" w:before="0" w:line="240" w:lineRule="auto"/>
            </w:pPr>
            <w:r/>
            <w:r>
              <w:rPr>
                <w:rFonts w:ascii="Aptos" w:hAnsi="Aptos"/>
                <w:b w:val="0"/>
                <w:sz w:val="15"/>
              </w:rPr>
              <w:t>CloudWatch</w:t>
            </w:r>
          </w:p>
        </w:tc>
        <w:tc>
          <w:tcPr>
            <w:tcW w:type="dxa" w:w="5102"/>
            <w:vAlign w:val="center"/>
            <w:tcMar>
              <w:top w:w="60" w:type="dxa"/>
              <w:start w:w="70" w:type="dxa"/>
              <w:bottom w:w="60" w:type="dxa"/>
              <w:end w:w="70" w:type="dxa"/>
            </w:tcMar>
            <w:shd w:fill="F3F6F8"/>
          </w:tcPr>
          <w:p>
            <w:pPr>
              <w:spacing w:after="0" w:before="0" w:line="240" w:lineRule="auto"/>
            </w:pPr>
            <w:r/>
            <w:r>
              <w:rPr>
                <w:rFonts w:ascii="Aptos" w:hAnsi="Aptos"/>
                <w:b w:val="0"/>
                <w:sz w:val="15"/>
              </w:rPr>
              <w:t>20 GB/mes de logs y métricas básicas</w:t>
            </w:r>
          </w:p>
        </w:tc>
        <w:tc>
          <w:tcPr>
            <w:tcW w:type="dxa" w:w="2381"/>
            <w:vAlign w:val="center"/>
            <w:tcMar>
              <w:top w:w="60" w:type="dxa"/>
              <w:start w:w="70" w:type="dxa"/>
              <w:bottom w:w="60" w:type="dxa"/>
              <w:end w:w="70" w:type="dxa"/>
            </w:tcMar>
            <w:shd w:fill="F3F6F8"/>
          </w:tcPr>
          <w:p>
            <w:pPr>
              <w:spacing w:after="0" w:before="0" w:line="240" w:lineRule="auto"/>
            </w:pPr>
            <w:r/>
            <w:r>
              <w:rPr>
                <w:rFonts w:ascii="Aptos" w:hAnsi="Aptos"/>
                <w:b w:val="0"/>
                <w:sz w:val="15"/>
              </w:rPr>
              <w:t>15 €</w:t>
            </w:r>
          </w:p>
        </w:tc>
      </w:tr>
      <w:tr>
        <w:trPr>
          <w:cantSplit/>
        </w:trPr>
        <w:tc>
          <w:tcPr>
            <w:tcW w:type="dxa" w:w="2438"/>
            <w:vAlign w:val="center"/>
            <w:tcMar>
              <w:top w:w="60" w:type="dxa"/>
              <w:start w:w="70" w:type="dxa"/>
              <w:bottom w:w="60" w:type="dxa"/>
              <w:end w:w="70" w:type="dxa"/>
            </w:tcMar>
          </w:tcPr>
          <w:p>
            <w:pPr>
              <w:spacing w:after="0" w:before="0" w:line="240" w:lineRule="auto"/>
            </w:pPr>
            <w:r/>
            <w:r>
              <w:rPr>
                <w:rFonts w:ascii="Aptos" w:hAnsi="Aptos"/>
                <w:b w:val="0"/>
                <w:sz w:val="15"/>
              </w:rPr>
              <w:t>DNS/solicitudes y margen menor</w:t>
            </w:r>
          </w:p>
        </w:tc>
        <w:tc>
          <w:tcPr>
            <w:tcW w:type="dxa" w:w="5102"/>
            <w:vAlign w:val="center"/>
            <w:tcMar>
              <w:top w:w="60" w:type="dxa"/>
              <w:start w:w="70" w:type="dxa"/>
              <w:bottom w:w="60" w:type="dxa"/>
              <w:end w:w="70" w:type="dxa"/>
            </w:tcMar>
          </w:tcPr>
          <w:p>
            <w:pPr>
              <w:spacing w:after="0" w:before="0" w:line="240" w:lineRule="auto"/>
            </w:pPr>
            <w:r/>
            <w:r>
              <w:rPr>
                <w:rFonts w:ascii="Aptos" w:hAnsi="Aptos"/>
                <w:b w:val="0"/>
                <w:sz w:val="15"/>
              </w:rPr>
              <w:t>Estimación conjunta</w:t>
            </w:r>
          </w:p>
        </w:tc>
        <w:tc>
          <w:tcPr>
            <w:tcW w:type="dxa" w:w="2381"/>
            <w:vAlign w:val="center"/>
            <w:tcMar>
              <w:top w:w="60" w:type="dxa"/>
              <w:start w:w="70" w:type="dxa"/>
              <w:bottom w:w="60" w:type="dxa"/>
              <w:end w:w="70" w:type="dxa"/>
            </w:tcMar>
          </w:tcPr>
          <w:p>
            <w:pPr>
              <w:spacing w:after="0" w:before="0" w:line="240" w:lineRule="auto"/>
            </w:pPr>
            <w:r/>
            <w:r>
              <w:rPr>
                <w:rFonts w:ascii="Aptos" w:hAnsi="Aptos"/>
                <w:b w:val="0"/>
                <w:sz w:val="15"/>
              </w:rPr>
              <w:t>5 €</w:t>
            </w:r>
          </w:p>
        </w:tc>
      </w:tr>
      <w:tr>
        <w:trPr>
          <w:cantSplit/>
        </w:trPr>
        <w:tc>
          <w:tcPr>
            <w:tcW w:type="dxa" w:w="2438"/>
            <w:vAlign w:val="center"/>
            <w:tcMar>
              <w:top w:w="60" w:type="dxa"/>
              <w:start w:w="70" w:type="dxa"/>
              <w:bottom w:w="60" w:type="dxa"/>
              <w:end w:w="70" w:type="dxa"/>
            </w:tcMar>
            <w:shd w:fill="F3F6F8"/>
          </w:tcPr>
          <w:p>
            <w:pPr>
              <w:spacing w:after="0" w:before="0" w:line="240" w:lineRule="auto"/>
            </w:pPr>
            <w:r/>
            <w:r>
              <w:rPr>
                <w:rFonts w:ascii="Aptos" w:hAnsi="Aptos"/>
                <w:b w:val="0"/>
                <w:sz w:val="15"/>
              </w:rPr>
              <w:t>TOTAL MENSUAL ORIENTATIVO</w:t>
            </w:r>
          </w:p>
        </w:tc>
        <w:tc>
          <w:tcPr>
            <w:tcW w:type="dxa" w:w="5102"/>
            <w:vAlign w:val="center"/>
            <w:tcMar>
              <w:top w:w="60" w:type="dxa"/>
              <w:start w:w="70" w:type="dxa"/>
              <w:bottom w:w="60" w:type="dxa"/>
              <w:end w:w="70" w:type="dxa"/>
            </w:tcMar>
            <w:shd w:fill="F3F6F8"/>
          </w:tcPr>
          <w:p>
            <w:pPr>
              <w:spacing w:after="0" w:before="0" w:line="240" w:lineRule="auto"/>
            </w:pPr>
            <w:r/>
            <w:r>
              <w:rPr>
                <w:rFonts w:ascii="Aptos" w:hAnsi="Aptos"/>
                <w:b w:val="0"/>
                <w:sz w:val="15"/>
              </w:rPr>
              <w:t>Redondeado; bajo las hipótesis anteriores</w:t>
            </w:r>
          </w:p>
        </w:tc>
        <w:tc>
          <w:tcPr>
            <w:tcW w:type="dxa" w:w="2381"/>
            <w:vAlign w:val="center"/>
            <w:tcMar>
              <w:top w:w="60" w:type="dxa"/>
              <w:start w:w="70" w:type="dxa"/>
              <w:bottom w:w="60" w:type="dxa"/>
              <w:end w:w="70" w:type="dxa"/>
            </w:tcMar>
            <w:shd w:fill="F3F6F8"/>
          </w:tcPr>
          <w:p>
            <w:pPr>
              <w:spacing w:after="0" w:before="0" w:line="240" w:lineRule="auto"/>
            </w:pPr>
            <w:r/>
            <w:r>
              <w:rPr>
                <w:rFonts w:ascii="Aptos" w:hAnsi="Aptos"/>
                <w:b w:val="0"/>
                <w:sz w:val="15"/>
              </w:rPr>
              <w:t>1.429 €</w:t>
            </w:r>
          </w:p>
        </w:tc>
      </w:tr>
    </w:tbl>
    <w:p>
      <w:pPr>
        <w:spacing w:after="20"/>
      </w:pPr>
    </w:p>
    <w:p>
      <w:r>
        <w:rPr>
          <w:i w:val="0"/>
        </w:rPr>
        <w:t>Coste anual equivalente: 1.429 €/mes × 12 = 17.148 €/año. Se presenta como estimación inicial, no como factura exacta ni oferta comercial. Las fuentes de AWS confirman los componentes que determinan el precio: instancias EC2 por hora, almacenamiento y copias, salida de datos, direcciones IPv4 públicas y conexión VPN [14][15][16][17].</w:t>
      </w:r>
    </w:p>
    <w:tbl>
      <w:tblPr>
        <w:tblW w:type="auto" w:w="0"/>
        <w:jc w:val="center"/>
        <w:tblLook w:firstColumn="1" w:firstRow="1" w:lastColumn="0" w:lastRow="0" w:noHBand="0" w:noVBand="1" w:val="04A0"/>
      </w:tblPr>
      <w:tblGrid>
        <w:gridCol w:w="10200"/>
      </w:tblGrid>
      <w:tr>
        <w:trPr>
          <w:cantSplit/>
        </w:trPr>
        <w:tc>
          <w:tcPr>
            <w:tcW w:type="dxa" w:w="10200"/>
            <w:shd w:fill="EAF1F6"/>
            <w:tcMar>
              <w:top w:w="100" w:type="dxa"/>
              <w:start w:w="130" w:type="dxa"/>
              <w:bottom w:w="100" w:type="dxa"/>
              <w:end w:w="130" w:type="dxa"/>
            </w:tcMar>
          </w:tcPr>
          <w:p>
            <w:pPr>
              <w:spacing w:after="0"/>
            </w:pPr>
            <w:r/>
            <w:r>
              <w:rPr>
                <w:color w:val="264255"/>
                <w:sz w:val="17"/>
              </w:rPr>
              <w:t>URL compartida de AWS Pricing Calculator: [PENDIENTE DE PEGAR]. Para cumplir el requisito de verificabilidad, hay que reproducir los servicios e hipótesis de esta sección en https://calculator.aws/#/, seleccionar Europe (Spain) / eu-south-2 cuando el servicio lo permita, revisar cada importe y usar la opción de compartir/guardar para copiar la URL generada. No se inserta una URL inventada porque debe corresponder a una estimación realmente guardada en AWS Calculator.</w:t>
            </w:r>
          </w:p>
        </w:tc>
      </w:tr>
    </w:tbl>
    <w:p>
      <w:pPr>
        <w:spacing w:after="20"/>
      </w:pPr>
    </w:p>
    <w:p>
      <w:r>
        <w:br w:type="page"/>
      </w:r>
    </w:p>
    <w:p>
      <w:pPr>
        <w:pStyle w:val="Heading1"/>
      </w:pPr>
      <w:r>
        <w:t>6. Comparación de las dos alternativas</w:t>
      </w:r>
    </w:p>
    <w:p>
      <w:pPr>
        <w:pStyle w:val="Heading2"/>
      </w:pPr>
      <w:r>
        <w:t>6.1. Costes que se deben comparar por separado</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1757"/>
            <w:vAlign w:val="center"/>
            <w:tcMar>
              <w:top w:w="60" w:type="dxa"/>
              <w:start w:w="70" w:type="dxa"/>
              <w:bottom w:w="60" w:type="dxa"/>
              <w:end w:w="70" w:type="dxa"/>
            </w:tcMar>
            <w:shd w:fill="#17324D"/>
          </w:tcPr>
          <w:p>
            <w:pPr>
              <w:spacing w:after="0" w:before="0" w:line="240" w:lineRule="auto"/>
            </w:pPr>
            <w:r/>
            <w:r>
              <w:rPr>
                <w:rFonts w:ascii="Aptos" w:hAnsi="Aptos"/>
                <w:b/>
                <w:color w:val="FFFFFF"/>
                <w:sz w:val="15"/>
              </w:rPr>
              <w:t>Concepto</w:t>
            </w:r>
          </w:p>
        </w:tc>
        <w:tc>
          <w:tcPr>
            <w:tcW w:type="dxa" w:w="2268"/>
            <w:vAlign w:val="center"/>
            <w:tcMar>
              <w:top w:w="60" w:type="dxa"/>
              <w:start w:w="70" w:type="dxa"/>
              <w:bottom w:w="60" w:type="dxa"/>
              <w:end w:w="70" w:type="dxa"/>
            </w:tcMar>
            <w:shd w:fill="#17324D"/>
          </w:tcPr>
          <w:p>
            <w:pPr>
              <w:spacing w:after="0" w:before="0" w:line="240" w:lineRule="auto"/>
            </w:pPr>
            <w:r/>
            <w:r>
              <w:rPr>
                <w:rFonts w:ascii="Aptos" w:hAnsi="Aptos"/>
                <w:b/>
                <w:color w:val="FFFFFF"/>
                <w:sz w:val="15"/>
              </w:rPr>
              <w:t>CPD local</w:t>
            </w:r>
          </w:p>
        </w:tc>
        <w:tc>
          <w:tcPr>
            <w:tcW w:type="dxa" w:w="2494"/>
            <w:vAlign w:val="center"/>
            <w:tcMar>
              <w:top w:w="60" w:type="dxa"/>
              <w:start w:w="70" w:type="dxa"/>
              <w:bottom w:w="60" w:type="dxa"/>
              <w:end w:w="70" w:type="dxa"/>
            </w:tcMar>
            <w:shd w:fill="#17324D"/>
          </w:tcPr>
          <w:p>
            <w:pPr>
              <w:spacing w:after="0" w:before="0" w:line="240" w:lineRule="auto"/>
            </w:pPr>
            <w:r/>
            <w:r>
              <w:rPr>
                <w:rFonts w:ascii="Aptos" w:hAnsi="Aptos"/>
                <w:b/>
                <w:color w:val="FFFFFF"/>
                <w:sz w:val="15"/>
              </w:rPr>
              <w:t>AWS</w:t>
            </w:r>
          </w:p>
        </w:tc>
        <w:tc>
          <w:tcPr>
            <w:tcW w:type="dxa" w:w="3402"/>
            <w:vAlign w:val="center"/>
            <w:tcMar>
              <w:top w:w="60" w:type="dxa"/>
              <w:start w:w="70" w:type="dxa"/>
              <w:bottom w:w="60" w:type="dxa"/>
              <w:end w:w="70" w:type="dxa"/>
            </w:tcMar>
            <w:shd w:fill="#17324D"/>
          </w:tcPr>
          <w:p>
            <w:pPr>
              <w:spacing w:after="0" w:before="0" w:line="240" w:lineRule="auto"/>
            </w:pPr>
            <w:r/>
            <w:r>
              <w:rPr>
                <w:rFonts w:ascii="Aptos" w:hAnsi="Aptos"/>
                <w:b/>
                <w:color w:val="FFFFFF"/>
                <w:sz w:val="15"/>
              </w:rPr>
              <w:t>Lectura correcta</w:t>
            </w:r>
          </w:p>
        </w:tc>
      </w:tr>
      <w:tr>
        <w:trPr>
          <w:cantSplit/>
        </w:trPr>
        <w:tc>
          <w:tcPr>
            <w:tcW w:type="dxa" w:w="1757"/>
            <w:vAlign w:val="center"/>
            <w:tcMar>
              <w:top w:w="60" w:type="dxa"/>
              <w:start w:w="70" w:type="dxa"/>
              <w:bottom w:w="60" w:type="dxa"/>
              <w:end w:w="70" w:type="dxa"/>
            </w:tcMar>
          </w:tcPr>
          <w:p>
            <w:pPr>
              <w:spacing w:after="0" w:before="0" w:line="240" w:lineRule="auto"/>
            </w:pPr>
            <w:r/>
            <w:r>
              <w:rPr>
                <w:rFonts w:ascii="Aptos" w:hAnsi="Aptos"/>
                <w:b w:val="0"/>
                <w:sz w:val="15"/>
              </w:rPr>
              <w:t>CAPEX exclusivo de cómputo y almacenamiento</w:t>
            </w:r>
          </w:p>
        </w:tc>
        <w:tc>
          <w:tcPr>
            <w:tcW w:type="dxa" w:w="2268"/>
            <w:vAlign w:val="center"/>
            <w:tcMar>
              <w:top w:w="60" w:type="dxa"/>
              <w:start w:w="70" w:type="dxa"/>
              <w:bottom w:w="60" w:type="dxa"/>
              <w:end w:w="70" w:type="dxa"/>
            </w:tcMar>
          </w:tcPr>
          <w:p>
            <w:pPr>
              <w:spacing w:after="0" w:before="0" w:line="240" w:lineRule="auto"/>
            </w:pPr>
            <w:r/>
            <w:r>
              <w:rPr>
                <w:rFonts w:ascii="Aptos" w:hAnsi="Aptos"/>
                <w:b w:val="0"/>
                <w:sz w:val="15"/>
              </w:rPr>
              <w:t>33.160 € iniciales</w:t>
            </w:r>
          </w:p>
        </w:tc>
        <w:tc>
          <w:tcPr>
            <w:tcW w:type="dxa" w:w="2494"/>
            <w:vAlign w:val="center"/>
            <w:tcMar>
              <w:top w:w="60" w:type="dxa"/>
              <w:start w:w="70" w:type="dxa"/>
              <w:bottom w:w="60" w:type="dxa"/>
              <w:end w:w="70" w:type="dxa"/>
            </w:tcMar>
          </w:tcPr>
          <w:p>
            <w:pPr>
              <w:spacing w:after="0" w:before="0" w:line="240" w:lineRule="auto"/>
            </w:pPr>
            <w:r/>
            <w:r>
              <w:rPr>
                <w:rFonts w:ascii="Aptos" w:hAnsi="Aptos"/>
                <w:b w:val="0"/>
                <w:sz w:val="15"/>
              </w:rPr>
              <w:t>No se compran esos tres servidores ni los dos NAS; permanecen recursos comunes locales.</w:t>
            </w:r>
          </w:p>
        </w:tc>
        <w:tc>
          <w:tcPr>
            <w:tcW w:type="dxa" w:w="3402"/>
            <w:vAlign w:val="center"/>
            <w:tcMar>
              <w:top w:w="60" w:type="dxa"/>
              <w:start w:w="70" w:type="dxa"/>
              <w:bottom w:w="60" w:type="dxa"/>
              <w:end w:w="70" w:type="dxa"/>
            </w:tcMar>
          </w:tcPr>
          <w:p>
            <w:pPr>
              <w:spacing w:after="0" w:before="0" w:line="240" w:lineRule="auto"/>
            </w:pPr>
            <w:r/>
            <w:r>
              <w:rPr>
                <w:rFonts w:ascii="Aptos" w:hAnsi="Aptos"/>
                <w:b w:val="0"/>
                <w:sz w:val="15"/>
              </w:rPr>
              <w:t>Compra inicial frente a consumo mensual: no son magnitudes equivalentes por sí solas.</w:t>
            </w:r>
          </w:p>
        </w:tc>
      </w:tr>
      <w:tr>
        <w:trPr>
          <w:cantSplit/>
        </w:trPr>
        <w:tc>
          <w:tcPr>
            <w:tcW w:type="dxa" w:w="1757"/>
            <w:vAlign w:val="center"/>
            <w:tcMar>
              <w:top w:w="60" w:type="dxa"/>
              <w:start w:w="70" w:type="dxa"/>
              <w:bottom w:w="60" w:type="dxa"/>
              <w:end w:w="70" w:type="dxa"/>
            </w:tcMar>
            <w:shd w:fill="F3F6F8"/>
          </w:tcPr>
          <w:p>
            <w:pPr>
              <w:spacing w:after="0" w:before="0" w:line="240" w:lineRule="auto"/>
            </w:pPr>
            <w:r/>
            <w:r>
              <w:rPr>
                <w:rFonts w:ascii="Aptos" w:hAnsi="Aptos"/>
                <w:b w:val="0"/>
                <w:sz w:val="15"/>
              </w:rPr>
              <w:t>CAPEX completo del equipamiento local</w:t>
            </w:r>
          </w:p>
        </w:tc>
        <w:tc>
          <w:tcPr>
            <w:tcW w:type="dxa" w:w="2268"/>
            <w:vAlign w:val="center"/>
            <w:tcMar>
              <w:top w:w="60" w:type="dxa"/>
              <w:start w:w="70" w:type="dxa"/>
              <w:bottom w:w="60" w:type="dxa"/>
              <w:end w:w="70" w:type="dxa"/>
            </w:tcMar>
            <w:shd w:fill="F3F6F8"/>
          </w:tcPr>
          <w:p>
            <w:pPr>
              <w:spacing w:after="0" w:before="0" w:line="240" w:lineRule="auto"/>
            </w:pPr>
            <w:r/>
            <w:r>
              <w:rPr>
                <w:rFonts w:ascii="Aptos" w:hAnsi="Aptos"/>
                <w:b w:val="0"/>
                <w:sz w:val="15"/>
              </w:rPr>
              <w:t>69.677 € estimados</w:t>
            </w:r>
          </w:p>
        </w:tc>
        <w:tc>
          <w:tcPr>
            <w:tcW w:type="dxa" w:w="2494"/>
            <w:vAlign w:val="center"/>
            <w:tcMar>
              <w:top w:w="60" w:type="dxa"/>
              <w:start w:w="70" w:type="dxa"/>
              <w:bottom w:w="60" w:type="dxa"/>
              <w:end w:w="70" w:type="dxa"/>
            </w:tcMar>
            <w:shd w:fill="F3F6F8"/>
          </w:tcPr>
          <w:p>
            <w:pPr>
              <w:spacing w:after="0" w:before="0" w:line="240" w:lineRule="auto"/>
            </w:pPr>
            <w:r/>
            <w:r>
              <w:rPr>
                <w:rFonts w:ascii="Aptos" w:hAnsi="Aptos"/>
                <w:b w:val="0"/>
                <w:sz w:val="15"/>
              </w:rPr>
              <w:t>La parte común local se mantiene y se estima en 36.517 €.</w:t>
            </w:r>
          </w:p>
        </w:tc>
        <w:tc>
          <w:tcPr>
            <w:tcW w:type="dxa" w:w="3402"/>
            <w:vAlign w:val="center"/>
            <w:tcMar>
              <w:top w:w="60" w:type="dxa"/>
              <w:start w:w="70" w:type="dxa"/>
              <w:bottom w:w="60" w:type="dxa"/>
              <w:end w:w="70" w:type="dxa"/>
            </w:tcMar>
            <w:shd w:fill="F3F6F8"/>
          </w:tcPr>
          <w:p>
            <w:pPr>
              <w:spacing w:after="0" w:before="0" w:line="240" w:lineRule="auto"/>
            </w:pPr>
            <w:r/>
            <w:r>
              <w:rPr>
                <w:rFonts w:ascii="Aptos" w:hAnsi="Aptos"/>
                <w:b w:val="0"/>
                <w:sz w:val="15"/>
              </w:rPr>
              <w:t>La alternativa AWS no elimina switches, Wi-Fi, cortafuegos ni videovigilancia.</w:t>
            </w:r>
          </w:p>
        </w:tc>
      </w:tr>
      <w:tr>
        <w:trPr>
          <w:cantSplit/>
        </w:trPr>
        <w:tc>
          <w:tcPr>
            <w:tcW w:type="dxa" w:w="1757"/>
            <w:vAlign w:val="center"/>
            <w:tcMar>
              <w:top w:w="60" w:type="dxa"/>
              <w:start w:w="70" w:type="dxa"/>
              <w:bottom w:w="60" w:type="dxa"/>
              <w:end w:w="70" w:type="dxa"/>
            </w:tcMar>
          </w:tcPr>
          <w:p>
            <w:pPr>
              <w:spacing w:after="0" w:before="0" w:line="240" w:lineRule="auto"/>
            </w:pPr>
            <w:r/>
            <w:r>
              <w:rPr>
                <w:rFonts w:ascii="Aptos" w:hAnsi="Aptos"/>
                <w:b w:val="0"/>
                <w:sz w:val="15"/>
              </w:rPr>
              <w:t>Electricidad del CPD</w:t>
            </w:r>
          </w:p>
        </w:tc>
        <w:tc>
          <w:tcPr>
            <w:tcW w:type="dxa" w:w="2268"/>
            <w:vAlign w:val="center"/>
            <w:tcMar>
              <w:top w:w="60" w:type="dxa"/>
              <w:start w:w="70" w:type="dxa"/>
              <w:bottom w:w="60" w:type="dxa"/>
              <w:end w:w="70" w:type="dxa"/>
            </w:tcMar>
          </w:tcPr>
          <w:p>
            <w:pPr>
              <w:spacing w:after="0" w:before="0" w:line="240" w:lineRule="auto"/>
            </w:pPr>
            <w:r/>
            <w:r>
              <w:rPr>
                <w:rFonts w:ascii="Aptos" w:hAnsi="Aptos"/>
                <w:b w:val="0"/>
                <w:sz w:val="15"/>
              </w:rPr>
              <w:t>373,77 €/mes; 4.485,20 €/año de referencia.</w:t>
            </w:r>
          </w:p>
        </w:tc>
        <w:tc>
          <w:tcPr>
            <w:tcW w:type="dxa" w:w="2494"/>
            <w:vAlign w:val="center"/>
            <w:tcMar>
              <w:top w:w="60" w:type="dxa"/>
              <w:start w:w="70" w:type="dxa"/>
              <w:bottom w:w="60" w:type="dxa"/>
              <w:end w:w="70" w:type="dxa"/>
            </w:tcMar>
          </w:tcPr>
          <w:p>
            <w:pPr>
              <w:spacing w:after="0" w:before="0" w:line="240" w:lineRule="auto"/>
            </w:pPr>
            <w:r/>
            <w:r>
              <w:rPr>
                <w:rFonts w:ascii="Aptos" w:hAnsi="Aptos"/>
                <w:b w:val="0"/>
                <w:sz w:val="15"/>
              </w:rPr>
              <w:t>No se paga esa electricidad por cómputo/almacenamiento de AWS; sí sigue existiendo electricidad para la red y recursos locales comunes.</w:t>
            </w:r>
          </w:p>
        </w:tc>
        <w:tc>
          <w:tcPr>
            <w:tcW w:type="dxa" w:w="3402"/>
            <w:vAlign w:val="center"/>
            <w:tcMar>
              <w:top w:w="60" w:type="dxa"/>
              <w:start w:w="70" w:type="dxa"/>
              <w:bottom w:w="60" w:type="dxa"/>
              <w:end w:w="70" w:type="dxa"/>
            </w:tcMar>
          </w:tcPr>
          <w:p>
            <w:pPr>
              <w:spacing w:after="0" w:before="0" w:line="240" w:lineRule="auto"/>
            </w:pPr>
            <w:r/>
            <w:r>
              <w:rPr>
                <w:rFonts w:ascii="Aptos" w:hAnsi="Aptos"/>
                <w:b w:val="0"/>
                <w:sz w:val="15"/>
              </w:rPr>
              <w:t>No se asigna a AWS el consumo del equipamiento que sigue en el centro.</w:t>
            </w:r>
          </w:p>
        </w:tc>
      </w:tr>
      <w:tr>
        <w:trPr>
          <w:cantSplit/>
        </w:trPr>
        <w:tc>
          <w:tcPr>
            <w:tcW w:type="dxa" w:w="1757"/>
            <w:vAlign w:val="center"/>
            <w:tcMar>
              <w:top w:w="60" w:type="dxa"/>
              <w:start w:w="70" w:type="dxa"/>
              <w:bottom w:w="60" w:type="dxa"/>
              <w:end w:w="70" w:type="dxa"/>
            </w:tcMar>
            <w:shd w:fill="F3F6F8"/>
          </w:tcPr>
          <w:p>
            <w:pPr>
              <w:spacing w:after="0" w:before="0" w:line="240" w:lineRule="auto"/>
            </w:pPr>
            <w:r/>
            <w:r>
              <w:rPr>
                <w:rFonts w:ascii="Aptos" w:hAnsi="Aptos"/>
                <w:b w:val="0"/>
                <w:sz w:val="15"/>
              </w:rPr>
              <w:t>Servicios AWS</w:t>
            </w:r>
          </w:p>
        </w:tc>
        <w:tc>
          <w:tcPr>
            <w:tcW w:type="dxa" w:w="2268"/>
            <w:vAlign w:val="center"/>
            <w:tcMar>
              <w:top w:w="60" w:type="dxa"/>
              <w:start w:w="70" w:type="dxa"/>
              <w:bottom w:w="60" w:type="dxa"/>
              <w:end w:w="70" w:type="dxa"/>
            </w:tcMar>
            <w:shd w:fill="F3F6F8"/>
          </w:tcPr>
          <w:p>
            <w:pPr>
              <w:spacing w:after="0" w:before="0" w:line="240" w:lineRule="auto"/>
            </w:pPr>
            <w:r/>
            <w:r>
              <w:rPr>
                <w:rFonts w:ascii="Aptos" w:hAnsi="Aptos"/>
                <w:b w:val="0"/>
                <w:sz w:val="15"/>
              </w:rPr>
              <w:t>No aplican en el escenario local comparado.</w:t>
            </w:r>
          </w:p>
        </w:tc>
        <w:tc>
          <w:tcPr>
            <w:tcW w:type="dxa" w:w="2494"/>
            <w:vAlign w:val="center"/>
            <w:tcMar>
              <w:top w:w="60" w:type="dxa"/>
              <w:start w:w="70" w:type="dxa"/>
              <w:bottom w:w="60" w:type="dxa"/>
              <w:end w:w="70" w:type="dxa"/>
            </w:tcMar>
            <w:shd w:fill="F3F6F8"/>
          </w:tcPr>
          <w:p>
            <w:pPr>
              <w:spacing w:after="0" w:before="0" w:line="240" w:lineRule="auto"/>
            </w:pPr>
            <w:r/>
            <w:r>
              <w:rPr>
                <w:rFonts w:ascii="Aptos" w:hAnsi="Aptos"/>
                <w:b w:val="0"/>
                <w:sz w:val="15"/>
              </w:rPr>
              <w:t>1.429 €/mes; 17.148 €/año estimados.</w:t>
            </w:r>
          </w:p>
        </w:tc>
        <w:tc>
          <w:tcPr>
            <w:tcW w:type="dxa" w:w="3402"/>
            <w:vAlign w:val="center"/>
            <w:tcMar>
              <w:top w:w="60" w:type="dxa"/>
              <w:start w:w="70" w:type="dxa"/>
              <w:bottom w:w="60" w:type="dxa"/>
              <w:end w:w="70" w:type="dxa"/>
            </w:tcMar>
            <w:shd w:fill="F3F6F8"/>
          </w:tcPr>
          <w:p>
            <w:pPr>
              <w:spacing w:after="0" w:before="0" w:line="240" w:lineRule="auto"/>
            </w:pPr>
            <w:r/>
            <w:r>
              <w:rPr>
                <w:rFonts w:ascii="Aptos" w:hAnsi="Aptos"/>
                <w:b w:val="0"/>
                <w:sz w:val="15"/>
              </w:rPr>
              <w:t>La cifra varía con almacenamiento, copias, uso de instancias y transferencia saliente.</w:t>
            </w:r>
          </w:p>
        </w:tc>
      </w:tr>
      <w:tr>
        <w:trPr>
          <w:cantSplit/>
        </w:trPr>
        <w:tc>
          <w:tcPr>
            <w:tcW w:type="dxa" w:w="1757"/>
            <w:vAlign w:val="center"/>
            <w:tcMar>
              <w:top w:w="60" w:type="dxa"/>
              <w:start w:w="70" w:type="dxa"/>
              <w:bottom w:w="60" w:type="dxa"/>
              <w:end w:w="70" w:type="dxa"/>
            </w:tcMar>
          </w:tcPr>
          <w:p>
            <w:pPr>
              <w:spacing w:after="0" w:before="0" w:line="240" w:lineRule="auto"/>
            </w:pPr>
            <w:r/>
            <w:r>
              <w:rPr>
                <w:rFonts w:ascii="Aptos" w:hAnsi="Aptos"/>
                <w:b w:val="0"/>
                <w:sz w:val="15"/>
              </w:rPr>
              <w:t>Recursos comunes</w:t>
            </w:r>
          </w:p>
        </w:tc>
        <w:tc>
          <w:tcPr>
            <w:tcW w:type="dxa" w:w="2268"/>
            <w:vAlign w:val="center"/>
            <w:tcMar>
              <w:top w:w="60" w:type="dxa"/>
              <w:start w:w="70" w:type="dxa"/>
              <w:bottom w:w="60" w:type="dxa"/>
              <w:end w:w="70" w:type="dxa"/>
            </w:tcMar>
          </w:tcPr>
          <w:p>
            <w:pPr>
              <w:spacing w:after="0" w:before="0" w:line="240" w:lineRule="auto"/>
            </w:pPr>
            <w:r/>
            <w:r>
              <w:rPr>
                <w:rFonts w:ascii="Aptos" w:hAnsi="Aptos"/>
                <w:b w:val="0"/>
                <w:sz w:val="15"/>
              </w:rPr>
              <w:t>Aulas, puestos, switches, Wi-Fi, cortafuegos, NVR y parte de la sala técnica.</w:t>
            </w:r>
          </w:p>
        </w:tc>
        <w:tc>
          <w:tcPr>
            <w:tcW w:type="dxa" w:w="2494"/>
            <w:vAlign w:val="center"/>
            <w:tcMar>
              <w:top w:w="60" w:type="dxa"/>
              <w:start w:w="70" w:type="dxa"/>
              <w:bottom w:w="60" w:type="dxa"/>
              <w:end w:w="70" w:type="dxa"/>
            </w:tcMar>
          </w:tcPr>
          <w:p>
            <w:pPr>
              <w:spacing w:after="0" w:before="0" w:line="240" w:lineRule="auto"/>
            </w:pPr>
            <w:r/>
            <w:r>
              <w:rPr>
                <w:rFonts w:ascii="Aptos" w:hAnsi="Aptos"/>
                <w:b w:val="0"/>
                <w:sz w:val="15"/>
              </w:rPr>
              <w:t>Los mismos recursos permanecen en el centro.</w:t>
            </w:r>
          </w:p>
        </w:tc>
        <w:tc>
          <w:tcPr>
            <w:tcW w:type="dxa" w:w="3402"/>
            <w:vAlign w:val="center"/>
            <w:tcMar>
              <w:top w:w="60" w:type="dxa"/>
              <w:start w:w="70" w:type="dxa"/>
              <w:bottom w:w="60" w:type="dxa"/>
              <w:end w:w="70" w:type="dxa"/>
            </w:tcMar>
          </w:tcPr>
          <w:p>
            <w:pPr>
              <w:spacing w:after="0" w:before="0" w:line="240" w:lineRule="auto"/>
            </w:pPr>
            <w:r/>
            <w:r>
              <w:rPr>
                <w:rFonts w:ascii="Aptos" w:hAnsi="Aptos"/>
                <w:b w:val="0"/>
                <w:sz w:val="15"/>
              </w:rPr>
              <w:t>Se excluyen de la gráfica de coste diferencial porque no cambian entre escenarios.</w:t>
            </w:r>
          </w:p>
        </w:tc>
      </w:tr>
      <w:tr>
        <w:trPr>
          <w:cantSplit/>
        </w:trPr>
        <w:tc>
          <w:tcPr>
            <w:tcW w:type="dxa" w:w="1757"/>
            <w:vAlign w:val="center"/>
            <w:tcMar>
              <w:top w:w="60" w:type="dxa"/>
              <w:start w:w="70" w:type="dxa"/>
              <w:bottom w:w="60" w:type="dxa"/>
              <w:end w:w="70" w:type="dxa"/>
            </w:tcMar>
            <w:shd w:fill="F3F6F8"/>
          </w:tcPr>
          <w:p>
            <w:pPr>
              <w:spacing w:after="0" w:before="0" w:line="240" w:lineRule="auto"/>
            </w:pPr>
            <w:r/>
            <w:r>
              <w:rPr>
                <w:rFonts w:ascii="Aptos" w:hAnsi="Aptos"/>
                <w:b w:val="0"/>
                <w:sz w:val="15"/>
              </w:rPr>
              <w:t>Costes excluidos en ambos</w:t>
            </w:r>
          </w:p>
        </w:tc>
        <w:tc>
          <w:tcPr>
            <w:tcW w:type="dxa" w:w="2268"/>
            <w:vAlign w:val="center"/>
            <w:tcMar>
              <w:top w:w="60" w:type="dxa"/>
              <w:start w:w="70" w:type="dxa"/>
              <w:bottom w:w="60" w:type="dxa"/>
              <w:end w:w="70" w:type="dxa"/>
            </w:tcMar>
            <w:shd w:fill="F3F6F8"/>
          </w:tcPr>
          <w:p>
            <w:pPr>
              <w:spacing w:after="0" w:before="0" w:line="240" w:lineRule="auto"/>
            </w:pPr>
            <w:r/>
            <w:r>
              <w:rPr>
                <w:rFonts w:ascii="Aptos" w:hAnsi="Aptos"/>
                <w:b w:val="0"/>
                <w:sz w:val="15"/>
              </w:rPr>
              <w:t>Licencias separadas, personal, mantenimiento, renovación, instalación y costes de telecomunicaciones.</w:t>
            </w:r>
          </w:p>
        </w:tc>
        <w:tc>
          <w:tcPr>
            <w:tcW w:type="dxa" w:w="2494"/>
            <w:vAlign w:val="center"/>
            <w:tcMar>
              <w:top w:w="60" w:type="dxa"/>
              <w:start w:w="70" w:type="dxa"/>
              <w:bottom w:w="60" w:type="dxa"/>
              <w:end w:w="70" w:type="dxa"/>
            </w:tcMar>
            <w:shd w:fill="F3F6F8"/>
          </w:tcPr>
          <w:p>
            <w:pPr>
              <w:spacing w:after="0" w:before="0" w:line="240" w:lineRule="auto"/>
            </w:pPr>
            <w:r/>
            <w:r>
              <w:rPr>
                <w:rFonts w:ascii="Aptos" w:hAnsi="Aptos"/>
                <w:b w:val="0"/>
                <w:sz w:val="15"/>
              </w:rPr>
              <w:t>Licencias adquiridas por separado, personal, soporte AWS de pago y costes no incluidos en hipótesis.</w:t>
            </w:r>
          </w:p>
        </w:tc>
        <w:tc>
          <w:tcPr>
            <w:tcW w:type="dxa" w:w="3402"/>
            <w:vAlign w:val="center"/>
            <w:tcMar>
              <w:top w:w="60" w:type="dxa"/>
              <w:start w:w="70" w:type="dxa"/>
              <w:bottom w:w="60" w:type="dxa"/>
              <w:end w:w="70" w:type="dxa"/>
            </w:tcMar>
            <w:shd w:fill="F3F6F8"/>
          </w:tcPr>
          <w:p>
            <w:pPr>
              <w:spacing w:after="0" w:before="0" w:line="240" w:lineRule="auto"/>
            </w:pPr>
            <w:r/>
            <w:r>
              <w:rPr>
                <w:rFonts w:ascii="Aptos" w:hAnsi="Aptos"/>
                <w:b w:val="0"/>
                <w:sz w:val="15"/>
              </w:rPr>
              <w:t>La comparación es de coste de adquisición/consumo bajo alcance limitado, no un TCO completo.</w:t>
            </w:r>
          </w:p>
        </w:tc>
      </w:tr>
    </w:tbl>
    <w:p>
      <w:pPr>
        <w:spacing w:after="20"/>
      </w:pPr>
    </w:p>
    <w:p>
      <w:pPr>
        <w:pStyle w:val="Heading2"/>
      </w:pPr>
      <w:r>
        <w:t>6.2. Proyección a 1, 3, 5 y 10 años</w:t>
      </w:r>
    </w:p>
    <w:p>
      <w:r>
        <w:rPr>
          <w:i w:val="0"/>
        </w:rPr>
        <w:t>Para evitar sumar conceptos no equivalentes, el gráfico deja fuera los 36.517 € de recursos comunes que se conservan en los dos escenarios. La línea local suma el CAPEX exclusivo de cómputo/almacenamiento (33.160 €) más la electricidad estimada (4.485,20 €/año). La línea AWS suma 1.429 €/mes durante el periodo. Se supone que precios, consumo y volumen de datos permanecen constantes; no se aplica inflación ni renovación de hardware.</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757"/>
            <w:vAlign w:val="center"/>
            <w:tcMar>
              <w:top w:w="60" w:type="dxa"/>
              <w:start w:w="70" w:type="dxa"/>
              <w:bottom w:w="60" w:type="dxa"/>
              <w:end w:w="70" w:type="dxa"/>
            </w:tcMar>
            <w:shd w:fill="#17324D"/>
          </w:tcPr>
          <w:p>
            <w:pPr>
              <w:spacing w:after="0" w:before="0" w:line="240" w:lineRule="auto"/>
            </w:pPr>
            <w:r/>
            <w:r>
              <w:rPr>
                <w:rFonts w:ascii="Aptos" w:hAnsi="Aptos"/>
                <w:b/>
                <w:color w:val="FFFFFF"/>
                <w:sz w:val="16"/>
              </w:rPr>
              <w:t>Periodo</w:t>
            </w:r>
          </w:p>
        </w:tc>
        <w:tc>
          <w:tcPr>
            <w:tcW w:type="dxa" w:w="3969"/>
            <w:vAlign w:val="center"/>
            <w:tcMar>
              <w:top w:w="60" w:type="dxa"/>
              <w:start w:w="70" w:type="dxa"/>
              <w:bottom w:w="60" w:type="dxa"/>
              <w:end w:w="70" w:type="dxa"/>
            </w:tcMar>
            <w:shd w:fill="#17324D"/>
          </w:tcPr>
          <w:p>
            <w:pPr>
              <w:spacing w:after="0" w:before="0" w:line="240" w:lineRule="auto"/>
            </w:pPr>
            <w:r/>
            <w:r>
              <w:rPr>
                <w:rFonts w:ascii="Aptos" w:hAnsi="Aptos"/>
                <w:b/>
                <w:color w:val="FFFFFF"/>
                <w:sz w:val="16"/>
              </w:rPr>
              <w:t>Local: CAPEX exclusivo + electricidad</w:t>
            </w:r>
          </w:p>
        </w:tc>
        <w:tc>
          <w:tcPr>
            <w:tcW w:type="dxa" w:w="4195"/>
            <w:vAlign w:val="center"/>
            <w:tcMar>
              <w:top w:w="60" w:type="dxa"/>
              <w:start w:w="70" w:type="dxa"/>
              <w:bottom w:w="60" w:type="dxa"/>
              <w:end w:w="70" w:type="dxa"/>
            </w:tcMar>
            <w:shd w:fill="#17324D"/>
          </w:tcPr>
          <w:p>
            <w:pPr>
              <w:spacing w:after="0" w:before="0" w:line="240" w:lineRule="auto"/>
            </w:pPr>
            <w:r/>
            <w:r>
              <w:rPr>
                <w:rFonts w:ascii="Aptos" w:hAnsi="Aptos"/>
                <w:b/>
                <w:color w:val="FFFFFF"/>
                <w:sz w:val="16"/>
              </w:rPr>
              <w:t>AWS: costes recurrentes</w:t>
            </w:r>
          </w:p>
        </w:tc>
      </w:tr>
      <w:tr>
        <w:trPr>
          <w:cantSplit/>
        </w:trPr>
        <w:tc>
          <w:tcPr>
            <w:tcW w:type="dxa" w:w="1757"/>
            <w:vAlign w:val="center"/>
            <w:tcMar>
              <w:top w:w="60" w:type="dxa"/>
              <w:start w:w="70" w:type="dxa"/>
              <w:bottom w:w="60" w:type="dxa"/>
              <w:end w:w="70" w:type="dxa"/>
            </w:tcMar>
          </w:tcPr>
          <w:p>
            <w:pPr>
              <w:spacing w:after="0" w:before="0" w:line="240" w:lineRule="auto"/>
            </w:pPr>
            <w:r/>
            <w:r>
              <w:rPr>
                <w:rFonts w:ascii="Aptos" w:hAnsi="Aptos"/>
                <w:b w:val="0"/>
                <w:sz w:val="16"/>
              </w:rPr>
              <w:t>1 año</w:t>
            </w:r>
          </w:p>
        </w:tc>
        <w:tc>
          <w:tcPr>
            <w:tcW w:type="dxa" w:w="3969"/>
            <w:vAlign w:val="center"/>
            <w:tcMar>
              <w:top w:w="60" w:type="dxa"/>
              <w:start w:w="70" w:type="dxa"/>
              <w:bottom w:w="60" w:type="dxa"/>
              <w:end w:w="70" w:type="dxa"/>
            </w:tcMar>
          </w:tcPr>
          <w:p>
            <w:pPr>
              <w:spacing w:after="0" w:before="0" w:line="240" w:lineRule="auto"/>
            </w:pPr>
            <w:r/>
            <w:r>
              <w:rPr>
                <w:rFonts w:ascii="Aptos" w:hAnsi="Aptos"/>
                <w:b w:val="0"/>
                <w:sz w:val="16"/>
              </w:rPr>
              <w:t>37.645 €</w:t>
            </w:r>
          </w:p>
        </w:tc>
        <w:tc>
          <w:tcPr>
            <w:tcW w:type="dxa" w:w="4195"/>
            <w:vAlign w:val="center"/>
            <w:tcMar>
              <w:top w:w="60" w:type="dxa"/>
              <w:start w:w="70" w:type="dxa"/>
              <w:bottom w:w="60" w:type="dxa"/>
              <w:end w:w="70" w:type="dxa"/>
            </w:tcMar>
          </w:tcPr>
          <w:p>
            <w:pPr>
              <w:spacing w:after="0" w:before="0" w:line="240" w:lineRule="auto"/>
            </w:pPr>
            <w:r/>
            <w:r>
              <w:rPr>
                <w:rFonts w:ascii="Aptos" w:hAnsi="Aptos"/>
                <w:b w:val="0"/>
                <w:sz w:val="16"/>
              </w:rPr>
              <w:t>17.148 €</w:t>
            </w:r>
          </w:p>
        </w:tc>
      </w:tr>
      <w:tr>
        <w:trPr>
          <w:cantSplit/>
        </w:trPr>
        <w:tc>
          <w:tcPr>
            <w:tcW w:type="dxa" w:w="1757"/>
            <w:vAlign w:val="center"/>
            <w:tcMar>
              <w:top w:w="60" w:type="dxa"/>
              <w:start w:w="70" w:type="dxa"/>
              <w:bottom w:w="60" w:type="dxa"/>
              <w:end w:w="70" w:type="dxa"/>
            </w:tcMar>
            <w:shd w:fill="F3F6F8"/>
          </w:tcPr>
          <w:p>
            <w:pPr>
              <w:spacing w:after="0" w:before="0" w:line="240" w:lineRule="auto"/>
            </w:pPr>
            <w:r/>
            <w:r>
              <w:rPr>
                <w:rFonts w:ascii="Aptos" w:hAnsi="Aptos"/>
                <w:b w:val="0"/>
                <w:sz w:val="16"/>
              </w:rPr>
              <w:t>3 años</w:t>
            </w:r>
          </w:p>
        </w:tc>
        <w:tc>
          <w:tcPr>
            <w:tcW w:type="dxa" w:w="3969"/>
            <w:vAlign w:val="center"/>
            <w:tcMar>
              <w:top w:w="60" w:type="dxa"/>
              <w:start w:w="70" w:type="dxa"/>
              <w:bottom w:w="60" w:type="dxa"/>
              <w:end w:w="70" w:type="dxa"/>
            </w:tcMar>
            <w:shd w:fill="F3F6F8"/>
          </w:tcPr>
          <w:p>
            <w:pPr>
              <w:spacing w:after="0" w:before="0" w:line="240" w:lineRule="auto"/>
            </w:pPr>
            <w:r/>
            <w:r>
              <w:rPr>
                <w:rFonts w:ascii="Aptos" w:hAnsi="Aptos"/>
                <w:b w:val="0"/>
                <w:sz w:val="16"/>
              </w:rPr>
              <w:t>46.616 €</w:t>
            </w:r>
          </w:p>
        </w:tc>
        <w:tc>
          <w:tcPr>
            <w:tcW w:type="dxa" w:w="4195"/>
            <w:vAlign w:val="center"/>
            <w:tcMar>
              <w:top w:w="60" w:type="dxa"/>
              <w:start w:w="70" w:type="dxa"/>
              <w:bottom w:w="60" w:type="dxa"/>
              <w:end w:w="70" w:type="dxa"/>
            </w:tcMar>
            <w:shd w:fill="F3F6F8"/>
          </w:tcPr>
          <w:p>
            <w:pPr>
              <w:spacing w:after="0" w:before="0" w:line="240" w:lineRule="auto"/>
            </w:pPr>
            <w:r/>
            <w:r>
              <w:rPr>
                <w:rFonts w:ascii="Aptos" w:hAnsi="Aptos"/>
                <w:b w:val="0"/>
                <w:sz w:val="16"/>
              </w:rPr>
              <w:t>51.444 €</w:t>
            </w:r>
          </w:p>
        </w:tc>
      </w:tr>
      <w:tr>
        <w:trPr>
          <w:cantSplit/>
        </w:trPr>
        <w:tc>
          <w:tcPr>
            <w:tcW w:type="dxa" w:w="1757"/>
            <w:vAlign w:val="center"/>
            <w:tcMar>
              <w:top w:w="60" w:type="dxa"/>
              <w:start w:w="70" w:type="dxa"/>
              <w:bottom w:w="60" w:type="dxa"/>
              <w:end w:w="70" w:type="dxa"/>
            </w:tcMar>
          </w:tcPr>
          <w:p>
            <w:pPr>
              <w:spacing w:after="0" w:before="0" w:line="240" w:lineRule="auto"/>
            </w:pPr>
            <w:r/>
            <w:r>
              <w:rPr>
                <w:rFonts w:ascii="Aptos" w:hAnsi="Aptos"/>
                <w:b w:val="0"/>
                <w:sz w:val="16"/>
              </w:rPr>
              <w:t>5 años</w:t>
            </w:r>
          </w:p>
        </w:tc>
        <w:tc>
          <w:tcPr>
            <w:tcW w:type="dxa" w:w="3969"/>
            <w:vAlign w:val="center"/>
            <w:tcMar>
              <w:top w:w="60" w:type="dxa"/>
              <w:start w:w="70" w:type="dxa"/>
              <w:bottom w:w="60" w:type="dxa"/>
              <w:end w:w="70" w:type="dxa"/>
            </w:tcMar>
          </w:tcPr>
          <w:p>
            <w:pPr>
              <w:spacing w:after="0" w:before="0" w:line="240" w:lineRule="auto"/>
            </w:pPr>
            <w:r/>
            <w:r>
              <w:rPr>
                <w:rFonts w:ascii="Aptos" w:hAnsi="Aptos"/>
                <w:b w:val="0"/>
                <w:sz w:val="16"/>
              </w:rPr>
              <w:t>55.586 €</w:t>
            </w:r>
          </w:p>
        </w:tc>
        <w:tc>
          <w:tcPr>
            <w:tcW w:type="dxa" w:w="4195"/>
            <w:vAlign w:val="center"/>
            <w:tcMar>
              <w:top w:w="60" w:type="dxa"/>
              <w:start w:w="70" w:type="dxa"/>
              <w:bottom w:w="60" w:type="dxa"/>
              <w:end w:w="70" w:type="dxa"/>
            </w:tcMar>
          </w:tcPr>
          <w:p>
            <w:pPr>
              <w:spacing w:after="0" w:before="0" w:line="240" w:lineRule="auto"/>
            </w:pPr>
            <w:r/>
            <w:r>
              <w:rPr>
                <w:rFonts w:ascii="Aptos" w:hAnsi="Aptos"/>
                <w:b w:val="0"/>
                <w:sz w:val="16"/>
              </w:rPr>
              <w:t>85.740 €</w:t>
            </w:r>
          </w:p>
        </w:tc>
      </w:tr>
      <w:tr>
        <w:trPr>
          <w:cantSplit/>
        </w:trPr>
        <w:tc>
          <w:tcPr>
            <w:tcW w:type="dxa" w:w="1757"/>
            <w:vAlign w:val="center"/>
            <w:tcMar>
              <w:top w:w="60" w:type="dxa"/>
              <w:start w:w="70" w:type="dxa"/>
              <w:bottom w:w="60" w:type="dxa"/>
              <w:end w:w="70" w:type="dxa"/>
            </w:tcMar>
            <w:shd w:fill="F3F6F8"/>
          </w:tcPr>
          <w:p>
            <w:pPr>
              <w:spacing w:after="0" w:before="0" w:line="240" w:lineRule="auto"/>
            </w:pPr>
            <w:r/>
            <w:r>
              <w:rPr>
                <w:rFonts w:ascii="Aptos" w:hAnsi="Aptos"/>
                <w:b w:val="0"/>
                <w:sz w:val="16"/>
              </w:rPr>
              <w:t>10 años</w:t>
            </w:r>
          </w:p>
        </w:tc>
        <w:tc>
          <w:tcPr>
            <w:tcW w:type="dxa" w:w="3969"/>
            <w:vAlign w:val="center"/>
            <w:tcMar>
              <w:top w:w="60" w:type="dxa"/>
              <w:start w:w="70" w:type="dxa"/>
              <w:bottom w:w="60" w:type="dxa"/>
              <w:end w:w="70" w:type="dxa"/>
            </w:tcMar>
            <w:shd w:fill="F3F6F8"/>
          </w:tcPr>
          <w:p>
            <w:pPr>
              <w:spacing w:after="0" w:before="0" w:line="240" w:lineRule="auto"/>
            </w:pPr>
            <w:r/>
            <w:r>
              <w:rPr>
                <w:rFonts w:ascii="Aptos" w:hAnsi="Aptos"/>
                <w:b w:val="0"/>
                <w:sz w:val="16"/>
              </w:rPr>
              <w:t>78.012 €</w:t>
            </w:r>
          </w:p>
        </w:tc>
        <w:tc>
          <w:tcPr>
            <w:tcW w:type="dxa" w:w="4195"/>
            <w:vAlign w:val="center"/>
            <w:tcMar>
              <w:top w:w="60" w:type="dxa"/>
              <w:start w:w="70" w:type="dxa"/>
              <w:bottom w:w="60" w:type="dxa"/>
              <w:end w:w="70" w:type="dxa"/>
            </w:tcMar>
            <w:shd w:fill="F3F6F8"/>
          </w:tcPr>
          <w:p>
            <w:pPr>
              <w:spacing w:after="0" w:before="0" w:line="240" w:lineRule="auto"/>
            </w:pPr>
            <w:r/>
            <w:r>
              <w:rPr>
                <w:rFonts w:ascii="Aptos" w:hAnsi="Aptos"/>
                <w:b w:val="0"/>
                <w:sz w:val="16"/>
              </w:rPr>
              <w:t>171.480 €</w:t>
            </w:r>
          </w:p>
        </w:tc>
      </w:tr>
    </w:tbl>
    <w:p>
      <w:pPr>
        <w:spacing w:after="20"/>
      </w:pPr>
    </w:p>
    <w:p>
      <w:r>
        <w:drawing>
          <wp:inline xmlns:a="http://schemas.openxmlformats.org/drawingml/2006/main" xmlns:pic="http://schemas.openxmlformats.org/drawingml/2006/picture">
            <wp:extent cx="5688000" cy="2947915"/>
            <wp:docPr id="2" name="Picture 2"/>
            <wp:cNvGraphicFramePr>
              <a:graphicFrameLocks noChangeAspect="1"/>
            </wp:cNvGraphicFramePr>
            <a:graphic>
              <a:graphicData uri="http://schemas.openxmlformats.org/drawingml/2006/picture">
                <pic:pic>
                  <pic:nvPicPr>
                    <pic:cNvPr id="0" name="proyeccion_costes.png"/>
                    <pic:cNvPicPr/>
                  </pic:nvPicPr>
                  <pic:blipFill>
                    <a:blip r:embed="rId12"/>
                    <a:stretch>
                      <a:fillRect/>
                    </a:stretch>
                  </pic:blipFill>
                  <pic:spPr>
                    <a:xfrm>
                      <a:off x="0" y="0"/>
                      <a:ext cx="5688000" cy="2947915"/>
                    </a:xfrm>
                    <a:prstGeom prst="rect"/>
                  </pic:spPr>
                </pic:pic>
              </a:graphicData>
            </a:graphic>
          </wp:inline>
        </w:drawing>
      </w:r>
    </w:p>
    <w:p>
      <w:pPr>
        <w:jc w:val="center"/>
      </w:pPr>
      <w:r>
        <w:rPr>
          <w:i/>
          <w:color w:val="5F7382"/>
          <w:sz w:val="16"/>
        </w:rPr>
        <w:t>Figura 2. Costes acumulados indicativos, excluyendo recursos comunes y gastos que quedan fuera del alcance.</w:t>
      </w:r>
    </w:p>
    <w:p>
      <w:r>
        <w:rPr>
          <w:i w:val="0"/>
        </w:rPr>
        <w:t>Según estas hipótesis, AWS exige menos gasto diferencial durante el primer año, pero su coste recurrente acumulado supera el coste local estimado en torno al tercer año. El punto de cruce aritmético se sitúa cerca de 2,6 años. No es un cálculo de rentabilidad: no incorpora el valor del personal, mantenimiento, renovación, disponibilidad, riesgo ni la evolución de precios. Además, la estimación cloud se debe validar mediante la calculadora real antes de entregar la versión final.</w:t>
      </w:r>
    </w:p>
    <w:p>
      <w:pPr>
        <w:pStyle w:val="Heading1"/>
      </w:pPr>
      <w:r>
        <w:t>7. Conclusión</w:t>
      </w:r>
    </w:p>
    <w:p>
      <w:r>
        <w:rPr>
          <w:i w:val="0"/>
        </w:rPr>
        <w:t>La infraestructura local requiere una inversión inicial elevada y una sala técnica con SAI y refrigeración, pero mantiene latencia baja, control directo y funcionamiento de los servicios locales durante una caída de Internet. Con el consumo estimado, el coste eléctrico es relativamente pequeño frente al CAPEX, aunque no representa todo el gasto operativo real porque el cálculo excluye mantenimiento, renovación, licencias y personal.</w:t>
      </w:r>
    </w:p>
    <w:p>
      <w:r>
        <w:rPr>
          <w:i w:val="0"/>
        </w:rPr>
        <w:t>AWS reduce la compra de servidores y almacenamiento para cargas trasladables y ofrece servicios gestionados para base de datos, ficheros, copias y monitorización. A cambio, genera una factura recurrente, depende de la conexión para acceder a los servicios cloud y puede encarecerse con el crecimiento del almacenamiento, las copias y la transferencia saliente. El tamaño de FSx y la transferencia de 2 TB/mes son, en particular, supuestos que deben confirmarse con el uso real esperado.</w:t>
      </w:r>
    </w:p>
    <w:p>
      <w:r>
        <w:rPr>
          <w:i w:val="0"/>
        </w:rPr>
        <w:t>Para el IES Peset Aleixandre, la alternativa mejor alineada con los criterios iniciales sigue siendo una arquitectura híbrida controlada: mantener localmente red, autenticación básica, DHCP/DNS/RADIUS, impresión y videovigilancia; trasladar a AWS aquellos servicios que se beneficien de una operación gestionada y de disponibilidad externa; y mantener una copia inmutable fuera del edificio. La decisión definitiva debe apoyarse en el precio verificado de la calculadora de AWS, la política de protección de datos y las necesidades de continuidad lectiva.</w:t>
      </w:r>
    </w:p>
    <w:p>
      <w:pPr>
        <w:pStyle w:val="Heading1"/>
      </w:pPr>
      <w:r>
        <w:t>8. Fuentes y precios consultados</w:t>
      </w:r>
    </w:p>
    <w:p>
      <w:r>
        <w:rPr>
          <w:i w:val="0"/>
        </w:rPr>
        <w:t>Fecha de consulta de precios: 25 de octubre de 2026. Los precios publicados pueden variar y algunas páginas muestran importes con IVA y otras antes de IVA. En el presupuesto se usa el precio bruto indicado por la tienda cuando está disponible; para el FortiGate se ha aplicado el 21 % al precio orientativo antes de IVA. Las partidas de rack, climatización, ópticas y configuración ampliada de los servidores son provisiones de presupuesto, no precios publicados de un paquete cerrado.</w:t>
      </w:r>
    </w:p>
    <w:p>
      <w:pPr>
        <w:pStyle w:val="ListNumber"/>
        <w:spacing w:after="40"/>
      </w:pPr>
      <w:r>
        <w:rPr>
          <w:sz w:val="16"/>
        </w:rPr>
        <w:t xml:space="preserve">[1] Dell Technologies. Servidor PowerEdge T360, precio base publicado y configuraciones. </w:t>
      </w:r>
      <w:r>
        <w:rPr>
          <w:color w:val="1F6496"/>
          <w:sz w:val="16"/>
          <w:u w:val="single"/>
        </w:rPr>
        <w:t>https://www.dell.com/es-es/shop/servidores-dell-poweredge/nuevo-servidor-de-montaje-en-torre-poweredge-t360/spd/poweredge-t360/emea_t360</w:t>
      </w:r>
    </w:p>
    <w:p>
      <w:pPr>
        <w:pStyle w:val="ListNumber"/>
        <w:spacing w:after="40"/>
      </w:pPr>
      <w:r>
        <w:rPr>
          <w:sz w:val="16"/>
        </w:rPr>
        <w:t xml:space="preserve">[2] Idealo España. Synology RackStation RS1221RP+, referencias de precio de octubre de 2026. </w:t>
      </w:r>
      <w:r>
        <w:rPr>
          <w:color w:val="1F6496"/>
          <w:sz w:val="16"/>
          <w:u w:val="single"/>
        </w:rPr>
        <w:t>https://www.idealo.es/precios/201017771/synology-rackstation-rs1221rp.html</w:t>
      </w:r>
    </w:p>
    <w:p>
      <w:pPr>
        <w:pStyle w:val="ListNumber"/>
        <w:spacing w:after="40"/>
      </w:pPr>
      <w:r>
        <w:rPr>
          <w:sz w:val="16"/>
        </w:rPr>
        <w:t xml:space="preserve">[3] Idealo España. Seagate IronWolf Pro 8 TB, referencia de precio. </w:t>
      </w:r>
      <w:r>
        <w:rPr>
          <w:color w:val="1F6496"/>
          <w:sz w:val="16"/>
          <w:u w:val="single"/>
        </w:rPr>
        <w:t>https://www.idealo.es/precios/202121198/seagate-ironwolf-pro-8tb-st8000nt001.html</w:t>
      </w:r>
    </w:p>
    <w:p>
      <w:pPr>
        <w:pStyle w:val="ListNumber"/>
        <w:spacing w:after="40"/>
      </w:pPr>
      <w:r>
        <w:rPr>
          <w:sz w:val="16"/>
        </w:rPr>
        <w:t xml:space="preserve">[4] StockSeguridad. Hikvision DS-9632NI-M8, NVR de 32 canales y 8 bahías. </w:t>
      </w:r>
      <w:r>
        <w:rPr>
          <w:color w:val="1F6496"/>
          <w:sz w:val="16"/>
          <w:u w:val="single"/>
        </w:rPr>
        <w:t>https://stockseguridad.com/es/ip-grabadores-cctv/5518-grabador-nvr-32-ch-ip-ds-9632ni-m8.html</w:t>
      </w:r>
    </w:p>
    <w:p>
      <w:pPr>
        <w:pStyle w:val="ListNumber"/>
        <w:spacing w:after="40"/>
      </w:pPr>
      <w:r>
        <w:rPr>
          <w:sz w:val="16"/>
        </w:rPr>
        <w:t xml:space="preserve">[5] Idealo España. Seagate SkyHawk 8 TB para videovigilancia. </w:t>
      </w:r>
      <w:r>
        <w:rPr>
          <w:color w:val="1F6496"/>
          <w:sz w:val="16"/>
          <w:u w:val="single"/>
        </w:rPr>
        <w:t>https://www.idealo.es/precios/202261800/seagate-skyhawk-8tb-st8000vx010.html</w:t>
      </w:r>
    </w:p>
    <w:p>
      <w:pPr>
        <w:pStyle w:val="ListNumber"/>
        <w:spacing w:after="40"/>
      </w:pPr>
      <w:r>
        <w:rPr>
          <w:sz w:val="16"/>
        </w:rPr>
        <w:t xml:space="preserve">[6] FirewallPro España. FortiGate 90G, precio orientativo de hardware sin licencias. </w:t>
      </w:r>
      <w:r>
        <w:rPr>
          <w:color w:val="1F6496"/>
          <w:sz w:val="16"/>
          <w:u w:val="single"/>
        </w:rPr>
        <w:t>https://firewallpro.es/producto/fortigate-90g</w:t>
      </w:r>
    </w:p>
    <w:p>
      <w:pPr>
        <w:pStyle w:val="ListNumber"/>
        <w:spacing w:after="40"/>
      </w:pPr>
      <w:r>
        <w:rPr>
          <w:sz w:val="16"/>
        </w:rPr>
        <w:t xml:space="preserve">[7] Ubiquiti EU Store. USW-Pro-48-POE y USW-Pro-48, precios publicados de referencia. </w:t>
      </w:r>
      <w:r>
        <w:rPr>
          <w:color w:val="1F6496"/>
          <w:sz w:val="16"/>
          <w:u w:val="single"/>
        </w:rPr>
        <w:t>https://eu.store.ui.com/eu/es/products/usw-pro-48-poe</w:t>
      </w:r>
    </w:p>
    <w:p>
      <w:pPr>
        <w:pStyle w:val="ListNumber"/>
        <w:spacing w:after="40"/>
      </w:pPr>
      <w:r>
        <w:rPr>
          <w:sz w:val="16"/>
        </w:rPr>
        <w:t xml:space="preserve">[8] Ubiquiti EU Store. Punto de acceso Wi-Fi 6 U6 Pro, 145 €. </w:t>
      </w:r>
      <w:r>
        <w:rPr>
          <w:color w:val="1F6496"/>
          <w:sz w:val="16"/>
          <w:u w:val="single"/>
        </w:rPr>
        <w:t>https://eu.store.ui.com/eu/es/products/u6-pro</w:t>
      </w:r>
    </w:p>
    <w:p>
      <w:pPr>
        <w:pStyle w:val="ListNumber"/>
        <w:spacing w:after="40"/>
      </w:pPr>
      <w:r>
        <w:rPr>
          <w:sz w:val="16"/>
        </w:rPr>
        <w:t xml:space="preserve">[9] Idealo España. APC Smart-UPS SRT 3000 VA RM 230 V. </w:t>
      </w:r>
      <w:r>
        <w:rPr>
          <w:color w:val="1F6496"/>
          <w:sz w:val="16"/>
          <w:u w:val="single"/>
        </w:rPr>
        <w:t>https://www.idealo.es/precios/5469415/apc-smart-ups-srt-3000va-rm-230v.html</w:t>
      </w:r>
    </w:p>
    <w:p>
      <w:pPr>
        <w:pStyle w:val="ListNumber"/>
        <w:spacing w:after="40"/>
      </w:pPr>
      <w:r>
        <w:rPr>
          <w:sz w:val="16"/>
        </w:rPr>
        <w:t xml:space="preserve">[10] Eurostat. Electricity prices for non-household consumers, dataset nrg_pc_205; actualización 19/10/2026. </w:t>
      </w:r>
      <w:r>
        <w:rPr>
          <w:color w:val="1F6496"/>
          <w:sz w:val="16"/>
          <w:u w:val="single"/>
        </w:rPr>
        <w:t>https://ec.europa.eu/eurostat/databrowser/view/nrg_pc_205/default/table?category=nrg.nrg_price.nrg_pc&amp;lang=en</w:t>
      </w:r>
    </w:p>
    <w:p>
      <w:pPr>
        <w:pStyle w:val="ListNumber"/>
        <w:spacing w:after="40"/>
      </w:pPr>
      <w:r>
        <w:rPr>
          <w:sz w:val="16"/>
        </w:rPr>
        <w:t xml:space="preserve">[11] Ministerio para la Transición Ecológica. Bandas de consumo usadas en los precios no domésticos. </w:t>
      </w:r>
      <w:r>
        <w:rPr>
          <w:color w:val="1F6496"/>
          <w:sz w:val="16"/>
          <w:u w:val="single"/>
        </w:rPr>
        <w:t>https://www.miteco.gob.es/es/energia/energia-electrica/electricidad/distribuidores/comercializadores/informacion-precios.html</w:t>
      </w:r>
    </w:p>
    <w:p>
      <w:pPr>
        <w:pStyle w:val="ListNumber"/>
        <w:spacing w:after="40"/>
      </w:pPr>
      <w:r>
        <w:rPr>
          <w:sz w:val="16"/>
        </w:rPr>
        <w:t xml:space="preserve">[12] AWS. Endpoints y cuotas de Amazon FSx; incluye Europa (España), eu-south-2. </w:t>
      </w:r>
      <w:r>
        <w:rPr>
          <w:color w:val="1F6496"/>
          <w:sz w:val="16"/>
          <w:u w:val="single"/>
        </w:rPr>
        <w:t>https://docs.aws.amazon.com/es_es/general/latest/gr/fsxn.html</w:t>
      </w:r>
    </w:p>
    <w:p>
      <w:pPr>
        <w:pStyle w:val="ListNumber"/>
        <w:spacing w:after="40"/>
      </w:pPr>
      <w:r>
        <w:rPr>
          <w:sz w:val="16"/>
        </w:rPr>
        <w:t xml:space="preserve">[13] AWS. Precios de Amazon FSx for Windows File Server; componentes de precio: capacidad, throughput, copias y transferencia. </w:t>
      </w:r>
      <w:r>
        <w:rPr>
          <w:color w:val="1F6496"/>
          <w:sz w:val="16"/>
          <w:u w:val="single"/>
        </w:rPr>
        <w:t>https://www.aws.eu/es/fsx/windows/pricing/</w:t>
      </w:r>
    </w:p>
    <w:p>
      <w:pPr>
        <w:pStyle w:val="ListNumber"/>
        <w:spacing w:after="40"/>
      </w:pPr>
      <w:r>
        <w:rPr>
          <w:sz w:val="16"/>
        </w:rPr>
        <w:t xml:space="preserve">[14] AWS. Precios bajo demanda de Amazon EC2. </w:t>
      </w:r>
      <w:r>
        <w:rPr>
          <w:color w:val="1F6496"/>
          <w:sz w:val="16"/>
          <w:u w:val="single"/>
        </w:rPr>
        <w:t>https://www.aws.eu/ec2/pricing/on-demand/</w:t>
      </w:r>
    </w:p>
    <w:p>
      <w:pPr>
        <w:pStyle w:val="ListNumber"/>
        <w:spacing w:after="40"/>
      </w:pPr>
      <w:r>
        <w:rPr>
          <w:sz w:val="16"/>
        </w:rPr>
        <w:t xml:space="preserve">[15] AWS. Precios de Amazon RDS for PostgreSQL. </w:t>
      </w:r>
      <w:r>
        <w:rPr>
          <w:color w:val="1F6496"/>
          <w:sz w:val="16"/>
          <w:u w:val="single"/>
        </w:rPr>
        <w:t>https://www.aws.eu/rds/postgresql/pricing/</w:t>
      </w:r>
    </w:p>
    <w:p>
      <w:pPr>
        <w:pStyle w:val="ListNumber"/>
        <w:spacing w:after="40"/>
      </w:pPr>
      <w:r>
        <w:rPr>
          <w:sz w:val="16"/>
        </w:rPr>
        <w:t xml:space="preserve">[16] AWS. Precios de Site-to-Site VPN y transferencia de datos. </w:t>
      </w:r>
      <w:r>
        <w:rPr>
          <w:color w:val="1F6496"/>
          <w:sz w:val="16"/>
          <w:u w:val="single"/>
        </w:rPr>
        <w:t>https://www.aws.eu/vpn/pricing/</w:t>
      </w:r>
    </w:p>
    <w:p>
      <w:pPr>
        <w:pStyle w:val="ListNumber"/>
        <w:spacing w:after="40"/>
      </w:pPr>
      <w:r>
        <w:rPr>
          <w:sz w:val="16"/>
        </w:rPr>
        <w:t xml:space="preserve">[17] AWS. Precios de VPC e IPv4 públicas. </w:t>
      </w:r>
      <w:r>
        <w:rPr>
          <w:color w:val="1F6496"/>
          <w:sz w:val="16"/>
          <w:u w:val="single"/>
        </w:rPr>
        <w:t>https://www.aws.eu/vpc/pricing/</w:t>
      </w:r>
    </w:p>
    <w:p>
      <w:pPr>
        <w:pStyle w:val="ListNumber"/>
        <w:spacing w:after="40"/>
      </w:pPr>
      <w:r>
        <w:rPr>
          <w:sz w:val="16"/>
        </w:rPr>
        <w:t xml:space="preserve">[18] AWS. Precios de Amazon S3 y clases de almacenamiento. </w:t>
      </w:r>
      <w:r>
        <w:rPr>
          <w:color w:val="1F6496"/>
          <w:sz w:val="16"/>
          <w:u w:val="single"/>
        </w:rPr>
        <w:t>https://www.aws.eu/s3/pricing/</w:t>
      </w:r>
    </w:p>
    <w:p>
      <w:pPr>
        <w:pStyle w:val="ListNumber"/>
        <w:spacing w:after="40"/>
      </w:pPr>
      <w:r>
        <w:rPr>
          <w:sz w:val="16"/>
        </w:rPr>
        <w:t xml:space="preserve">[19] AWS Pricing Calculator. Calculadora para crear y compartir la estimación final. </w:t>
      </w:r>
      <w:r>
        <w:rPr>
          <w:color w:val="1F6496"/>
          <w:sz w:val="16"/>
          <w:u w:val="single"/>
        </w:rPr>
        <w:t>https://calculator.aws/#/</w:t>
      </w:r>
    </w:p>
    <w:p>
      <w:pPr>
        <w:pStyle w:val="Heading1"/>
      </w:pPr>
      <w:r>
        <w:t>Comprobaciones pendientes antes de la entrega</w:t>
      </w:r>
    </w:p>
    <w:p>
      <w:pPr>
        <w:pStyle w:val="ListBullet"/>
        <w:spacing w:after="40"/>
      </w:pPr>
      <w:r>
        <w:t>Crear la estimación en AWS Pricing Calculator con región eu-south-2 y copiar la URL compartida generada; comprobar especialmente FSx, RDS, transferencia, IPv4 y copias.</w:t>
      </w:r>
    </w:p>
    <w:p>
      <w:pPr>
        <w:pStyle w:val="ListBullet"/>
        <w:spacing w:after="40"/>
      </w:pPr>
      <w:r>
        <w:t>Sustituir el precio eléctrico estimado por la tarifa/factura del centro si el docente exige un precio sin impuestos estrictamente aplicable al suministro del instituto.</w:t>
      </w:r>
    </w:p>
    <w:p>
      <w:pPr>
        <w:pStyle w:val="ListBullet"/>
        <w:spacing w:after="40"/>
      </w:pPr>
      <w:r>
        <w:t>Confirmar el número de cámaras, la resolución y el periodo de retención antes de dar por definitiva la capacidad de discos del NVR.</w:t>
      </w:r>
    </w:p>
    <w:p>
      <w:pPr>
        <w:pStyle w:val="ListBullet"/>
        <w:spacing w:after="40"/>
      </w:pPr>
      <w:r>
        <w:t>Solicitar presupuestos reales para servidores con RAM/SSD adecuadas, SAI, rack y climatización; los precios de catálogo usados en este trabajo sirven para estimación académica.</w:t>
      </w:r>
    </w:p>
    <w:sectPr w:rsidR="00FC693F" w:rsidRPr="0006063C" w:rsidSect="00034616">
      <w:headerReference w:type="default" r:id="rId9"/>
      <w:footerReference w:type="default" r:id="rId10"/>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7382"/>
        <w:sz w:val="16"/>
      </w:rPr>
      <w:t xml:space="preserve">Estimación técnica y económica · 25/10/2026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color w:val="5F7382"/>
        <w:sz w:val="16"/>
      </w:rPr>
      <w:t>IES PESET ALEIXANDRE  |  DISEÑO DE INFRAESTRUCTURA 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5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245778"/>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2457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ptos" w:hAnsi="Aptos" w:eastAsia="Aptos"/>
      <w:i/>
      <w:iCs/>
      <w:color w:val="4965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infraestructura TIC del IES Peset Aleixandre: estimación económica</dc:title>
  <dc:subject>Comparación de infraestructura local y AWS</dc:subject>
  <dc:creator/>
  <cp:keywords>IES Peset Aleixandre, CAPEX, OPEX, AWS, infraestructura</cp:keywords>
  <dc:description>generated by python-docx</dc:description>
  <cp:lastModifiedBy/>
  <cp:revision>1</cp:revision>
  <dcterms:created xsi:type="dcterms:W3CDTF">2013-12-23T23:15:00Z</dcterms:created>
  <dcterms:modified xsi:type="dcterms:W3CDTF">2013-12-23T23:15:00Z</dcterms:modified>
  <cp:category/>
</cp:coreProperties>
</file>