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48"/>
          <w:szCs w:val="48"/>
        </w:rPr>
        <w:t xml:space="preserve">⛳</w:t>
      </w:r>
    </w:p>
    <w:p>
      <w:pPr>
        <w:spacing w:after="40"/>
        <w:jc w:val="center"/>
      </w:pPr>
      <w:r>
        <w:rPr>
          <w:b/>
          <w:bCs/>
          <w:color w:val="1E7145"/>
          <w:sz w:val="48"/>
          <w:szCs w:val="48"/>
        </w:rPr>
        <w:t xml:space="preserve">Sandbagger</w:t>
      </w:r>
    </w:p>
    <w:p>
      <w:pPr>
        <w:spacing w:after="300"/>
        <w:jc w:val="center"/>
      </w:pPr>
      <w:r>
        <w:rPr>
          <w:color w:val="5B675F"/>
          <w:sz w:val="32"/>
          <w:szCs w:val="32"/>
        </w:rPr>
        <w:t xml:space="preserve">Privacy Policy</w:t>
      </w:r>
    </w:p>
    <w:p>
      <w:pPr>
        <w:spacing w:after="160" w:line="276"/>
      </w:pPr>
      <w:r>
        <w:rPr>
          <w:b/>
          <w:bCs/>
          <w:sz w:val="22"/>
          <w:szCs w:val="22"/>
        </w:rPr>
        <w:t xml:space="preserve">Effective date: </w:t>
      </w:r>
      <w:r>
        <w:rPr>
          <w:sz w:val="22"/>
          <w:szCs w:val="22"/>
        </w:rPr>
        <w:t xml:space="preserve">1 September 2026</w:t>
      </w:r>
      <w:r>
        <w:rPr>
          <w:sz w:val="22"/>
          <w:szCs w:val="22"/>
        </w:rPr>
        <w:t xml:space="preserve">   |   </w:t>
      </w:r>
      <w:r>
        <w:rPr>
          <w:b/>
          <w:bCs/>
          <w:sz w:val="22"/>
          <w:szCs w:val="22"/>
        </w:rPr>
        <w:t xml:space="preserve">App name: </w:t>
      </w:r>
      <w:r>
        <w:rPr>
          <w:sz w:val="22"/>
          <w:szCs w:val="22"/>
        </w:rPr>
        <w:t xml:space="preserve">Sandbagger</w:t>
      </w:r>
      <w:r>
        <w:rPr>
          <w:sz w:val="22"/>
          <w:szCs w:val="22"/>
        </w:rPr>
        <w:t xml:space="preserve">   |   </w:t>
      </w:r>
      <w:r>
        <w:rPr>
          <w:b/>
          <w:bCs/>
          <w:sz w:val="22"/>
          <w:szCs w:val="22"/>
        </w:rPr>
        <w:t xml:space="preserve">Package ID: </w:t>
      </w:r>
      <w:r>
        <w:rPr>
          <w:sz w:val="22"/>
          <w:szCs w:val="22"/>
        </w:rPr>
        <w:t xml:space="preserve">com.devotte.sandbagger</w:t>
      </w:r>
    </w:p>
    <w:p>
      <w:pPr>
        <w:spacing w:after="160" w:line="276"/>
      </w:pPr>
      <w:r>
        <w:rPr>
          <w:b/>
          <w:bCs/>
          <w:sz w:val="22"/>
          <w:szCs w:val="22"/>
        </w:rPr>
        <w:t xml:space="preserve">Developer: </w:t>
      </w:r>
      <w:r>
        <w:rPr>
          <w:sz w:val="22"/>
          <w:szCs w:val="22"/>
        </w:rPr>
        <w:t xml:space="preserve">OvaGames</w:t>
      </w:r>
    </w:p>
    <w:p>
      <w:pPr>
        <w:spacing w:after="160" w:line="276"/>
      </w:pPr>
      <w:r>
        <w:rPr>
          <w:b/>
          <w:bCs/>
          <w:sz w:val="22"/>
          <w:szCs w:val="22"/>
        </w:rPr>
        <w:t xml:space="preserve">Contact: </w:t>
      </w:r>
      <w:r>
        <w:rPr>
          <w:sz w:val="22"/>
          <w:szCs w:val="22"/>
        </w:rPr>
        <w:t xml:space="preserve">Ottevanalebeek@gmail.com</w:t>
      </w:r>
    </w:p>
    <w:p>
      <w:pPr>
        <w:pBdr>
          <w:bottom w:val="single" w:color="E1E7E2" w:sz="6" w:space="1"/>
        </w:pBdr>
        <w:spacing w:after="200" w:before="200"/>
      </w:pPr>
    </w:p>
    <w:p>
      <w:pPr>
        <w:spacing w:after="160" w:line="276"/>
      </w:pPr>
      <w:r>
        <w:rPr>
          <w:sz w:val="22"/>
          <w:szCs w:val="22"/>
        </w:rPr>
        <w:t xml:space="preserve">This Privacy Policy explains what information the Sandbagger mobile application ("the App", "we", "us") collects, how it is used, and the choices you have. It is written to meet the requirements of the Google Play Developer Program Policies (including the User Data policy and the Families/children policies where applicable) and, because the developer is based in the European Union, the EU General Data Protection Regulation (GDPR).</w:t>
      </w:r>
    </w:p>
    <w:p>
      <w:pPr>
        <w:spacing w:after="160" w:line="276"/>
      </w:pPr>
      <w:r>
        <w:rPr>
          <w:sz w:val="22"/>
          <w:szCs w:val="22"/>
        </w:rPr>
        <w:t xml:space="preserve">By downloading, installing, or using Sandbagger, you agree to the collection and use of information as described in this policy. If you do not agree, please do not use the App.</w:t>
      </w:r>
    </w:p>
    <w:p>
      <w:pPr>
        <w:pStyle w:val="Heading1"/>
        <w:spacing w:after="160" w:before="320"/>
      </w:pPr>
      <w:r>
        <w:rPr>
          <w:b/>
          <w:bCs/>
          <w:color w:val="1E7145"/>
          <w:sz w:val="28"/>
          <w:szCs w:val="28"/>
        </w:rPr>
        <w:t xml:space="preserve">1. Summary at a Glance</w:t>
      </w:r>
    </w:p>
    <w:p>
      <w:pPr>
        <w:spacing w:after="160" w:line="276"/>
      </w:pPr>
      <w:r>
        <w:rPr>
          <w:sz w:val="22"/>
          <w:szCs w:val="22"/>
        </w:rPr>
        <w:t xml:space="preserve">Sandbagger is designed to work entirely on your device. We do not require you to create an account, and we do not operate a backend server that stores your personal data. The table below mirrors the categories used in Google Play's Data Safety section.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900"/>
      </w:tblGrid>
      <w:tr>
        <w:tc>
          <w:tcPr>
            <w:tcW w:type="dxa" w:w="2400"/>
            <w:shd w:fill="1E7145" w:val="clear"/>
            <w:tcMar>
              <w:top w:type="dxa" w:w="80"/>
              <w:left w:type="dxa" w:w="100"/>
              <w:bottom w:type="dxa" w:w="80"/>
              <w:right w:type="dxa" w:w="100"/>
            </w:tcMar>
          </w:tcPr>
          <w:p>
            <w:r>
              <w:rPr>
                <w:b/>
                <w:bCs/>
                <w:color w:val="FFFFFF"/>
                <w:sz w:val="20"/>
                <w:szCs w:val="20"/>
              </w:rPr>
              <w:t xml:space="preserve">Data type</w:t>
            </w:r>
          </w:p>
        </w:tc>
        <w:tc>
          <w:tcPr>
            <w:tcW w:type="dxa" w:w="1600"/>
            <w:shd w:fill="1E7145" w:val="clear"/>
            <w:tcMar>
              <w:top w:type="dxa" w:w="80"/>
              <w:left w:type="dxa" w:w="100"/>
              <w:bottom w:type="dxa" w:w="80"/>
              <w:right w:type="dxa" w:w="100"/>
            </w:tcMar>
          </w:tcPr>
          <w:p>
            <w:r>
              <w:rPr>
                <w:b/>
                <w:bCs/>
                <w:color w:val="FFFFFF"/>
                <w:sz w:val="20"/>
                <w:szCs w:val="20"/>
              </w:rPr>
              <w:t xml:space="preserve">Collected?</w:t>
            </w:r>
          </w:p>
        </w:tc>
        <w:tc>
          <w:tcPr>
            <w:tcW w:type="dxa" w:w="1600"/>
            <w:shd w:fill="1E7145" w:val="clear"/>
            <w:tcMar>
              <w:top w:type="dxa" w:w="80"/>
              <w:left w:type="dxa" w:w="100"/>
              <w:bottom w:type="dxa" w:w="80"/>
              <w:right w:type="dxa" w:w="100"/>
            </w:tcMar>
          </w:tcPr>
          <w:p>
            <w:r>
              <w:rPr>
                <w:b/>
                <w:bCs/>
                <w:color w:val="FFFFFF"/>
                <w:sz w:val="20"/>
                <w:szCs w:val="20"/>
              </w:rPr>
              <w:t xml:space="preserve">Shared?</w:t>
            </w:r>
          </w:p>
        </w:tc>
        <w:tc>
          <w:tcPr>
            <w:tcW w:type="dxa" w:w="3900"/>
            <w:shd w:fill="1E7145"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sz w:val="20"/>
                <w:szCs w:val="20"/>
              </w:rPr>
              <w:t xml:space="preserve">Player name (nickname)</w:t>
            </w:r>
          </w:p>
        </w:tc>
        <w:tc>
          <w:tcPr>
            <w:tcW w:type="dxa" w:w="1600"/>
            <w:tcMar>
              <w:top w:type="dxa" w:w="80"/>
              <w:left w:type="dxa" w:w="100"/>
              <w:bottom w:type="dxa" w:w="80"/>
              <w:right w:type="dxa" w:w="100"/>
            </w:tcMar>
          </w:tcPr>
          <w:p>
            <w:r>
              <w:rPr>
                <w:sz w:val="20"/>
                <w:szCs w:val="20"/>
              </w:rPr>
              <w:t xml:space="preserve">Yes — local only</w:t>
            </w:r>
          </w:p>
        </w:tc>
        <w:tc>
          <w:tcPr>
            <w:tcW w:type="dxa" w:w="1600"/>
            <w:tcMar>
              <w:top w:type="dxa" w:w="80"/>
              <w:left w:type="dxa" w:w="100"/>
              <w:bottom w:type="dxa" w:w="80"/>
              <w:right w:type="dxa" w:w="100"/>
            </w:tcMar>
          </w:tcPr>
          <w:p>
            <w:r>
              <w:rPr>
                <w:sz w:val="20"/>
                <w:szCs w:val="20"/>
              </w:rPr>
              <w:t xml:space="preserve">No</w:t>
            </w:r>
          </w:p>
        </w:tc>
        <w:tc>
          <w:tcPr>
            <w:tcW w:type="dxa" w:w="3900"/>
            <w:tcMar>
              <w:top w:type="dxa" w:w="80"/>
              <w:left w:type="dxa" w:w="100"/>
              <w:bottom w:type="dxa" w:w="80"/>
              <w:right w:type="dxa" w:w="100"/>
            </w:tcMar>
          </w:tcPr>
          <w:p>
            <w:r>
              <w:rPr>
                <w:sz w:val="20"/>
                <w:szCs w:val="20"/>
              </w:rPr>
              <w:t xml:space="preserve">App functionality: identify players in a round</w:t>
            </w:r>
          </w:p>
        </w:tc>
      </w:tr>
      <w:tr>
        <w:tc>
          <w:tcPr>
            <w:tcW w:type="dxa" w:w="2400"/>
            <w:shd w:fill="F7F9F6" w:val="clear"/>
            <w:tcMar>
              <w:top w:type="dxa" w:w="80"/>
              <w:left w:type="dxa" w:w="100"/>
              <w:bottom w:type="dxa" w:w="80"/>
              <w:right w:type="dxa" w:w="100"/>
            </w:tcMar>
          </w:tcPr>
          <w:p>
            <w:r>
              <w:rPr>
                <w:sz w:val="20"/>
                <w:szCs w:val="20"/>
              </w:rPr>
              <w:t xml:space="preserve">Handicap (optional number)</w:t>
            </w:r>
          </w:p>
        </w:tc>
        <w:tc>
          <w:tcPr>
            <w:tcW w:type="dxa" w:w="1600"/>
            <w:shd w:fill="F7F9F6" w:val="clear"/>
            <w:tcMar>
              <w:top w:type="dxa" w:w="80"/>
              <w:left w:type="dxa" w:w="100"/>
              <w:bottom w:type="dxa" w:w="80"/>
              <w:right w:type="dxa" w:w="100"/>
            </w:tcMar>
          </w:tcPr>
          <w:p>
            <w:r>
              <w:rPr>
                <w:sz w:val="20"/>
                <w:szCs w:val="20"/>
              </w:rPr>
              <w:t xml:space="preserve">Yes — local only</w:t>
            </w:r>
          </w:p>
        </w:tc>
        <w:tc>
          <w:tcPr>
            <w:tcW w:type="dxa" w:w="1600"/>
            <w:shd w:fill="F7F9F6" w:val="clear"/>
            <w:tcMar>
              <w:top w:type="dxa" w:w="80"/>
              <w:left w:type="dxa" w:w="100"/>
              <w:bottom w:type="dxa" w:w="80"/>
              <w:right w:type="dxa" w:w="100"/>
            </w:tcMar>
          </w:tcPr>
          <w:p>
            <w:r>
              <w:rPr>
                <w:sz w:val="20"/>
                <w:szCs w:val="20"/>
              </w:rPr>
              <w:t xml:space="preserve">No</w:t>
            </w:r>
          </w:p>
        </w:tc>
        <w:tc>
          <w:tcPr>
            <w:tcW w:type="dxa" w:w="3900"/>
            <w:shd w:fill="F7F9F6" w:val="clear"/>
            <w:tcMar>
              <w:top w:type="dxa" w:w="80"/>
              <w:left w:type="dxa" w:w="100"/>
              <w:bottom w:type="dxa" w:w="80"/>
              <w:right w:type="dxa" w:w="100"/>
            </w:tcMar>
          </w:tcPr>
          <w:p>
            <w:r>
              <w:rPr>
                <w:sz w:val="20"/>
                <w:szCs w:val="20"/>
              </w:rPr>
              <w:t xml:space="preserve">App functionality: game setup</w:t>
            </w:r>
          </w:p>
        </w:tc>
      </w:tr>
      <w:tr>
        <w:tc>
          <w:tcPr>
            <w:tcW w:type="dxa" w:w="2400"/>
            <w:tcMar>
              <w:top w:type="dxa" w:w="80"/>
              <w:left w:type="dxa" w:w="100"/>
              <w:bottom w:type="dxa" w:w="80"/>
              <w:right w:type="dxa" w:w="100"/>
            </w:tcMar>
          </w:tcPr>
          <w:p>
            <w:r>
              <w:rPr>
                <w:sz w:val="20"/>
                <w:szCs w:val="20"/>
              </w:rPr>
              <w:t xml:space="preserve">Round scores &amp; history</w:t>
            </w:r>
          </w:p>
        </w:tc>
        <w:tc>
          <w:tcPr>
            <w:tcW w:type="dxa" w:w="1600"/>
            <w:tcMar>
              <w:top w:type="dxa" w:w="80"/>
              <w:left w:type="dxa" w:w="100"/>
              <w:bottom w:type="dxa" w:w="80"/>
              <w:right w:type="dxa" w:w="100"/>
            </w:tcMar>
          </w:tcPr>
          <w:p>
            <w:r>
              <w:rPr>
                <w:sz w:val="20"/>
                <w:szCs w:val="20"/>
              </w:rPr>
              <w:t xml:space="preserve">Yes — local only</w:t>
            </w:r>
          </w:p>
        </w:tc>
        <w:tc>
          <w:tcPr>
            <w:tcW w:type="dxa" w:w="1600"/>
            <w:tcMar>
              <w:top w:type="dxa" w:w="80"/>
              <w:left w:type="dxa" w:w="100"/>
              <w:bottom w:type="dxa" w:w="80"/>
              <w:right w:type="dxa" w:w="100"/>
            </w:tcMar>
          </w:tcPr>
          <w:p>
            <w:r>
              <w:rPr>
                <w:sz w:val="20"/>
                <w:szCs w:val="20"/>
              </w:rPr>
              <w:t xml:space="preserve">No</w:t>
            </w:r>
          </w:p>
        </w:tc>
        <w:tc>
          <w:tcPr>
            <w:tcW w:type="dxa" w:w="3900"/>
            <w:tcMar>
              <w:top w:type="dxa" w:w="80"/>
              <w:left w:type="dxa" w:w="100"/>
              <w:bottom w:type="dxa" w:w="80"/>
              <w:right w:type="dxa" w:w="100"/>
            </w:tcMar>
          </w:tcPr>
          <w:p>
            <w:r>
              <w:rPr>
                <w:sz w:val="20"/>
                <w:szCs w:val="20"/>
              </w:rPr>
              <w:t xml:space="preserve">App functionality: scorekeeping &amp; statistics</w:t>
            </w:r>
          </w:p>
        </w:tc>
      </w:tr>
      <w:tr>
        <w:tc>
          <w:tcPr>
            <w:tcW w:type="dxa" w:w="2400"/>
            <w:shd w:fill="F7F9F6" w:val="clear"/>
            <w:tcMar>
              <w:top w:type="dxa" w:w="80"/>
              <w:left w:type="dxa" w:w="100"/>
              <w:bottom w:type="dxa" w:w="80"/>
              <w:right w:type="dxa" w:w="100"/>
            </w:tcMar>
          </w:tcPr>
          <w:p>
            <w:r>
              <w:rPr>
                <w:sz w:val="20"/>
                <w:szCs w:val="20"/>
              </w:rPr>
              <w:t xml:space="preserve">Language preference</w:t>
            </w:r>
          </w:p>
        </w:tc>
        <w:tc>
          <w:tcPr>
            <w:tcW w:type="dxa" w:w="1600"/>
            <w:shd w:fill="F7F9F6" w:val="clear"/>
            <w:tcMar>
              <w:top w:type="dxa" w:w="80"/>
              <w:left w:type="dxa" w:w="100"/>
              <w:bottom w:type="dxa" w:w="80"/>
              <w:right w:type="dxa" w:w="100"/>
            </w:tcMar>
          </w:tcPr>
          <w:p>
            <w:r>
              <w:rPr>
                <w:sz w:val="20"/>
                <w:szCs w:val="20"/>
              </w:rPr>
              <w:t xml:space="preserve">Yes — local only</w:t>
            </w:r>
          </w:p>
        </w:tc>
        <w:tc>
          <w:tcPr>
            <w:tcW w:type="dxa" w:w="1600"/>
            <w:shd w:fill="F7F9F6" w:val="clear"/>
            <w:tcMar>
              <w:top w:type="dxa" w:w="80"/>
              <w:left w:type="dxa" w:w="100"/>
              <w:bottom w:type="dxa" w:w="80"/>
              <w:right w:type="dxa" w:w="100"/>
            </w:tcMar>
          </w:tcPr>
          <w:p>
            <w:r>
              <w:rPr>
                <w:sz w:val="20"/>
                <w:szCs w:val="20"/>
              </w:rPr>
              <w:t xml:space="preserve">No</w:t>
            </w:r>
          </w:p>
        </w:tc>
        <w:tc>
          <w:tcPr>
            <w:tcW w:type="dxa" w:w="3900"/>
            <w:shd w:fill="F7F9F6" w:val="clear"/>
            <w:tcMar>
              <w:top w:type="dxa" w:w="80"/>
              <w:left w:type="dxa" w:w="100"/>
              <w:bottom w:type="dxa" w:w="80"/>
              <w:right w:type="dxa" w:w="100"/>
            </w:tcMar>
          </w:tcPr>
          <w:p>
            <w:r>
              <w:rPr>
                <w:sz w:val="20"/>
                <w:szCs w:val="20"/>
              </w:rPr>
              <w:t xml:space="preserve">App functionality: display language</w:t>
            </w:r>
          </w:p>
        </w:tc>
      </w:tr>
      <w:tr>
        <w:tc>
          <w:tcPr>
            <w:tcW w:type="dxa" w:w="2400"/>
            <w:tcMar>
              <w:top w:type="dxa" w:w="80"/>
              <w:left w:type="dxa" w:w="100"/>
              <w:bottom w:type="dxa" w:w="80"/>
              <w:right w:type="dxa" w:w="100"/>
            </w:tcMar>
          </w:tcPr>
          <w:p>
            <w:r>
              <w:rPr>
                <w:sz w:val="20"/>
                <w:szCs w:val="20"/>
              </w:rPr>
              <w:t xml:space="preserve">Advertising ID</w:t>
            </w:r>
          </w:p>
        </w:tc>
        <w:tc>
          <w:tcPr>
            <w:tcW w:type="dxa" w:w="1600"/>
            <w:tcMar>
              <w:top w:type="dxa" w:w="80"/>
              <w:left w:type="dxa" w:w="100"/>
              <w:bottom w:type="dxa" w:w="80"/>
              <w:right w:type="dxa" w:w="100"/>
            </w:tcMar>
          </w:tcPr>
          <w:p>
            <w:r>
              <w:rPr>
                <w:sz w:val="20"/>
                <w:szCs w:val="20"/>
              </w:rPr>
              <w:t xml:space="preserve">Yes — via Google AdMob</w:t>
            </w:r>
          </w:p>
        </w:tc>
        <w:tc>
          <w:tcPr>
            <w:tcW w:type="dxa" w:w="1600"/>
            <w:tcMar>
              <w:top w:type="dxa" w:w="80"/>
              <w:left w:type="dxa" w:w="100"/>
              <w:bottom w:type="dxa" w:w="80"/>
              <w:right w:type="dxa" w:w="100"/>
            </w:tcMar>
          </w:tcPr>
          <w:p>
            <w:r>
              <w:rPr>
                <w:sz w:val="20"/>
                <w:szCs w:val="20"/>
              </w:rPr>
              <w:t xml:space="preserve">Yes — with Google</w:t>
            </w:r>
          </w:p>
        </w:tc>
        <w:tc>
          <w:tcPr>
            <w:tcW w:type="dxa" w:w="3900"/>
            <w:tcMar>
              <w:top w:type="dxa" w:w="80"/>
              <w:left w:type="dxa" w:w="100"/>
              <w:bottom w:type="dxa" w:w="80"/>
              <w:right w:type="dxa" w:w="100"/>
            </w:tcMar>
          </w:tcPr>
          <w:p>
            <w:r>
              <w:rPr>
                <w:sz w:val="20"/>
                <w:szCs w:val="20"/>
              </w:rPr>
              <w:t xml:space="preserve">Advertising (see Section 7)</w:t>
            </w:r>
          </w:p>
        </w:tc>
      </w:tr>
      <w:tr>
        <w:tc>
          <w:tcPr>
            <w:tcW w:type="dxa" w:w="2400"/>
            <w:shd w:fill="F7F9F6" w:val="clear"/>
            <w:tcMar>
              <w:top w:type="dxa" w:w="80"/>
              <w:left w:type="dxa" w:w="100"/>
              <w:bottom w:type="dxa" w:w="80"/>
              <w:right w:type="dxa" w:w="100"/>
            </w:tcMar>
          </w:tcPr>
          <w:p>
            <w:r>
              <w:rPr>
                <w:sz w:val="20"/>
                <w:szCs w:val="20"/>
              </w:rPr>
              <w:t xml:space="preserve">Device information (via AdMob)</w:t>
            </w:r>
          </w:p>
        </w:tc>
        <w:tc>
          <w:tcPr>
            <w:tcW w:type="dxa" w:w="1600"/>
            <w:shd w:fill="F7F9F6" w:val="clear"/>
            <w:tcMar>
              <w:top w:type="dxa" w:w="80"/>
              <w:left w:type="dxa" w:w="100"/>
              <w:bottom w:type="dxa" w:w="80"/>
              <w:right w:type="dxa" w:w="100"/>
            </w:tcMar>
          </w:tcPr>
          <w:p>
            <w:r>
              <w:rPr>
                <w:sz w:val="20"/>
                <w:szCs w:val="20"/>
              </w:rPr>
              <w:t xml:space="preserve">Yes — via Google AdMob</w:t>
            </w:r>
          </w:p>
        </w:tc>
        <w:tc>
          <w:tcPr>
            <w:tcW w:type="dxa" w:w="1600"/>
            <w:shd w:fill="F7F9F6" w:val="clear"/>
            <w:tcMar>
              <w:top w:type="dxa" w:w="80"/>
              <w:left w:type="dxa" w:w="100"/>
              <w:bottom w:type="dxa" w:w="80"/>
              <w:right w:type="dxa" w:w="100"/>
            </w:tcMar>
          </w:tcPr>
          <w:p>
            <w:r>
              <w:rPr>
                <w:sz w:val="20"/>
                <w:szCs w:val="20"/>
              </w:rPr>
              <w:t xml:space="preserve">Yes — with Google</w:t>
            </w:r>
          </w:p>
        </w:tc>
        <w:tc>
          <w:tcPr>
            <w:tcW w:type="dxa" w:w="3900"/>
            <w:shd w:fill="F7F9F6" w:val="clear"/>
            <w:tcMar>
              <w:top w:type="dxa" w:w="80"/>
              <w:left w:type="dxa" w:w="100"/>
              <w:bottom w:type="dxa" w:w="80"/>
              <w:right w:type="dxa" w:w="100"/>
            </w:tcMar>
          </w:tcPr>
          <w:p>
            <w:r>
              <w:rPr>
                <w:sz w:val="20"/>
                <w:szCs w:val="20"/>
              </w:rPr>
              <w:t xml:space="preserve">Advertising (see Section 7)</w:t>
            </w:r>
          </w:p>
        </w:tc>
      </w:tr>
      <w:tr>
        <w:tc>
          <w:tcPr>
            <w:tcW w:type="dxa" w:w="2400"/>
            <w:tcMar>
              <w:top w:type="dxa" w:w="80"/>
              <w:left w:type="dxa" w:w="100"/>
              <w:bottom w:type="dxa" w:w="80"/>
              <w:right w:type="dxa" w:w="100"/>
            </w:tcMar>
          </w:tcPr>
          <w:p>
            <w:r>
              <w:rPr>
                <w:sz w:val="20"/>
                <w:szCs w:val="20"/>
              </w:rPr>
              <w:t xml:space="preserve">Precise location</w:t>
            </w:r>
          </w:p>
        </w:tc>
        <w:tc>
          <w:tcPr>
            <w:tcW w:type="dxa" w:w="1600"/>
            <w:tcMar>
              <w:top w:type="dxa" w:w="80"/>
              <w:left w:type="dxa" w:w="100"/>
              <w:bottom w:type="dxa" w:w="80"/>
              <w:right w:type="dxa" w:w="100"/>
            </w:tcMar>
          </w:tcPr>
          <w:p>
            <w:r>
              <w:rPr>
                <w:sz w:val="20"/>
                <w:szCs w:val="20"/>
              </w:rPr>
              <w:t xml:space="preserve">No</w:t>
            </w:r>
          </w:p>
        </w:tc>
        <w:tc>
          <w:tcPr>
            <w:tcW w:type="dxa" w:w="1600"/>
            <w:tcMar>
              <w:top w:type="dxa" w:w="80"/>
              <w:left w:type="dxa" w:w="100"/>
              <w:bottom w:type="dxa" w:w="80"/>
              <w:right w:type="dxa" w:w="100"/>
            </w:tcMar>
          </w:tcPr>
          <w:p>
            <w:r>
              <w:rPr>
                <w:sz w:val="20"/>
                <w:szCs w:val="20"/>
              </w:rPr>
              <w:t xml:space="preserve">No</w:t>
            </w:r>
          </w:p>
        </w:tc>
        <w:tc>
          <w:tcPr>
            <w:tcW w:type="dxa" w:w="3900"/>
            <w:tcMar>
              <w:top w:type="dxa" w:w="80"/>
              <w:left w:type="dxa" w:w="100"/>
              <w:bottom w:type="dxa" w:w="80"/>
              <w:right w:type="dxa" w:w="100"/>
            </w:tcMar>
          </w:tcPr>
          <w:p>
            <w:r>
              <w:rPr>
                <w:sz w:val="20"/>
                <w:szCs w:val="20"/>
              </w:rPr>
              <w:t xml:space="preserve">—</w:t>
            </w:r>
          </w:p>
        </w:tc>
      </w:tr>
      <w:tr>
        <w:tc>
          <w:tcPr>
            <w:tcW w:type="dxa" w:w="2400"/>
            <w:shd w:fill="F7F9F6" w:val="clear"/>
            <w:tcMar>
              <w:top w:type="dxa" w:w="80"/>
              <w:left w:type="dxa" w:w="100"/>
              <w:bottom w:type="dxa" w:w="80"/>
              <w:right w:type="dxa" w:w="100"/>
            </w:tcMar>
          </w:tcPr>
          <w:p>
            <w:r>
              <w:rPr>
                <w:sz w:val="20"/>
                <w:szCs w:val="20"/>
              </w:rPr>
              <w:t xml:space="preserve">Contacts</w:t>
            </w:r>
          </w:p>
        </w:tc>
        <w:tc>
          <w:tcPr>
            <w:tcW w:type="dxa" w:w="1600"/>
            <w:shd w:fill="F7F9F6" w:val="clear"/>
            <w:tcMar>
              <w:top w:type="dxa" w:w="80"/>
              <w:left w:type="dxa" w:w="100"/>
              <w:bottom w:type="dxa" w:w="80"/>
              <w:right w:type="dxa" w:w="100"/>
            </w:tcMar>
          </w:tcPr>
          <w:p>
            <w:r>
              <w:rPr>
                <w:sz w:val="20"/>
                <w:szCs w:val="20"/>
              </w:rPr>
              <w:t xml:space="preserve">No</w:t>
            </w:r>
          </w:p>
        </w:tc>
        <w:tc>
          <w:tcPr>
            <w:tcW w:type="dxa" w:w="1600"/>
            <w:shd w:fill="F7F9F6" w:val="clear"/>
            <w:tcMar>
              <w:top w:type="dxa" w:w="80"/>
              <w:left w:type="dxa" w:w="100"/>
              <w:bottom w:type="dxa" w:w="80"/>
              <w:right w:type="dxa" w:w="100"/>
            </w:tcMar>
          </w:tcPr>
          <w:p>
            <w:r>
              <w:rPr>
                <w:sz w:val="20"/>
                <w:szCs w:val="20"/>
              </w:rPr>
              <w:t xml:space="preserve">No</w:t>
            </w:r>
          </w:p>
        </w:tc>
        <w:tc>
          <w:tcPr>
            <w:tcW w:type="dxa" w:w="3900"/>
            <w:shd w:fill="F7F9F6" w:val="clear"/>
            <w:tcMar>
              <w:top w:type="dxa" w:w="80"/>
              <w:left w:type="dxa" w:w="100"/>
              <w:bottom w:type="dxa" w:w="80"/>
              <w:right w:type="dxa" w:w="100"/>
            </w:tcMar>
          </w:tcPr>
          <w:p>
            <w:r>
              <w:rPr>
                <w:sz w:val="20"/>
                <w:szCs w:val="20"/>
              </w:rPr>
              <w:t xml:space="preserve">—</w:t>
            </w:r>
          </w:p>
        </w:tc>
      </w:tr>
      <w:tr>
        <w:tc>
          <w:tcPr>
            <w:tcW w:type="dxa" w:w="2400"/>
            <w:tcMar>
              <w:top w:type="dxa" w:w="80"/>
              <w:left w:type="dxa" w:w="100"/>
              <w:bottom w:type="dxa" w:w="80"/>
              <w:right w:type="dxa" w:w="100"/>
            </w:tcMar>
          </w:tcPr>
          <w:p>
            <w:r>
              <w:rPr>
                <w:sz w:val="20"/>
                <w:szCs w:val="20"/>
              </w:rPr>
              <w:t xml:space="preserve">Photos, camera, microphone</w:t>
            </w:r>
          </w:p>
        </w:tc>
        <w:tc>
          <w:tcPr>
            <w:tcW w:type="dxa" w:w="1600"/>
            <w:tcMar>
              <w:top w:type="dxa" w:w="80"/>
              <w:left w:type="dxa" w:w="100"/>
              <w:bottom w:type="dxa" w:w="80"/>
              <w:right w:type="dxa" w:w="100"/>
            </w:tcMar>
          </w:tcPr>
          <w:p>
            <w:r>
              <w:rPr>
                <w:sz w:val="20"/>
                <w:szCs w:val="20"/>
              </w:rPr>
              <w:t xml:space="preserve">No</w:t>
            </w:r>
          </w:p>
        </w:tc>
        <w:tc>
          <w:tcPr>
            <w:tcW w:type="dxa" w:w="1600"/>
            <w:tcMar>
              <w:top w:type="dxa" w:w="80"/>
              <w:left w:type="dxa" w:w="100"/>
              <w:bottom w:type="dxa" w:w="80"/>
              <w:right w:type="dxa" w:w="100"/>
            </w:tcMar>
          </w:tcPr>
          <w:p>
            <w:r>
              <w:rPr>
                <w:sz w:val="20"/>
                <w:szCs w:val="20"/>
              </w:rPr>
              <w:t xml:space="preserve">No</w:t>
            </w:r>
          </w:p>
        </w:tc>
        <w:tc>
          <w:tcPr>
            <w:tcW w:type="dxa" w:w="3900"/>
            <w:tcMar>
              <w:top w:type="dxa" w:w="80"/>
              <w:left w:type="dxa" w:w="100"/>
              <w:bottom w:type="dxa" w:w="80"/>
              <w:right w:type="dxa" w:w="100"/>
            </w:tcMar>
          </w:tcPr>
          <w:p>
            <w:r>
              <w:rPr>
                <w:sz w:val="20"/>
                <w:szCs w:val="20"/>
              </w:rPr>
              <w:t xml:space="preserve">—</w:t>
            </w:r>
          </w:p>
        </w:tc>
      </w:tr>
      <w:tr>
        <w:tc>
          <w:tcPr>
            <w:tcW w:type="dxa" w:w="2400"/>
            <w:shd w:fill="F7F9F6" w:val="clear"/>
            <w:tcMar>
              <w:top w:type="dxa" w:w="80"/>
              <w:left w:type="dxa" w:w="100"/>
              <w:bottom w:type="dxa" w:w="80"/>
              <w:right w:type="dxa" w:w="100"/>
            </w:tcMar>
          </w:tcPr>
          <w:p>
            <w:r>
              <w:rPr>
                <w:sz w:val="20"/>
                <w:szCs w:val="20"/>
              </w:rPr>
              <w:t xml:space="preserve">Account credentials / email / phone</w:t>
            </w:r>
          </w:p>
        </w:tc>
        <w:tc>
          <w:tcPr>
            <w:tcW w:type="dxa" w:w="1600"/>
            <w:shd w:fill="F7F9F6" w:val="clear"/>
            <w:tcMar>
              <w:top w:type="dxa" w:w="80"/>
              <w:left w:type="dxa" w:w="100"/>
              <w:bottom w:type="dxa" w:w="80"/>
              <w:right w:type="dxa" w:w="100"/>
            </w:tcMar>
          </w:tcPr>
          <w:p>
            <w:r>
              <w:rPr>
                <w:sz w:val="20"/>
                <w:szCs w:val="20"/>
              </w:rPr>
              <w:t xml:space="preserve">No</w:t>
            </w:r>
          </w:p>
        </w:tc>
        <w:tc>
          <w:tcPr>
            <w:tcW w:type="dxa" w:w="1600"/>
            <w:shd w:fill="F7F9F6" w:val="clear"/>
            <w:tcMar>
              <w:top w:type="dxa" w:w="80"/>
              <w:left w:type="dxa" w:w="100"/>
              <w:bottom w:type="dxa" w:w="80"/>
              <w:right w:type="dxa" w:w="100"/>
            </w:tcMar>
          </w:tcPr>
          <w:p>
            <w:r>
              <w:rPr>
                <w:sz w:val="20"/>
                <w:szCs w:val="20"/>
              </w:rPr>
              <w:t xml:space="preserve">No</w:t>
            </w:r>
          </w:p>
        </w:tc>
        <w:tc>
          <w:tcPr>
            <w:tcW w:type="dxa" w:w="3900"/>
            <w:shd w:fill="F7F9F6" w:val="clear"/>
            <w:tcMar>
              <w:top w:type="dxa" w:w="80"/>
              <w:left w:type="dxa" w:w="100"/>
              <w:bottom w:type="dxa" w:w="80"/>
              <w:right w:type="dxa" w:w="100"/>
            </w:tcMar>
          </w:tcPr>
          <w:p>
            <w:r>
              <w:rPr>
                <w:sz w:val="20"/>
                <w:szCs w:val="20"/>
              </w:rPr>
              <w:t xml:space="preserve">—</w:t>
            </w:r>
          </w:p>
        </w:tc>
      </w:tr>
      <w:tr>
        <w:tc>
          <w:tcPr>
            <w:tcW w:type="dxa" w:w="2400"/>
            <w:tcMar>
              <w:top w:type="dxa" w:w="80"/>
              <w:left w:type="dxa" w:w="100"/>
              <w:bottom w:type="dxa" w:w="80"/>
              <w:right w:type="dxa" w:w="100"/>
            </w:tcMar>
          </w:tcPr>
          <w:p>
            <w:r>
              <w:rPr>
                <w:sz w:val="20"/>
                <w:szCs w:val="20"/>
              </w:rPr>
              <w:t xml:space="preserve">Financial or payment information</w:t>
            </w:r>
          </w:p>
        </w:tc>
        <w:tc>
          <w:tcPr>
            <w:tcW w:type="dxa" w:w="1600"/>
            <w:tcMar>
              <w:top w:type="dxa" w:w="80"/>
              <w:left w:type="dxa" w:w="100"/>
              <w:bottom w:type="dxa" w:w="80"/>
              <w:right w:type="dxa" w:w="100"/>
            </w:tcMar>
          </w:tcPr>
          <w:p>
            <w:r>
              <w:rPr>
                <w:sz w:val="20"/>
                <w:szCs w:val="20"/>
              </w:rPr>
              <w:t xml:space="preserve">No</w:t>
            </w:r>
          </w:p>
        </w:tc>
        <w:tc>
          <w:tcPr>
            <w:tcW w:type="dxa" w:w="1600"/>
            <w:tcMar>
              <w:top w:type="dxa" w:w="80"/>
              <w:left w:type="dxa" w:w="100"/>
              <w:bottom w:type="dxa" w:w="80"/>
              <w:right w:type="dxa" w:w="100"/>
            </w:tcMar>
          </w:tcPr>
          <w:p>
            <w:r>
              <w:rPr>
                <w:sz w:val="20"/>
                <w:szCs w:val="20"/>
              </w:rPr>
              <w:t xml:space="preserve">No</w:t>
            </w:r>
          </w:p>
        </w:tc>
        <w:tc>
          <w:tcPr>
            <w:tcW w:type="dxa" w:w="3900"/>
            <w:tcMar>
              <w:top w:type="dxa" w:w="80"/>
              <w:left w:type="dxa" w:w="100"/>
              <w:bottom w:type="dxa" w:w="80"/>
              <w:right w:type="dxa" w:w="100"/>
            </w:tcMar>
          </w:tcPr>
          <w:p>
            <w:r>
              <w:rPr>
                <w:sz w:val="20"/>
                <w:szCs w:val="20"/>
              </w:rPr>
              <w:t xml:space="preserve">—</w:t>
            </w:r>
          </w:p>
        </w:tc>
      </w:tr>
    </w:tbl>
    <w:p>
      <w:pPr>
        <w:spacing w:before="200"/>
      </w:pPr>
    </w:p>
    <w:p>
      <w:pPr>
        <w:pStyle w:val="Heading1"/>
        <w:spacing w:after="160" w:before="320"/>
      </w:pPr>
      <w:r>
        <w:rPr>
          <w:b/>
          <w:bCs/>
          <w:color w:val="1E7145"/>
          <w:sz w:val="28"/>
          <w:szCs w:val="28"/>
        </w:rPr>
        <w:t xml:space="preserve">2. Information We Collect</w:t>
      </w:r>
    </w:p>
    <w:p>
      <w:pPr>
        <w:pStyle w:val="Heading2"/>
        <w:spacing w:after="120" w:before="240"/>
      </w:pPr>
      <w:r>
        <w:rPr>
          <w:b/>
          <w:bCs/>
          <w:color w:val="16201A"/>
          <w:sz w:val="24"/>
          <w:szCs w:val="24"/>
        </w:rPr>
        <w:t xml:space="preserve">2.1 Information You Provide Directly</w:t>
      </w:r>
    </w:p>
    <w:p>
      <w:pPr>
        <w:spacing w:after="160" w:line="276"/>
      </w:pPr>
      <w:r>
        <w:rPr>
          <w:sz w:val="22"/>
          <w:szCs w:val="22"/>
        </w:rPr>
        <w:t xml:space="preserve">When you add a player, set up a round, or use the app, you may enter:</w:t>
      </w:r>
    </w:p>
    <w:p>
      <w:pPr>
        <w:pStyle w:val="ListParagraph"/>
        <w:numPr>
          <w:ilvl w:val="0"/>
          <w:numId w:val="2"/>
        </w:numPr>
        <w:spacing w:after="80" w:line="276"/>
      </w:pPr>
      <w:r>
        <w:rPr>
          <w:sz w:val="22"/>
          <w:szCs w:val="22"/>
        </w:rPr>
        <w:t xml:space="preserve">Player nicknames (any name or nickname you choose — no real identity verification is performed or required)</w:t>
      </w:r>
    </w:p>
    <w:p>
      <w:pPr>
        <w:pStyle w:val="ListParagraph"/>
        <w:numPr>
          <w:ilvl w:val="0"/>
          <w:numId w:val="2"/>
        </w:numPr>
        <w:spacing w:after="80" w:line="276"/>
      </w:pPr>
      <w:r>
        <w:rPr>
          <w:sz w:val="22"/>
          <w:szCs w:val="22"/>
        </w:rPr>
        <w:t xml:space="preserve">An optional handicap number</w:t>
      </w:r>
    </w:p>
    <w:p>
      <w:pPr>
        <w:pStyle w:val="ListParagraph"/>
        <w:numPr>
          <w:ilvl w:val="0"/>
          <w:numId w:val="2"/>
        </w:numPr>
        <w:spacing w:after="80" w:line="276"/>
      </w:pPr>
      <w:r>
        <w:rPr>
          <w:sz w:val="22"/>
          <w:szCs w:val="22"/>
        </w:rPr>
        <w:t xml:space="preserve">An emoji avatar you select from a fixed set</w:t>
      </w:r>
    </w:p>
    <w:p>
      <w:pPr>
        <w:pStyle w:val="ListParagraph"/>
        <w:numPr>
          <w:ilvl w:val="0"/>
          <w:numId w:val="2"/>
        </w:numPr>
        <w:spacing w:after="80" w:line="276"/>
      </w:pPr>
      <w:r>
        <w:rPr>
          <w:sz w:val="22"/>
          <w:szCs w:val="22"/>
        </w:rPr>
        <w:t xml:space="preserve">Golf round data: game type, holes, par values, scores, and results</w:t>
      </w:r>
    </w:p>
    <w:p>
      <w:pPr>
        <w:pStyle w:val="ListParagraph"/>
        <w:numPr>
          <w:ilvl w:val="0"/>
          <w:numId w:val="2"/>
        </w:numPr>
        <w:spacing w:after="80" w:line="276"/>
      </w:pPr>
      <w:r>
        <w:rPr>
          <w:sz w:val="22"/>
          <w:szCs w:val="22"/>
        </w:rPr>
        <w:t xml:space="preserve">Your preferred display language (Dutch or English)</w:t>
      </w:r>
    </w:p>
    <w:p>
      <w:pPr>
        <w:spacing w:after="160" w:line="276"/>
      </w:pPr>
      <w:r>
        <w:rPr>
          <w:sz w:val="22"/>
          <w:szCs w:val="22"/>
        </w:rPr>
        <w:t xml:space="preserve">This information is stored locally on your device using an on-device database (Hive). It is not transmitted to us, uploaded to a server we operate, or linked to any external account, unless you export or share it yourself (e.g. via a screenshot).</w:t>
      </w:r>
    </w:p>
    <w:p>
      <w:pPr>
        <w:pStyle w:val="Heading2"/>
        <w:spacing w:after="120" w:before="240"/>
      </w:pPr>
      <w:r>
        <w:rPr>
          <w:b/>
          <w:bCs/>
          <w:color w:val="16201A"/>
          <w:sz w:val="24"/>
          <w:szCs w:val="24"/>
        </w:rPr>
        <w:t xml:space="preserve">2.2 Information Collected Automatically</w:t>
      </w:r>
    </w:p>
    <w:p>
      <w:pPr>
        <w:spacing w:after="160" w:line="276"/>
      </w:pPr>
      <w:r>
        <w:rPr>
          <w:sz w:val="22"/>
          <w:szCs w:val="22"/>
        </w:rPr>
        <w:t xml:space="preserve">The App itself does not use analytics SDKs and does not automatically collect usage data, crash logs, or device identifiers on our own behalf. The only automatic data collection comes from the third-party advertising service described in Section 2.3 and Section 7.</w:t>
      </w:r>
    </w:p>
    <w:p>
      <w:pPr>
        <w:pStyle w:val="Heading2"/>
        <w:spacing w:after="120" w:before="240"/>
      </w:pPr>
      <w:r>
        <w:rPr>
          <w:b/>
          <w:bCs/>
          <w:color w:val="16201A"/>
          <w:sz w:val="24"/>
          <w:szCs w:val="24"/>
        </w:rPr>
        <w:t xml:space="preserve">2.3 Information Collected by Third-Party Services</w:t>
      </w:r>
    </w:p>
    <w:p>
      <w:pPr>
        <w:spacing w:after="160" w:line="276"/>
      </w:pPr>
      <w:r>
        <w:rPr>
          <w:sz w:val="22"/>
          <w:szCs w:val="22"/>
        </w:rPr>
        <w:t xml:space="preserve">Sandbagger displays advertising through Google AdMob (Google Mobile Ads SDK). To serve and measure ads, Google AdMob may automatically collect:</w:t>
      </w:r>
    </w:p>
    <w:p>
      <w:pPr>
        <w:pStyle w:val="ListParagraph"/>
        <w:numPr>
          <w:ilvl w:val="0"/>
          <w:numId w:val="2"/>
        </w:numPr>
        <w:spacing w:after="80" w:line="276"/>
      </w:pPr>
      <w:r>
        <w:rPr>
          <w:sz w:val="22"/>
          <w:szCs w:val="22"/>
        </w:rPr>
        <w:t xml:space="preserve">Advertising identifiers (e.g. Android Advertising ID / Google Advertising ID, or Apple's IDFA on iOS)</w:t>
      </w:r>
    </w:p>
    <w:p>
      <w:pPr>
        <w:pStyle w:val="ListParagraph"/>
        <w:numPr>
          <w:ilvl w:val="0"/>
          <w:numId w:val="2"/>
        </w:numPr>
        <w:spacing w:after="80" w:line="276"/>
      </w:pPr>
      <w:r>
        <w:rPr>
          <w:sz w:val="22"/>
          <w:szCs w:val="22"/>
        </w:rPr>
        <w:t xml:space="preserve">IP address and approximate location derived from it</w:t>
      </w:r>
    </w:p>
    <w:p>
      <w:pPr>
        <w:pStyle w:val="ListParagraph"/>
        <w:numPr>
          <w:ilvl w:val="0"/>
          <w:numId w:val="2"/>
        </w:numPr>
        <w:spacing w:after="80" w:line="276"/>
      </w:pPr>
      <w:r>
        <w:rPr>
          <w:sz w:val="22"/>
          <w:szCs w:val="22"/>
        </w:rPr>
        <w:t xml:space="preserve">Device information (device model, operating system, language, time zone)</w:t>
      </w:r>
    </w:p>
    <w:p>
      <w:pPr>
        <w:pStyle w:val="ListParagraph"/>
        <w:numPr>
          <w:ilvl w:val="0"/>
          <w:numId w:val="2"/>
        </w:numPr>
        <w:spacing w:after="80" w:line="276"/>
      </w:pPr>
      <w:r>
        <w:rPr>
          <w:sz w:val="22"/>
          <w:szCs w:val="22"/>
        </w:rPr>
        <w:t xml:space="preserve">App interaction data related to ads (impressions, clicks)</w:t>
      </w:r>
    </w:p>
    <w:p>
      <w:pPr>
        <w:spacing w:after="160" w:line="276"/>
      </w:pPr>
      <w:r>
        <w:rPr>
          <w:sz w:val="22"/>
          <w:szCs w:val="22"/>
        </w:rPr>
        <w:t xml:space="preserve">This data is collected and processed by Google, not by us directly, under Google's own privacy policy. See Section 7 for details and how to control ad personalization.</w:t>
      </w:r>
    </w:p>
    <w:p>
      <w:pPr>
        <w:pStyle w:val="Heading1"/>
        <w:spacing w:after="160" w:before="320"/>
      </w:pPr>
      <w:r>
        <w:rPr>
          <w:b/>
          <w:bCs/>
          <w:color w:val="1E7145"/>
          <w:sz w:val="28"/>
          <w:szCs w:val="28"/>
        </w:rPr>
        <w:t xml:space="preserve">3. How We Use Information</w:t>
      </w:r>
    </w:p>
    <w:p>
      <w:pPr>
        <w:spacing w:after="160" w:line="276"/>
      </w:pPr>
      <w:r>
        <w:rPr>
          <w:sz w:val="22"/>
          <w:szCs w:val="22"/>
        </w:rPr>
        <w:t xml:space="preserve">We use the information described above only to:</w:t>
      </w:r>
    </w:p>
    <w:p>
      <w:pPr>
        <w:pStyle w:val="ListParagraph"/>
        <w:numPr>
          <w:ilvl w:val="0"/>
          <w:numId w:val="2"/>
        </w:numPr>
        <w:spacing w:after="80" w:line="276"/>
      </w:pPr>
      <w:r>
        <w:rPr>
          <w:sz w:val="22"/>
          <w:szCs w:val="22"/>
        </w:rPr>
        <w:t xml:space="preserve">Run the core features of the App: managing players, teams, scoring, round history, and statistics</w:t>
      </w:r>
    </w:p>
    <w:p>
      <w:pPr>
        <w:pStyle w:val="ListParagraph"/>
        <w:numPr>
          <w:ilvl w:val="0"/>
          <w:numId w:val="2"/>
        </w:numPr>
        <w:spacing w:after="80" w:line="276"/>
      </w:pPr>
      <w:r>
        <w:rPr>
          <w:sz w:val="22"/>
          <w:szCs w:val="22"/>
        </w:rPr>
        <w:t xml:space="preserve">Remember your display language preference</w:t>
      </w:r>
    </w:p>
    <w:p>
      <w:pPr>
        <w:pStyle w:val="ListParagraph"/>
        <w:numPr>
          <w:ilvl w:val="0"/>
          <w:numId w:val="2"/>
        </w:numPr>
        <w:spacing w:after="80" w:line="276"/>
      </w:pPr>
      <w:r>
        <w:rPr>
          <w:sz w:val="22"/>
          <w:szCs w:val="22"/>
        </w:rPr>
        <w:t xml:space="preserve">Display advertising (through Google AdMob) that helps keep the App free</w:t>
      </w:r>
    </w:p>
    <w:p>
      <w:pPr>
        <w:spacing w:after="160" w:line="276"/>
      </w:pPr>
      <w:r>
        <w:rPr>
          <w:sz w:val="22"/>
          <w:szCs w:val="22"/>
        </w:rPr>
        <w:t xml:space="preserve">We do not use your data for profiling, do not sell personal data, and do not use it for any purpose beyond operating the App and displaying ads.</w:t>
      </w:r>
    </w:p>
    <w:p>
      <w:pPr>
        <w:pStyle w:val="Heading1"/>
        <w:spacing w:after="160" w:before="320"/>
      </w:pPr>
      <w:r>
        <w:rPr>
          <w:b/>
          <w:bCs/>
          <w:color w:val="1E7145"/>
          <w:sz w:val="28"/>
          <w:szCs w:val="28"/>
        </w:rPr>
        <w:t xml:space="preserve">4. Local Storage &amp; Data Retention</w:t>
      </w:r>
    </w:p>
    <w:p>
      <w:pPr>
        <w:spacing w:after="160" w:line="276"/>
      </w:pPr>
      <w:r>
        <w:rPr>
          <w:sz w:val="22"/>
          <w:szCs w:val="22"/>
        </w:rPr>
        <w:t xml:space="preserve">All player data, round history, and settings are stored locally on your device using the Hive local database. This data:</w:t>
      </w:r>
    </w:p>
    <w:p>
      <w:pPr>
        <w:pStyle w:val="ListParagraph"/>
        <w:numPr>
          <w:ilvl w:val="0"/>
          <w:numId w:val="2"/>
        </w:numPr>
        <w:spacing w:after="80" w:line="276"/>
      </w:pPr>
      <w:r>
        <w:rPr>
          <w:sz w:val="22"/>
          <w:szCs w:val="22"/>
        </w:rPr>
        <w:t xml:space="preserve">Never leaves your device unless you explicitly export, screenshot, or otherwise share it</w:t>
      </w:r>
    </w:p>
    <w:p>
      <w:pPr>
        <w:pStyle w:val="ListParagraph"/>
        <w:numPr>
          <w:ilvl w:val="0"/>
          <w:numId w:val="2"/>
        </w:numPr>
        <w:spacing w:after="80" w:line="276"/>
      </w:pPr>
      <w:r>
        <w:rPr>
          <w:sz w:val="22"/>
          <w:szCs w:val="22"/>
        </w:rPr>
        <w:t xml:space="preserve">Is retained for as long as the App remains installed</w:t>
      </w:r>
    </w:p>
    <w:p>
      <w:pPr>
        <w:pStyle w:val="ListParagraph"/>
        <w:numPr>
          <w:ilvl w:val="0"/>
          <w:numId w:val="2"/>
        </w:numPr>
        <w:spacing w:after="80" w:line="276"/>
      </w:pPr>
      <w:r>
        <w:rPr>
          <w:sz w:val="22"/>
          <w:szCs w:val="22"/>
        </w:rPr>
        <w:t xml:space="preserve">Is permanently deleted when you uninstall the App, or when you clear the App's storage/data through your device's settings</w:t>
      </w:r>
    </w:p>
    <w:p>
      <w:pPr>
        <w:spacing w:after="160" w:line="276"/>
      </w:pPr>
      <w:r>
        <w:rPr>
          <w:sz w:val="22"/>
          <w:szCs w:val="22"/>
        </w:rPr>
        <w:t xml:space="preserve">We do not maintain a server-side copy of your data. If you delete the App, we have no way to recover any information, because we never had it.</w:t>
      </w:r>
    </w:p>
    <w:p>
      <w:pPr>
        <w:pStyle w:val="Heading1"/>
        <w:spacing w:after="160" w:before="320"/>
      </w:pPr>
      <w:r>
        <w:rPr>
          <w:b/>
          <w:bCs/>
          <w:color w:val="1E7145"/>
          <w:sz w:val="28"/>
          <w:szCs w:val="28"/>
        </w:rPr>
        <w:t xml:space="preserve">5. Data Sharing and Disclosure</w:t>
      </w:r>
    </w:p>
    <w:p>
      <w:pPr>
        <w:spacing w:after="160" w:line="276"/>
      </w:pPr>
      <w:r>
        <w:rPr>
          <w:sz w:val="22"/>
          <w:szCs w:val="22"/>
        </w:rPr>
        <w:t xml:space="preserve">We do not sell your personal information. We do not share player names, handicaps, or round data with any third party — that data never leaves your device through the App.</w:t>
      </w:r>
    </w:p>
    <w:p>
      <w:pPr>
        <w:spacing w:after="160" w:line="276"/>
      </w:pPr>
      <w:r>
        <w:rPr>
          <w:sz w:val="22"/>
          <w:szCs w:val="22"/>
        </w:rPr>
        <w:t xml:space="preserve">The only category of data shared with a third party is the advertising data described in Section 2.3 and Section 7, which is shared with Google as our advertising provider so that ads can be served within the App.</w:t>
      </w:r>
    </w:p>
    <w:p>
      <w:pPr>
        <w:spacing w:after="160" w:line="276"/>
      </w:pPr>
      <w:r>
        <w:rPr>
          <w:sz w:val="22"/>
          <w:szCs w:val="22"/>
        </w:rPr>
        <w:t xml:space="preserve">We may disclose information if required to do so by law, or in response to valid legal process, or to protect the rights, property, or safety of our users or the public — though as described above, we hold effectively no personal data capable of being disclosed.</w:t>
      </w:r>
    </w:p>
    <w:p>
      <w:pPr>
        <w:pStyle w:val="Heading1"/>
        <w:spacing w:after="160" w:before="320"/>
      </w:pPr>
      <w:r>
        <w:rPr>
          <w:b/>
          <w:bCs/>
          <w:color w:val="1E7145"/>
          <w:sz w:val="28"/>
          <w:szCs w:val="28"/>
        </w:rPr>
        <w:t xml:space="preserve">6. Google Play Families Policy &amp; Children's Privacy</w:t>
      </w:r>
    </w:p>
    <w:p>
      <w:pPr>
        <w:spacing w:after="160" w:line="276"/>
      </w:pPr>
      <w:r>
        <w:rPr>
          <w:sz w:val="22"/>
          <w:szCs w:val="22"/>
        </w:rPr>
        <w:t xml:space="preserve">Sandbagger is not designed or directed at children under the age of 13 (or the applicable age of digital consent in your country), and is not listed on Google Play as a Families app. We do not knowingly collect personal information from children. If you believe a child has provided us with personal information, please contact us using the details in Section 12 so we can address it.</w:t>
      </w:r>
    </w:p>
    <w:p>
      <w:pPr>
        <w:spacing w:after="160" w:line="276"/>
      </w:pPr>
      <w:r>
        <w:rPr>
          <w:sz w:val="22"/>
          <w:szCs w:val="22"/>
        </w:rPr>
        <w:t xml:space="preserve">Because the App shows advertising via Google AdMob, and AdMob is configured with default (non-child-directed) ad settings, the App is intended for a general audience.</w:t>
      </w:r>
    </w:p>
    <w:p>
      <w:pPr>
        <w:pStyle w:val="Heading1"/>
        <w:spacing w:after="160" w:before="320"/>
      </w:pPr>
      <w:r>
        <w:rPr>
          <w:b/>
          <w:bCs/>
          <w:color w:val="1E7145"/>
          <w:sz w:val="28"/>
          <w:szCs w:val="28"/>
        </w:rPr>
        <w:t xml:space="preserve">7. Advertising (Google AdMob)</w:t>
      </w:r>
    </w:p>
    <w:p>
      <w:pPr>
        <w:spacing w:after="160" w:line="276"/>
      </w:pPr>
      <w:r>
        <w:rPr>
          <w:sz w:val="22"/>
          <w:szCs w:val="22"/>
        </w:rPr>
        <w:t xml:space="preserve">We use Google AdMob to display banner and interstitial advertisements. AdMob is provided by Google LLC. Ads help keep Sandbagger free to use.</w:t>
      </w:r>
    </w:p>
    <w:p>
      <w:pPr>
        <w:pStyle w:val="Heading2"/>
        <w:spacing w:after="120" w:before="240"/>
      </w:pPr>
      <w:r>
        <w:rPr>
          <w:b/>
          <w:bCs/>
          <w:color w:val="16201A"/>
          <w:sz w:val="24"/>
          <w:szCs w:val="24"/>
        </w:rPr>
        <w:t xml:space="preserve">7.1 What Google Collects</w:t>
      </w:r>
    </w:p>
    <w:p>
      <w:pPr>
        <w:spacing w:after="160" w:line="276"/>
      </w:pPr>
      <w:r>
        <w:rPr>
          <w:sz w:val="22"/>
          <w:szCs w:val="22"/>
        </w:rPr>
        <w:t xml:space="preserve">Google's Mobile Ads SDK may collect the data listed in Section 2.3 to serve relevant ads, measure ad performance, and prevent fraud and abuse. Google acts as an independent controller for this data under its own privacy policy:</w:t>
      </w:r>
    </w:p>
    <w:p>
      <w:pPr>
        <w:spacing w:after="160" w:line="276"/>
      </w:pPr>
      <w:r>
        <w:rPr>
          <w:sz w:val="22"/>
          <w:szCs w:val="22"/>
        </w:rPr>
        <w:t xml:space="preserve">Google Privacy Policy: </w:t>
      </w:r>
      <w:hyperlink w:history="1" r:id="rIdsmjmihotjuytsbgsv3y43">
        <w:r>
          <w:rPr>
            <w:rStyle w:val="Hyperlink"/>
            <w:sz w:val="22"/>
            <w:szCs w:val="22"/>
          </w:rPr>
          <w:t xml:space="preserve">https://policies.google.com/privacy</w:t>
        </w:r>
      </w:hyperlink>
    </w:p>
    <w:p>
      <w:pPr>
        <w:spacing w:after="160" w:line="276"/>
      </w:pPr>
      <w:r>
        <w:rPr>
          <w:sz w:val="22"/>
          <w:szCs w:val="22"/>
        </w:rPr>
        <w:t xml:space="preserve">How Google uses data when you use our partners' sites or apps: </w:t>
      </w:r>
      <w:hyperlink w:history="1" r:id="rIdo__ifwtmfdcx_wqv5bmiz">
        <w:r>
          <w:rPr>
            <w:rStyle w:val="Hyperlink"/>
            <w:sz w:val="22"/>
            <w:szCs w:val="22"/>
          </w:rPr>
          <w:t xml:space="preserve">https://policies.google.com/technologies/partner-sites</w:t>
        </w:r>
      </w:hyperlink>
    </w:p>
    <w:p>
      <w:pPr>
        <w:pStyle w:val="Heading2"/>
        <w:spacing w:after="120" w:before="240"/>
      </w:pPr>
      <w:r>
        <w:rPr>
          <w:b/>
          <w:bCs/>
          <w:color w:val="16201A"/>
          <w:sz w:val="24"/>
          <w:szCs w:val="24"/>
        </w:rPr>
        <w:t xml:space="preserve">7.2 Your Choices</w:t>
      </w:r>
    </w:p>
    <w:p>
      <w:pPr>
        <w:pStyle w:val="ListParagraph"/>
        <w:numPr>
          <w:ilvl w:val="0"/>
          <w:numId w:val="2"/>
        </w:numPr>
        <w:spacing w:after="80" w:line="276"/>
      </w:pPr>
      <w:r>
        <w:rPr>
          <w:sz w:val="22"/>
          <w:szCs w:val="22"/>
        </w:rPr>
        <w:t xml:space="preserve">Android: Settings → Google → Ads → "Opt out of Ads Personalization", or reset your Advertising ID</w:t>
      </w:r>
    </w:p>
    <w:p>
      <w:pPr>
        <w:pStyle w:val="ListParagraph"/>
        <w:numPr>
          <w:ilvl w:val="0"/>
          <w:numId w:val="2"/>
        </w:numPr>
        <w:spacing w:after="80" w:line="276"/>
      </w:pPr>
      <w:r>
        <w:rPr>
          <w:sz w:val="22"/>
          <w:szCs w:val="22"/>
        </w:rPr>
        <w:t xml:space="preserve">iOS: Settings → Privacy &amp; Security → Tracking, and Settings → Privacy &amp; Security → Apple Advertising</w:t>
      </w:r>
    </w:p>
    <w:p>
      <w:pPr>
        <w:pStyle w:val="ListParagraph"/>
        <w:numPr>
          <w:ilvl w:val="0"/>
          <w:numId w:val="2"/>
        </w:numPr>
        <w:spacing w:after="80" w:line="276"/>
      </w:pPr>
      <w:r>
        <w:rPr>
          <w:sz w:val="22"/>
          <w:szCs w:val="22"/>
        </w:rPr>
        <w:t xml:space="preserve">You can also visit Google's Ads Settings at https://adssettings.google.com to control ad personalization across Google services</w:t>
      </w:r>
    </w:p>
    <w:p>
      <w:pPr>
        <w:spacing w:after="160" w:line="276"/>
      </w:pPr>
      <w:r>
        <w:rPr>
          <w:sz w:val="22"/>
          <w:szCs w:val="22"/>
        </w:rPr>
        <w:t xml:space="preserve">If you are located in the European Economic Area (EEA), the United Kingdom, or Switzerland, the App uses Google's User Messaging Platform (UMP) consent SDK to ask for your consent before loading personalized ads or (where legally required) any ads, in line with Google's EU User Consent Policy.</w:t>
      </w:r>
    </w:p>
    <w:p>
      <w:pPr>
        <w:pStyle w:val="Heading1"/>
        <w:spacing w:after="160" w:before="320"/>
      </w:pPr>
      <w:r>
        <w:rPr>
          <w:b/>
          <w:bCs/>
          <w:color w:val="1E7145"/>
          <w:sz w:val="28"/>
          <w:szCs w:val="28"/>
        </w:rPr>
        <w:t xml:space="preserve">8. Your Rights and Choices</w:t>
      </w:r>
    </w:p>
    <w:p>
      <w:pPr>
        <w:spacing w:after="160" w:line="276"/>
      </w:pPr>
      <w:r>
        <w:rPr>
          <w:sz w:val="22"/>
          <w:szCs w:val="22"/>
        </w:rPr>
        <w:t xml:space="preserve">Because virtually all data stays on your device, you are already in full control of it:</w:t>
      </w:r>
    </w:p>
    <w:p>
      <w:pPr>
        <w:pStyle w:val="ListParagraph"/>
        <w:numPr>
          <w:ilvl w:val="0"/>
          <w:numId w:val="2"/>
        </w:numPr>
        <w:spacing w:after="80" w:line="276"/>
      </w:pPr>
      <w:r>
        <w:rPr>
          <w:sz w:val="22"/>
          <w:szCs w:val="22"/>
        </w:rPr>
        <w:t xml:space="preserve">Access &amp; review: all your players, rounds, and statistics are visible directly in the App</w:t>
      </w:r>
    </w:p>
    <w:p>
      <w:pPr>
        <w:pStyle w:val="ListParagraph"/>
        <w:numPr>
          <w:ilvl w:val="0"/>
          <w:numId w:val="2"/>
        </w:numPr>
        <w:spacing w:after="80" w:line="276"/>
      </w:pPr>
      <w:r>
        <w:rPr>
          <w:sz w:val="22"/>
          <w:szCs w:val="22"/>
        </w:rPr>
        <w:t xml:space="preserve">Correction: you can edit player details at any time within the App</w:t>
      </w:r>
    </w:p>
    <w:p>
      <w:pPr>
        <w:pStyle w:val="ListParagraph"/>
        <w:numPr>
          <w:ilvl w:val="0"/>
          <w:numId w:val="2"/>
        </w:numPr>
        <w:spacing w:after="80" w:line="276"/>
      </w:pPr>
      <w:r>
        <w:rPr>
          <w:sz w:val="22"/>
          <w:szCs w:val="22"/>
        </w:rPr>
        <w:t xml:space="preserve">Deletion: uninstalling the App, or clearing its storage in your device settings, permanently deletes all locally stored data</w:t>
      </w:r>
    </w:p>
    <w:p>
      <w:pPr>
        <w:pStyle w:val="ListParagraph"/>
        <w:numPr>
          <w:ilvl w:val="0"/>
          <w:numId w:val="2"/>
        </w:numPr>
        <w:spacing w:after="80" w:line="276"/>
      </w:pPr>
      <w:r>
        <w:rPr>
          <w:sz w:val="22"/>
          <w:szCs w:val="22"/>
        </w:rPr>
        <w:t xml:space="preserve">Advertising choices: see Section 7.2 to manage ad personalization and advertising identifiers</w:t>
      </w:r>
    </w:p>
    <w:p>
      <w:pPr>
        <w:spacing w:after="160" w:line="276"/>
      </w:pPr>
      <w:r>
        <w:rPr>
          <w:sz w:val="22"/>
          <w:szCs w:val="22"/>
        </w:rPr>
        <w:t xml:space="preserve">If you are in the European Economic Area, United Kingdom, or Switzerland, you additionally have rights under the GDPR / UK GDPR, including the right to access, rectify, erase, restrict or object to processing, and data portability, in relation to any data a party (including Google, as described in Section 7) processes about you. To exercise rights relating to Google's advertising data, please use Google's own tools linked above, since we do not have access to that data ourselves. For any other question about your rights, contact us using the details in Section 12.</w:t>
      </w:r>
    </w:p>
    <w:p>
      <w:pPr>
        <w:spacing w:after="160" w:line="276"/>
      </w:pPr>
      <w:r>
        <w:rPr>
          <w:sz w:val="22"/>
          <w:szCs w:val="22"/>
        </w:rPr>
        <w:t xml:space="preserve">You also have the right to lodge a complaint with your local data protection supervisory authority (in the Netherlands: the Autoriteit Persoonsgegevens).</w:t>
      </w:r>
    </w:p>
    <w:p>
      <w:pPr>
        <w:pStyle w:val="Heading1"/>
        <w:spacing w:after="160" w:before="320"/>
      </w:pPr>
      <w:r>
        <w:rPr>
          <w:b/>
          <w:bCs/>
          <w:color w:val="1E7145"/>
          <w:sz w:val="28"/>
          <w:szCs w:val="28"/>
        </w:rPr>
        <w:t xml:space="preserve">9. International Data Transfers</w:t>
      </w:r>
    </w:p>
    <w:p>
      <w:pPr>
        <w:spacing w:after="160" w:line="276"/>
      </w:pPr>
      <w:r>
        <w:rPr>
          <w:sz w:val="22"/>
          <w:szCs w:val="22"/>
        </w:rPr>
        <w:t xml:space="preserve">Because we do not operate our own servers, we do not ourselves transfer your data internationally. Google, as our advertising provider, may process and transfer advertising-related data to servers located outside your country, including the United States, under safeguards such as the EU Standard Contractual Clauses. See Google's Privacy Policy (Section 7.1) for details.</w:t>
      </w:r>
    </w:p>
    <w:p>
      <w:pPr>
        <w:pStyle w:val="Heading1"/>
        <w:spacing w:after="160" w:before="320"/>
      </w:pPr>
      <w:r>
        <w:rPr>
          <w:b/>
          <w:bCs/>
          <w:color w:val="1E7145"/>
          <w:sz w:val="28"/>
          <w:szCs w:val="28"/>
        </w:rPr>
        <w:t xml:space="preserve">10. Security</w:t>
      </w:r>
    </w:p>
    <w:p>
      <w:pPr>
        <w:spacing w:after="160" w:line="276"/>
      </w:pPr>
      <w:r>
        <w:rPr>
          <w:sz w:val="22"/>
          <w:szCs w:val="22"/>
        </w:rPr>
        <w:t xml:space="preserve">We take reasonable measures to protect the App and the data it stores. Because your player and round data lives only in local, sandboxed app storage on your own device, it benefits from your device's own operating-system-level security (e.g. device lock screen, disk encryption) rather than from any server infrastructure we control. No method of electronic storage is 100% secure, and we cannot guarantee absolute security.</w:t>
      </w:r>
    </w:p>
    <w:p>
      <w:pPr>
        <w:pStyle w:val="Heading1"/>
        <w:spacing w:after="160" w:before="320"/>
      </w:pPr>
      <w:r>
        <w:rPr>
          <w:b/>
          <w:bCs/>
          <w:color w:val="1E7145"/>
          <w:sz w:val="28"/>
          <w:szCs w:val="28"/>
        </w:rPr>
        <w:t xml:space="preserve">11. Changes to This Privacy Policy</w:t>
      </w:r>
    </w:p>
    <w:p>
      <w:pPr>
        <w:spacing w:after="160" w:line="276"/>
      </w:pPr>
      <w:r>
        <w:rPr>
          <w:sz w:val="22"/>
          <w:szCs w:val="22"/>
        </w:rPr>
        <w:t xml:space="preserve">We may update this Privacy Policy from time to time, for example when we add new features (such as cloud sync, in which case this policy will be updated before that feature ships) or when legal requirements change. We will update the "Effective date" at the top of this document when changes are made. Material changes will, where required, also be reflected in the App's Google Play Store listing.</w:t>
      </w:r>
    </w:p>
    <w:p>
      <w:pPr>
        <w:pStyle w:val="Heading1"/>
        <w:spacing w:after="160" w:before="320"/>
      </w:pPr>
      <w:r>
        <w:rPr>
          <w:b/>
          <w:bCs/>
          <w:color w:val="1E7145"/>
          <w:sz w:val="28"/>
          <w:szCs w:val="28"/>
        </w:rPr>
        <w:t xml:space="preserve">12. Contact Us</w:t>
      </w:r>
    </w:p>
    <w:p>
      <w:pPr>
        <w:spacing w:after="160" w:line="276"/>
      </w:pPr>
      <w:r>
        <w:rPr>
          <w:sz w:val="22"/>
          <w:szCs w:val="22"/>
        </w:rPr>
        <w:t xml:space="preserve">If you have questions about this Privacy Policy or how the App handles data, please contact:</w:t>
      </w:r>
    </w:p>
    <w:p>
      <w:pPr>
        <w:spacing w:after="160" w:line="276"/>
      </w:pPr>
      <w:r>
        <w:rPr>
          <w:b/>
          <w:bCs/>
          <w:sz w:val="22"/>
          <w:szCs w:val="22"/>
        </w:rPr>
        <w:t xml:space="preserve">Developer: </w:t>
      </w:r>
      <w:r>
        <w:rPr>
          <w:sz w:val="22"/>
          <w:szCs w:val="22"/>
        </w:rPr>
        <w:t xml:space="preserve">OvaGames</w:t>
      </w:r>
    </w:p>
    <w:p>
      <w:pPr>
        <w:spacing w:after="160" w:line="276"/>
      </w:pPr>
      <w:r>
        <w:rPr>
          <w:b/>
          <w:bCs/>
          <w:sz w:val="22"/>
          <w:szCs w:val="22"/>
        </w:rPr>
        <w:t xml:space="preserve">Email: </w:t>
      </w:r>
      <w:r>
        <w:rPr>
          <w:sz w:val="22"/>
          <w:szCs w:val="22"/>
        </w:rPr>
        <w:t xml:space="preserve">Ottevanalebeek@gmail.com</w:t>
      </w:r>
    </w:p>
    <w:p>
      <w:pPr>
        <w:pBdr>
          <w:bottom w:val="single" w:color="E1E7E2" w:sz="6" w:space="1"/>
        </w:pBdr>
        <w:spacing w:after="200" w:before="200"/>
      </w:pPr>
    </w:p>
    <w:p>
      <w:pPr>
        <w:spacing w:before="100"/>
      </w:pPr>
      <w:r>
        <w:rPr>
          <w:i/>
          <w:iCs/>
          <w:color w:val="5B675F"/>
          <w:sz w:val="18"/>
          <w:szCs w:val="18"/>
        </w:rPr>
        <w:t xml:space="preserve">Before publishing this policy, host the final text at a public URL and enter that URL in Google Play Console → App content → Privacy policy — Google Play does not accept a Word document or PDF as the policy itself, only a link to it (e.g. a GitHub Pages page built from this repo).</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jmihotjuytsbgsv3y43" Type="http://schemas.openxmlformats.org/officeDocument/2006/relationships/hyperlink" Target="https://policies.google.com/privacy" TargetMode="External"/><Relationship Id="rIdo__ifwtmfdcx_wqv5bmiz" Type="http://schemas.openxmlformats.org/officeDocument/2006/relationships/hyperlink" Target="https://policies.google.com/technologies/partner-sit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2026-09-01T19:16:00.973Z</dcterms:created>
  <dcterms:modified xsi:type="dcterms:W3CDTF">2026-09-01T19:16:00.975Z</dcterms:modified>
</cp:coreProperties>
</file>

<file path=docProps/custom.xml><?xml version="1.0" encoding="utf-8"?>
<Properties xmlns="http://schemas.openxmlformats.org/officeDocument/2006/custom-properties" xmlns:vt="http://schemas.openxmlformats.org/officeDocument/2006/docPropsVTypes"/>
</file>