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00"/>
      </w:pPr>
      <w:r>
        <w:rPr>
          <w:rFonts w:ascii="Calibri" w:hAnsi="Calibri" w:eastAsia="Calibri"/>
          <w:b/>
          <w:color w:val="0B2545"/>
          <w:sz w:val="44"/>
        </w:rPr>
        <w:t>PRIVATE WORKING PACKET</w:t>
      </w:r>
    </w:p>
    <w:p>
      <w:pPr>
        <w:spacing w:after="280"/>
      </w:pPr>
      <w:r>
        <w:rPr>
          <w:rFonts w:ascii="Calibri" w:hAnsi="Calibri" w:eastAsia="Calibri"/>
          <w:b/>
          <w:color w:val="1F4D78"/>
          <w:sz w:val="25"/>
        </w:rPr>
      </w:r>
    </w:p>
    <w:p>
      <w:pPr>
        <w:pStyle w:val="Heading2"/>
      </w:pPr>
      <w:r>
        <w:rPr>
          <w:rFonts w:ascii="Calibri" w:hAnsi="Calibri" w:eastAsia="Calibri"/>
          <w:b w:val="0"/>
          <w:color w:val="000000"/>
        </w:rPr>
        <w:t>IUOE Local 835 bargaining with U.S. Facilities, Inc. at Philadelphia Department of Prisons facilities</w:t>
      </w:r>
    </w:p>
    <w:p>
      <w:r>
        <w:rPr>
          <w:rFonts w:ascii="Calibri" w:hAnsi="Calibri" w:eastAsia="Calibri"/>
          <w:b/>
          <w:color w:val="000000"/>
        </w:rPr>
        <w:t>Prepared for:</w:t>
      </w:r>
      <w:r>
        <w:rPr>
          <w:rFonts w:ascii="Calibri" w:hAnsi="Calibri" w:eastAsia="Calibri"/>
          <w:b w:val="0"/>
          <w:color w:val="000000"/>
        </w:rPr>
        <w:t xml:space="preserve"> Rank-and-file member meeting preparation </w:t>
      </w:r>
      <w:r>
        <w:rPr>
          <w:rFonts w:ascii="Calibri" w:hAnsi="Calibri" w:eastAsia="Calibri"/>
          <w:b/>
          <w:color w:val="000000"/>
        </w:rPr>
        <w:t>Version:</w:t>
      </w:r>
      <w:r>
        <w:rPr>
          <w:rFonts w:ascii="Calibri" w:hAnsi="Calibri" w:eastAsia="Calibri"/>
          <w:b w:val="0"/>
          <w:color w:val="000000"/>
        </w:rPr>
        <w:t xml:space="preserve"> 0.1 - July 27, 2026 </w:t>
      </w:r>
      <w:r>
        <w:rPr>
          <w:rFonts w:ascii="Calibri" w:hAnsi="Calibri" w:eastAsia="Calibri"/>
          <w:b/>
          <w:color w:val="000000"/>
        </w:rPr>
        <w:t>Status:</w:t>
      </w:r>
      <w:r>
        <w:rPr>
          <w:rFonts w:ascii="Calibri" w:hAnsi="Calibri" w:eastAsia="Calibri"/>
          <w:b w:val="0"/>
          <w:color w:val="000000"/>
        </w:rPr>
        <w:t xml:space="preserve"> Working draft; update when source documents arrive </w:t>
      </w:r>
      <w:r>
        <w:rPr>
          <w:rFonts w:ascii="Calibri" w:hAnsi="Calibri" w:eastAsia="Calibri"/>
          <w:b/>
          <w:color w:val="000000"/>
        </w:rPr>
        <w:t>Purpose:</w:t>
      </w:r>
      <w:r>
        <w:rPr>
          <w:rFonts w:ascii="Calibri" w:hAnsi="Calibri" w:eastAsia="Calibri"/>
          <w:b w:val="0"/>
          <w:color w:val="000000"/>
        </w:rPr>
        <w:t xml:space="preserve"> Organize facts, questions, document requests, proposed member action, and legal-review issues. This packet is not legal advice and does not recommend or authorize any strike, work stoppage, slowdown, unsafe act, or violation of union rules.</w:t>
      </w:r>
    </w:p>
    <w:p>
      <w:pPr>
        <w:spacing w:before="100" w:after="160" w:line="269" w:lineRule="auto"/>
        <w:shd w:fill="F4F6F9"/>
        <w:pBdr>
          <w:left w:val="single" w:sz="18" w:space="8" w:color="2E74B5"/>
        </w:pBdr>
        <w:ind w:left="180" w:right="120"/>
      </w:pPr>
      <w:r>
        <w:rPr>
          <w:rFonts w:ascii="Calibri" w:hAnsi="Calibri" w:eastAsia="Calibri"/>
          <w:b/>
          <w:color w:val="0B2545"/>
          <w:sz w:val="19"/>
        </w:rPr>
        <w:t>Use this packet carefully.</w:t>
      </w:r>
      <w:r>
        <w:rPr>
          <w:rFonts w:ascii="Calibri" w:hAnsi="Calibri" w:eastAsia="Calibri"/>
          <w:b w:val="0"/>
          <w:color w:val="0B2545"/>
          <w:sz w:val="19"/>
        </w:rPr>
        <w:t xml:space="preserve"> Separate what a document proves from what a member reports. Do not circulate prison-security information, personal employee data, medical information, inmate information, or privileged legal advice. Questions directed to the employer should ordinarily go through the authorized bargaining representative.</w:t>
      </w:r>
    </w:p>
    <w:p>
      <w:pPr>
        <w:pStyle w:val="Heading2"/>
      </w:pPr>
      <w:r>
        <w:rPr>
          <w:rFonts w:ascii="Calibri" w:hAnsi="Calibri" w:eastAsia="Calibri"/>
          <w:b w:val="0"/>
          <w:color w:val="000000"/>
        </w:rPr>
        <w:t>Source-status key</w:t>
      </w:r>
    </w:p>
    <w:tbl>
      <w:tblPr>
        <w:tblStyle w:val="TableGrid"/>
        <w:tblW w:type="dxa" w:w="9360"/>
        <w:tblLayout w:type="fixed"/>
        <w:tblLook w:firstColumn="1" w:firstRow="1" w:lastColumn="0" w:lastRow="0" w:noHBand="0" w:noVBand="1" w:val="04A0"/>
        <w:jc w:val="left"/>
        <w:tblBorders>
          <w:top w:val="single" w:sz="4" w:space="0" w:color="B8C2CE"/>
          <w:left w:val="single" w:sz="4" w:space="0" w:color="B8C2CE"/>
          <w:bottom w:val="single" w:sz="4" w:space="0" w:color="B8C2CE"/>
          <w:right w:val="single" w:sz="4" w:space="0" w:color="B8C2CE"/>
          <w:insideH w:val="single" w:sz="4" w:space="0" w:color="B8C2CE"/>
          <w:insideV w:val="single" w:sz="4" w:space="0" w:color="B8C2CE"/>
        </w:tblBorders>
        <w:tblInd w:w="120" w:type="dxa"/>
      </w:tblPr>
      <w:tblGrid>
        <w:gridCol w:w="2100"/>
        <w:gridCol w:w="3900"/>
        <w:gridCol w:w="3360"/>
      </w:tblGrid>
      <w:tr>
        <w:trPr>
          <w:cantSplit/>
          <w:tblHeader w:val="true"/>
        </w:trPr>
        <w:tc>
          <w:tcPr>
            <w:tcW w:type="dxa" w:w="210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Tag</w:t>
            </w:r>
          </w:p>
        </w:tc>
        <w:tc>
          <w:tcPr>
            <w:tcW w:type="dxa" w:w="390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Meaning</w:t>
            </w:r>
          </w:p>
        </w:tc>
        <w:tc>
          <w:tcPr>
            <w:tcW w:type="dxa" w:w="336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Standard</w:t>
            </w:r>
          </w:p>
        </w:tc>
      </w:tr>
      <w:tr>
        <w:trPr>
          <w:cantSplit/>
        </w:trPr>
        <w:tc>
          <w:tcPr>
            <w:tcW w:type="dxa" w:w="2100"/>
            <w:tcMar>
              <w:top w:w="100" w:type="dxa"/>
              <w:start w:w="120" w:type="dxa"/>
              <w:bottom w:w="100" w:type="dxa"/>
              <w:end w:w="120" w:type="dxa"/>
            </w:tcMar>
            <w:vAlign w:val="center"/>
          </w:tcPr>
          <w:p>
            <w:pPr>
              <w:spacing w:before="0" w:after="0" w:line="252" w:lineRule="auto"/>
              <w:jc w:val="left"/>
            </w:pPr>
            <w:r/>
            <w:r>
              <w:rPr>
                <w:rFonts w:ascii="Calibri" w:hAnsi="Calibri" w:eastAsia="Calibri"/>
                <w:b/>
                <w:color w:val="000000"/>
                <w:sz w:val="17"/>
              </w:rPr>
              <w:t>V - Verified</w:t>
            </w:r>
          </w:p>
        </w:tc>
        <w:tc>
          <w:tcPr>
            <w:tcW w:type="dxa" w:w="39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Supported by a document or authoritative public source reviewed for this packet</w:t>
            </w:r>
          </w:p>
        </w:tc>
        <w:tc>
          <w:tcPr>
            <w:tcW w:type="dxa" w:w="33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Record title, date, page/section, link or file name</w:t>
            </w:r>
          </w:p>
        </w:tc>
      </w:tr>
      <w:tr>
        <w:trPr>
          <w:cantSplit/>
        </w:trPr>
        <w:tc>
          <w:tcPr>
            <w:tcW w:type="dxa" w:w="2100"/>
            <w:tcMar>
              <w:top w:w="100" w:type="dxa"/>
              <w:start w:w="120" w:type="dxa"/>
              <w:bottom w:w="100" w:type="dxa"/>
              <w:end w:w="120" w:type="dxa"/>
            </w:tcMar>
            <w:vAlign w:val="center"/>
          </w:tcPr>
          <w:p>
            <w:pPr>
              <w:spacing w:before="0" w:after="0" w:line="252" w:lineRule="auto"/>
              <w:jc w:val="left"/>
            </w:pPr>
            <w:r/>
            <w:r>
              <w:rPr>
                <w:rFonts w:ascii="Calibri" w:hAnsi="Calibri" w:eastAsia="Calibri"/>
                <w:b/>
                <w:color w:val="000000"/>
                <w:sz w:val="17"/>
              </w:rPr>
              <w:t>R - Reported</w:t>
            </w:r>
          </w:p>
        </w:tc>
        <w:tc>
          <w:tcPr>
            <w:tcW w:type="dxa" w:w="39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Reported by a member or coworker but not yet confirmed by a reviewed document</w:t>
            </w:r>
          </w:p>
        </w:tc>
        <w:tc>
          <w:tcPr>
            <w:tcW w:type="dxa" w:w="33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Identify source generally and date received</w:t>
            </w:r>
          </w:p>
        </w:tc>
      </w:tr>
      <w:tr>
        <w:trPr>
          <w:cantSplit/>
        </w:trPr>
        <w:tc>
          <w:tcPr>
            <w:tcW w:type="dxa" w:w="2100"/>
            <w:tcMar>
              <w:top w:w="100" w:type="dxa"/>
              <w:start w:w="120" w:type="dxa"/>
              <w:bottom w:w="100" w:type="dxa"/>
              <w:end w:w="120" w:type="dxa"/>
            </w:tcMar>
            <w:vAlign w:val="center"/>
          </w:tcPr>
          <w:p>
            <w:pPr>
              <w:spacing w:before="0" w:after="0" w:line="252" w:lineRule="auto"/>
              <w:jc w:val="left"/>
            </w:pPr>
            <w:r/>
            <w:r>
              <w:rPr>
                <w:rFonts w:ascii="Calibri" w:hAnsi="Calibri" w:eastAsia="Calibri"/>
                <w:b/>
                <w:color w:val="000000"/>
                <w:sz w:val="17"/>
              </w:rPr>
              <w:t>A - Allegation</w:t>
            </w:r>
          </w:p>
        </w:tc>
        <w:tc>
          <w:tcPr>
            <w:tcW w:type="dxa" w:w="39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A claim of misconduct or disputed conduct attributed to a person or source</w:t>
            </w:r>
          </w:p>
        </w:tc>
        <w:tc>
          <w:tcPr>
            <w:tcW w:type="dxa" w:w="33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Do not restate as fact; preserve exact words and evidence</w:t>
            </w:r>
          </w:p>
        </w:tc>
      </w:tr>
      <w:tr>
        <w:trPr>
          <w:cantSplit/>
        </w:trPr>
        <w:tc>
          <w:tcPr>
            <w:tcW w:type="dxa" w:w="2100"/>
            <w:tcMar>
              <w:top w:w="100" w:type="dxa"/>
              <w:start w:w="120" w:type="dxa"/>
              <w:bottom w:w="100" w:type="dxa"/>
              <w:end w:w="120" w:type="dxa"/>
            </w:tcMar>
            <w:vAlign w:val="center"/>
          </w:tcPr>
          <w:p>
            <w:pPr>
              <w:spacing w:before="0" w:after="0" w:line="252" w:lineRule="auto"/>
              <w:jc w:val="left"/>
            </w:pPr>
            <w:r/>
            <w:r>
              <w:rPr>
                <w:rFonts w:ascii="Calibri" w:hAnsi="Calibri" w:eastAsia="Calibri"/>
                <w:b/>
                <w:color w:val="000000"/>
                <w:sz w:val="17"/>
              </w:rPr>
              <w:t>Q - Question</w:t>
            </w:r>
          </w:p>
        </w:tc>
        <w:tc>
          <w:tcPr>
            <w:tcW w:type="dxa" w:w="39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Important fact that is unknown or ambiguous</w:t>
            </w:r>
          </w:p>
        </w:tc>
        <w:tc>
          <w:tcPr>
            <w:tcW w:type="dxa" w:w="33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Assign a person and due date to obtain an answer</w:t>
            </w:r>
          </w:p>
        </w:tc>
      </w:tr>
      <w:tr>
        <w:trPr>
          <w:cantSplit/>
        </w:trPr>
        <w:tc>
          <w:tcPr>
            <w:tcW w:type="dxa" w:w="2100"/>
            <w:tcMar>
              <w:top w:w="100" w:type="dxa"/>
              <w:start w:w="120" w:type="dxa"/>
              <w:bottom w:w="100" w:type="dxa"/>
              <w:end w:w="120" w:type="dxa"/>
            </w:tcMar>
            <w:vAlign w:val="center"/>
          </w:tcPr>
          <w:p>
            <w:pPr>
              <w:spacing w:before="0" w:after="0" w:line="252" w:lineRule="auto"/>
              <w:jc w:val="left"/>
            </w:pPr>
            <w:r/>
            <w:r>
              <w:rPr>
                <w:rFonts w:ascii="Calibri" w:hAnsi="Calibri" w:eastAsia="Calibri"/>
                <w:b/>
                <w:color w:val="000000"/>
                <w:sz w:val="17"/>
              </w:rPr>
              <w:t>L - Legal issue</w:t>
            </w:r>
          </w:p>
        </w:tc>
        <w:tc>
          <w:tcPr>
            <w:tcW w:type="dxa" w:w="39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Requires advice from a Pennsylvania union-side labor lawyer after reviewing the actual documents</w:t>
            </w:r>
          </w:p>
        </w:tc>
        <w:tc>
          <w:tcPr>
            <w:tcW w:type="dxa" w:w="33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Do not treat this packet's neutral overview as a legal conclusion</w:t>
            </w:r>
          </w:p>
        </w:tc>
      </w:tr>
    </w:tbl>
    <w:p>
      <w:pPr>
        <w:spacing w:before="0" w:after="40"/>
      </w:pPr>
    </w:p>
    <w:p>
      <w:pPr>
        <w:pStyle w:val="Heading1"/>
      </w:pPr>
      <w:r>
        <w:rPr>
          <w:rFonts w:ascii="Calibri" w:hAnsi="Calibri" w:eastAsia="Calibri"/>
          <w:b w:val="0"/>
          <w:color w:val="000000"/>
        </w:rPr>
        <w:t>Meeting-ready first page</w:t>
      </w:r>
    </w:p>
    <w:p>
      <w:pPr>
        <w:pStyle w:val="Heading2"/>
      </w:pPr>
      <w:r>
        <w:rPr>
          <w:rFonts w:ascii="Calibri" w:hAnsi="Calibri" w:eastAsia="Calibri"/>
          <w:b w:val="0"/>
          <w:color w:val="000000"/>
        </w:rPr>
        <w:t>What is known now</w:t>
      </w:r>
    </w:p>
    <w:p>
      <w:pPr>
        <w:pStyle w:val="ListBullet"/>
      </w:pPr>
      <w:r>
        <w:rPr>
          <w:rFonts w:ascii="Calibri" w:hAnsi="Calibri" w:eastAsia="Calibri"/>
          <w:b/>
          <w:color w:val="000000"/>
        </w:rPr>
        <w:t>V:</w:t>
      </w:r>
      <w:r>
        <w:rPr>
          <w:rFonts w:ascii="Calibri" w:hAnsi="Calibri" w:eastAsia="Calibri"/>
          <w:b w:val="0"/>
          <w:color w:val="000000"/>
        </w:rPr>
        <w:t xml:space="preserve"> A March 30, 2026 federal court monitor report concerning Philadelphia Department of Prisons operations describes services contractually provided by U.S. Facilities, Inc. at PDP facilities. The report discusses maintenance vacancies and conditions, but it does </w:t>
      </w:r>
      <w:r>
        <w:rPr>
          <w:rFonts w:ascii="Calibri" w:hAnsi="Calibri" w:eastAsia="Calibri"/>
          <w:b/>
          <w:color w:val="000000"/>
        </w:rPr>
        <w:t>not</w:t>
      </w:r>
      <w:r>
        <w:rPr>
          <w:rFonts w:ascii="Calibri" w:hAnsi="Calibri" w:eastAsia="Calibri"/>
          <w:b w:val="0"/>
          <w:color w:val="000000"/>
        </w:rPr>
        <w:t xml:space="preserve"> verify the bargaining unit's reported 25 vacancies, the reported five layoffs, or the terms of the Local 835 CBA.</w:t>
      </w:r>
    </w:p>
    <w:p>
      <w:pPr>
        <w:pStyle w:val="ListBullet"/>
      </w:pPr>
      <w:r>
        <w:rPr>
          <w:rFonts w:ascii="Calibri" w:hAnsi="Calibri" w:eastAsia="Calibri"/>
          <w:b/>
          <w:color w:val="000000"/>
        </w:rPr>
        <w:t>R:</w:t>
      </w:r>
      <w:r>
        <w:rPr>
          <w:rFonts w:ascii="Calibri" w:hAnsi="Calibri" w:eastAsia="Calibri"/>
          <w:b w:val="0"/>
          <w:color w:val="000000"/>
        </w:rPr>
        <w:t xml:space="preserve"> Members report that the Local 835-U.S. Facilities CBA expired July 1, 2026. The actual agreement has not been provided for review.</w:t>
      </w:r>
    </w:p>
    <w:p>
      <w:pPr>
        <w:pStyle w:val="ListBullet"/>
      </w:pPr>
      <w:r>
        <w:rPr>
          <w:rFonts w:ascii="Calibri" w:hAnsi="Calibri" w:eastAsia="Calibri"/>
          <w:b/>
          <w:color w:val="000000"/>
        </w:rPr>
        <w:t>R:</w:t>
      </w:r>
      <w:r>
        <w:rPr>
          <w:rFonts w:ascii="Calibri" w:hAnsi="Calibri" w:eastAsia="Calibri"/>
          <w:b w:val="0"/>
          <w:color w:val="000000"/>
        </w:rPr>
        <w:t xml:space="preserve"> The parties have reportedly described August 31, 2026 as a verbal deadline or extension. No signed extension or written ground rule has been provided.</w:t>
      </w:r>
    </w:p>
    <w:p>
      <w:pPr>
        <w:pStyle w:val="ListBullet"/>
      </w:pPr>
      <w:r>
        <w:rPr>
          <w:rFonts w:ascii="Calibri" w:hAnsi="Calibri" w:eastAsia="Calibri"/>
          <w:b/>
          <w:color w:val="000000"/>
        </w:rPr>
        <w:t>R:</w:t>
      </w:r>
      <w:r>
        <w:rPr>
          <w:rFonts w:ascii="Calibri" w:hAnsi="Calibri" w:eastAsia="Calibri"/>
          <w:b w:val="0"/>
          <w:color w:val="000000"/>
        </w:rPr>
        <w:t xml:space="preserve"> The employer has reportedly proposed approximately a 1% wage increase and five layoffs. The exact proposal, term, effective date, classifications, locations, and package conditions are unknown.</w:t>
      </w:r>
    </w:p>
    <w:p>
      <w:pPr>
        <w:pStyle w:val="ListBullet"/>
      </w:pPr>
      <w:r>
        <w:rPr>
          <w:rFonts w:ascii="Calibri" w:hAnsi="Calibri" w:eastAsia="Calibri"/>
          <w:b/>
          <w:color w:val="000000"/>
        </w:rPr>
        <w:t>R:</w:t>
      </w:r>
      <w:r>
        <w:rPr>
          <w:rFonts w:ascii="Calibri" w:hAnsi="Calibri" w:eastAsia="Calibri"/>
          <w:b w:val="0"/>
          <w:color w:val="000000"/>
        </w:rPr>
        <w:t xml:space="preserve"> The workforce is reportedly about 25 positions understaffed. It is unknown whether this means authorized vacancies, budgeted vacancies, posted openings, historical complement, or a contractual minimum.</w:t>
      </w:r>
    </w:p>
    <w:p>
      <w:pPr>
        <w:pStyle w:val="ListBullet"/>
      </w:pPr>
      <w:r>
        <w:rPr>
          <w:rFonts w:ascii="Calibri" w:hAnsi="Calibri" w:eastAsia="Calibri"/>
          <w:b/>
          <w:color w:val="000000"/>
        </w:rPr>
        <w:t>R:</w:t>
      </w:r>
      <w:r>
        <w:rPr>
          <w:rFonts w:ascii="Calibri" w:hAnsi="Calibri" w:eastAsia="Calibri"/>
          <w:b w:val="0"/>
          <w:color w:val="000000"/>
        </w:rPr>
        <w:t xml:space="preserve"> Members believe the expired CBA may contain staffing-limit language. The exact clause and any side letters, past practice, grievances, or awards are unknown.</w:t>
      </w:r>
    </w:p>
    <w:p>
      <w:pPr>
        <w:pStyle w:val="ListBullet"/>
      </w:pPr>
      <w:r>
        <w:rPr>
          <w:rFonts w:ascii="Calibri" w:hAnsi="Calibri" w:eastAsia="Calibri"/>
          <w:b/>
          <w:color w:val="000000"/>
        </w:rPr>
        <w:t>R:</w:t>
      </w:r>
      <w:r>
        <w:rPr>
          <w:rFonts w:ascii="Calibri" w:hAnsi="Calibri" w:eastAsia="Calibri"/>
          <w:b w:val="0"/>
          <w:color w:val="000000"/>
        </w:rPr>
        <w:t xml:space="preserve"> Some members are dissatisfied that the Local president and bargaining team are negotiating without outside counsel. Whether any lawyer has been consulted informally or through the International is unknown.</w:t>
      </w:r>
    </w:p>
    <w:p>
      <w:pPr>
        <w:pStyle w:val="Heading2"/>
      </w:pPr>
      <w:r>
        <w:rPr>
          <w:rFonts w:ascii="Calibri" w:hAnsi="Calibri" w:eastAsia="Calibri"/>
          <w:b w:val="0"/>
          <w:color w:val="000000"/>
        </w:rPr>
        <w:t>Four outcomes to request at the meeting</w:t>
      </w:r>
    </w:p>
    <w:p>
      <w:pPr>
        <w:pStyle w:val="ListNumber"/>
      </w:pPr>
      <w:r>
        <w:rPr>
          <w:rFonts w:ascii="Calibri" w:hAnsi="Calibri" w:eastAsia="Calibri"/>
          <w:b w:val="0"/>
          <w:color w:val="000000"/>
        </w:rPr>
        <w:t>A prompt consultation with an experienced Pennsylvania union-side labor lawyer who receives the CBA, extension evidence, proposals, staffing data, bylaws, and City-contract materials.</w:t>
      </w:r>
    </w:p>
    <w:p>
      <w:pPr>
        <w:pStyle w:val="ListNumber"/>
      </w:pPr>
      <w:r>
        <w:rPr>
          <w:rFonts w:ascii="Calibri" w:hAnsi="Calibri" w:eastAsia="Calibri"/>
          <w:b w:val="0"/>
          <w:color w:val="000000"/>
        </w:rPr>
        <w:t>A written member briefing that separates current proposals, tentative agreements, open items, and the union's recommendations.</w:t>
      </w:r>
    </w:p>
    <w:p>
      <w:pPr>
        <w:pStyle w:val="ListNumber"/>
      </w:pPr>
      <w:r>
        <w:rPr>
          <w:rFonts w:ascii="Calibri" w:hAnsi="Calibri" w:eastAsia="Calibri"/>
          <w:b w:val="0"/>
          <w:color w:val="000000"/>
        </w:rPr>
        <w:t>A written, dated employer information request concerning layoffs, staffing, vacancies, overtime, contractors, and claimed cost or operational reasons.</w:t>
      </w:r>
    </w:p>
    <w:p>
      <w:pPr>
        <w:pStyle w:val="ListNumber"/>
      </w:pPr>
      <w:r>
        <w:rPr>
          <w:rFonts w:ascii="Calibri" w:hAnsi="Calibri" w:eastAsia="Calibri"/>
          <w:b w:val="0"/>
          <w:color w:val="000000"/>
        </w:rPr>
        <w:t>A ratification process in which members receive the complete proposed agreement, attachments, side letters, and changes before voting, to the extent permitted or required by the governing constitution and bylaws.</w:t>
      </w:r>
    </w:p>
    <w:p>
      <w:pPr>
        <w:pStyle w:val="Heading2"/>
      </w:pPr>
      <w:r>
        <w:rPr>
          <w:rFonts w:ascii="Calibri" w:hAnsi="Calibri" w:eastAsia="Calibri"/>
          <w:b w:val="0"/>
          <w:color w:val="000000"/>
        </w:rPr>
        <w:t>Ask for these documents now</w:t>
      </w:r>
    </w:p>
    <w:p>
      <w:pPr>
        <w:pStyle w:val="ListBullet"/>
      </w:pPr>
      <w:r>
        <w:rPr>
          <w:rFonts w:ascii="Calibri" w:hAnsi="Calibri" w:eastAsia="Calibri"/>
          <w:b w:val="0"/>
          <w:color w:val="000000"/>
        </w:rPr>
        <w:t>Complete current/expired CBA, wage schedules, appendices, side letters, memoranda, and amendments.</w:t>
      </w:r>
    </w:p>
    <w:p>
      <w:pPr>
        <w:pStyle w:val="ListBullet"/>
      </w:pPr>
      <w:r>
        <w:rPr>
          <w:rFonts w:ascii="Calibri" w:hAnsi="Calibri" w:eastAsia="Calibri"/>
          <w:b w:val="0"/>
          <w:color w:val="000000"/>
        </w:rPr>
        <w:t>Local 835 bylaws, IUOE constitution provisions that apply, bargaining/ratification rules, and any shop-unit rules.</w:t>
      </w:r>
    </w:p>
    <w:p>
      <w:pPr>
        <w:pStyle w:val="ListBullet"/>
      </w:pPr>
      <w:r>
        <w:rPr>
          <w:rFonts w:ascii="Calibri" w:hAnsi="Calibri" w:eastAsia="Calibri"/>
          <w:b w:val="0"/>
          <w:color w:val="000000"/>
        </w:rPr>
        <w:t>Any signed extension, written ground rules, email, text, or bargaining notes describing July 1 or August 31.</w:t>
      </w:r>
    </w:p>
    <w:p>
      <w:pPr>
        <w:pStyle w:val="ListBullet"/>
      </w:pPr>
      <w:r>
        <w:rPr>
          <w:rFonts w:ascii="Calibri" w:hAnsi="Calibri" w:eastAsia="Calibri"/>
          <w:b w:val="0"/>
          <w:color w:val="000000"/>
        </w:rPr>
        <w:t>Every written proposal and counterproposal, including employer packages and tentative agreements.</w:t>
      </w:r>
    </w:p>
    <w:p>
      <w:pPr>
        <w:pStyle w:val="ListBullet"/>
      </w:pPr>
      <w:r>
        <w:rPr>
          <w:rFonts w:ascii="Calibri" w:hAnsi="Calibri" w:eastAsia="Calibri"/>
          <w:b w:val="0"/>
          <w:color w:val="000000"/>
        </w:rPr>
        <w:t>Staffing rosters, vacancy lists, job postings, schedules, overtime records, contractor/temporary-worker usage, and layoff notices.</w:t>
      </w:r>
    </w:p>
    <w:p>
      <w:pPr>
        <w:pStyle w:val="ListBullet"/>
      </w:pPr>
      <w:r>
        <w:rPr>
          <w:rFonts w:ascii="Calibri" w:hAnsi="Calibri" w:eastAsia="Calibri"/>
          <w:b w:val="0"/>
          <w:color w:val="000000"/>
        </w:rPr>
        <w:t>Relevant U.S. Facilities-City of Philadelphia contract provisions, change orders, scopes, service levels, and staffing obligations.</w:t>
      </w:r>
    </w:p>
    <w:p>
      <w:pPr>
        <w:pStyle w:val="ListBullet"/>
      </w:pPr>
      <w:r>
        <w:rPr>
          <w:rFonts w:ascii="Calibri" w:hAnsi="Calibri" w:eastAsia="Calibri"/>
          <w:b w:val="0"/>
          <w:color w:val="000000"/>
        </w:rPr>
        <w:t>Grievances, settlements, arbitration awards, and bargaining history concerning staffing, subcontracting, layoffs, vacancies, overtime, safety, or minimum complement.</w:t>
      </w:r>
    </w:p>
    <w:p>
      <w:pPr>
        <w:pStyle w:val="Heading2"/>
      </w:pPr>
      <w:r>
        <w:rPr>
          <w:rFonts w:ascii="Calibri" w:hAnsi="Calibri" w:eastAsia="Calibri"/>
          <w:b w:val="0"/>
          <w:color w:val="000000"/>
        </w:rPr>
        <w:t>Safe meeting language</w:t>
      </w:r>
    </w:p>
    <w:p>
      <w:pPr>
        <w:spacing w:before="100" w:after="160" w:line="269" w:lineRule="auto"/>
        <w:shd w:fill="F4F6F9"/>
        <w:pBdr>
          <w:left w:val="single" w:sz="18" w:space="8" w:color="2E74B5"/>
        </w:pBdr>
        <w:ind w:left="180" w:right="120"/>
      </w:pPr>
      <w:r>
        <w:rPr>
          <w:rFonts w:ascii="Calibri" w:hAnsi="Calibri" w:eastAsia="Calibri"/>
          <w:b w:val="0"/>
          <w:color w:val="0B2545"/>
          <w:sz w:val="19"/>
        </w:rPr>
        <w:t>We are asking for an informed, lawful, member-supported bargaining process. We are not accusing anyone of wrongdoing based on rumors, and we are not authorizing a strike or unsafe action. We want the documents, the exact proposal, a legal review, and enough time to understand the complete text before any vote.</w:t>
      </w:r>
    </w:p>
    <w:p>
      <w:r>
        <w:br w:type="page"/>
      </w:r>
    </w:p>
    <w:p>
      <w:pPr>
        <w:pStyle w:val="Heading1"/>
      </w:pPr>
      <w:r>
        <w:rPr>
          <w:rFonts w:ascii="Calibri" w:hAnsi="Calibri" w:eastAsia="Calibri"/>
          <w:b w:val="0"/>
          <w:color w:val="000000"/>
        </w:rPr>
        <w:t>1. Timeline and evidence log</w:t>
      </w:r>
    </w:p>
    <w:p>
      <w:pPr>
        <w:pStyle w:val="Heading2"/>
      </w:pPr>
      <w:r>
        <w:rPr>
          <w:rFonts w:ascii="Calibri" w:hAnsi="Calibri" w:eastAsia="Calibri"/>
          <w:b w:val="0"/>
          <w:color w:val="000000"/>
        </w:rPr>
        <w:t>Working timeline</w:t>
      </w:r>
    </w:p>
    <w:tbl>
      <w:tblPr>
        <w:tblStyle w:val="TableGrid"/>
        <w:tblW w:type="dxa" w:w="9360"/>
        <w:tblLayout w:type="fixed"/>
        <w:tblLook w:firstColumn="1" w:firstRow="1" w:lastColumn="0" w:lastRow="0" w:noHBand="0" w:noVBand="1" w:val="04A0"/>
        <w:jc w:val="left"/>
        <w:tblBorders>
          <w:top w:val="single" w:sz="4" w:space="0" w:color="B8C2CE"/>
          <w:left w:val="single" w:sz="4" w:space="0" w:color="B8C2CE"/>
          <w:bottom w:val="single" w:sz="4" w:space="0" w:color="B8C2CE"/>
          <w:right w:val="single" w:sz="4" w:space="0" w:color="B8C2CE"/>
          <w:insideH w:val="single" w:sz="4" w:space="0" w:color="B8C2CE"/>
          <w:insideV w:val="single" w:sz="4" w:space="0" w:color="B8C2CE"/>
        </w:tblBorders>
        <w:tblInd w:w="120" w:type="dxa"/>
      </w:tblPr>
      <w:tblGrid>
        <w:gridCol w:w="1200"/>
        <w:gridCol w:w="1800"/>
        <w:gridCol w:w="2600"/>
        <w:gridCol w:w="1300"/>
        <w:gridCol w:w="2460"/>
      </w:tblGrid>
      <w:tr>
        <w:trPr>
          <w:cantSplit/>
          <w:tblHeader w:val="true"/>
        </w:trPr>
        <w:tc>
          <w:tcPr>
            <w:tcW w:type="dxa" w:w="120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Date</w:t>
            </w:r>
          </w:p>
        </w:tc>
        <w:tc>
          <w:tcPr>
            <w:tcW w:type="dxa" w:w="180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Status</w:t>
            </w:r>
          </w:p>
        </w:tc>
        <w:tc>
          <w:tcPr>
            <w:tcW w:type="dxa" w:w="260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Event or claim</w:t>
            </w:r>
          </w:p>
        </w:tc>
        <w:tc>
          <w:tcPr>
            <w:tcW w:type="dxa" w:w="130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What would verify it</w:t>
            </w:r>
          </w:p>
        </w:tc>
        <w:tc>
          <w:tcPr>
            <w:tcW w:type="dxa" w:w="246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Owner / next step</w:t>
            </w:r>
          </w:p>
        </w:tc>
      </w:tr>
      <w:tr>
        <w:trPr>
          <w:cantSplit/>
        </w:trPr>
        <w:tc>
          <w:tcPr>
            <w:tcW w:type="dxa" w:w="12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Contract signing date unknown</w:t>
            </w:r>
          </w:p>
        </w:tc>
        <w:tc>
          <w:tcPr>
            <w:tcW w:type="dxa" w:w="18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Q</w:t>
            </w:r>
          </w:p>
        </w:tc>
        <w:tc>
          <w:tcPr>
            <w:tcW w:type="dxa" w:w="26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Prior CBA was executed and governed this unit</w:t>
            </w:r>
          </w:p>
        </w:tc>
        <w:tc>
          <w:tcPr>
            <w:tcW w:type="dxa" w:w="13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Signed CBA and all amendments</w:t>
            </w:r>
          </w:p>
        </w:tc>
        <w:tc>
          <w:tcPr>
            <w:tcW w:type="dxa" w:w="24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Request from Local under LMRDA section 104; also request from steward</w:t>
            </w:r>
          </w:p>
        </w:tc>
      </w:tr>
      <w:tr>
        <w:trPr>
          <w:cantSplit/>
        </w:trPr>
        <w:tc>
          <w:tcPr>
            <w:tcW w:type="dxa" w:w="12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Contract term unknown through July 1, 2026</w:t>
            </w:r>
          </w:p>
        </w:tc>
        <w:tc>
          <w:tcPr>
            <w:tcW w:type="dxa" w:w="18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w:t>
            </w:r>
          </w:p>
        </w:tc>
        <w:tc>
          <w:tcPr>
            <w:tcW w:type="dxa" w:w="26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Members report a July 1, 2026 expiration</w:t>
            </w:r>
          </w:p>
        </w:tc>
        <w:tc>
          <w:tcPr>
            <w:tcW w:type="dxa" w:w="13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Duration article, signature page, renewal notice</w:t>
            </w:r>
          </w:p>
        </w:tc>
        <w:tc>
          <w:tcPr>
            <w:tcW w:type="dxa" w:w="24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Obtain complete CBA</w:t>
            </w:r>
          </w:p>
        </w:tc>
      </w:tr>
      <w:tr>
        <w:trPr>
          <w:cantSplit/>
        </w:trPr>
        <w:tc>
          <w:tcPr>
            <w:tcW w:type="dxa" w:w="12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Before July 1, 2026</w:t>
            </w:r>
          </w:p>
        </w:tc>
        <w:tc>
          <w:tcPr>
            <w:tcW w:type="dxa" w:w="18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Q</w:t>
            </w:r>
          </w:p>
        </w:tc>
        <w:tc>
          <w:tcPr>
            <w:tcW w:type="dxa" w:w="26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Contract-opening notices and federal mediation notices may have been exchanged</w:t>
            </w:r>
          </w:p>
        </w:tc>
        <w:tc>
          <w:tcPr>
            <w:tcW w:type="dxa" w:w="13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Section 8(d) notices, certified mail/email, FMCS notice</w:t>
            </w:r>
          </w:p>
        </w:tc>
        <w:tc>
          <w:tcPr>
            <w:tcW w:type="dxa" w:w="24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Ask bargaining team and counsel</w:t>
            </w:r>
          </w:p>
        </w:tc>
      </w:tr>
      <w:tr>
        <w:trPr>
          <w:cantSplit/>
        </w:trPr>
        <w:tc>
          <w:tcPr>
            <w:tcW w:type="dxa" w:w="12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July 1, 2026</w:t>
            </w:r>
          </w:p>
        </w:tc>
        <w:tc>
          <w:tcPr>
            <w:tcW w:type="dxa" w:w="18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w:t>
            </w:r>
          </w:p>
        </w:tc>
        <w:tc>
          <w:tcPr>
            <w:tcW w:type="dxa" w:w="26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CBA reportedly expired</w:t>
            </w:r>
          </w:p>
        </w:tc>
        <w:tc>
          <w:tcPr>
            <w:tcW w:type="dxa" w:w="13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CBA duration clause; written extension, if any</w:t>
            </w:r>
          </w:p>
        </w:tc>
        <w:tc>
          <w:tcPr>
            <w:tcW w:type="dxa" w:w="24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Confirm exact date and whether extension changed it</w:t>
            </w:r>
          </w:p>
        </w:tc>
      </w:tr>
      <w:tr>
        <w:trPr>
          <w:cantSplit/>
        </w:trPr>
        <w:tc>
          <w:tcPr>
            <w:tcW w:type="dxa" w:w="12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After July 1, 2026</w:t>
            </w:r>
          </w:p>
        </w:tc>
        <w:tc>
          <w:tcPr>
            <w:tcW w:type="dxa" w:w="18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w:t>
            </w:r>
          </w:p>
        </w:tc>
        <w:tc>
          <w:tcPr>
            <w:tcW w:type="dxa" w:w="26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Parties reportedly continued bargaining</w:t>
            </w:r>
          </w:p>
        </w:tc>
        <w:tc>
          <w:tcPr>
            <w:tcW w:type="dxa" w:w="13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Session calendar, attendance, notes, proposals</w:t>
            </w:r>
          </w:p>
        </w:tc>
        <w:tc>
          <w:tcPr>
            <w:tcW w:type="dxa" w:w="24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Request bargaining chronology</w:t>
            </w:r>
          </w:p>
        </w:tc>
      </w:tr>
      <w:tr>
        <w:trPr>
          <w:cantSplit/>
        </w:trPr>
        <w:tc>
          <w:tcPr>
            <w:tcW w:type="dxa" w:w="12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Date unknown</w:t>
            </w:r>
          </w:p>
        </w:tc>
        <w:tc>
          <w:tcPr>
            <w:tcW w:type="dxa" w:w="18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w:t>
            </w:r>
          </w:p>
        </w:tc>
        <w:tc>
          <w:tcPr>
            <w:tcW w:type="dxa" w:w="26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August 31, 2026 described as a verbal deadline or extension</w:t>
            </w:r>
          </w:p>
        </w:tc>
        <w:tc>
          <w:tcPr>
            <w:tcW w:type="dxa" w:w="13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Signed extension; emails/texts; ground rules; bargaining notes</w:t>
            </w:r>
          </w:p>
        </w:tc>
        <w:tc>
          <w:tcPr>
            <w:tcW w:type="dxa" w:w="24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Ask: deadline for what, agreed by whom, and what terms continue?</w:t>
            </w:r>
          </w:p>
        </w:tc>
      </w:tr>
      <w:tr>
        <w:trPr>
          <w:cantSplit/>
        </w:trPr>
        <w:tc>
          <w:tcPr>
            <w:tcW w:type="dxa" w:w="12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Date unknown</w:t>
            </w:r>
          </w:p>
        </w:tc>
        <w:tc>
          <w:tcPr>
            <w:tcW w:type="dxa" w:w="18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w:t>
            </w:r>
          </w:p>
        </w:tc>
        <w:tc>
          <w:tcPr>
            <w:tcW w:type="dxa" w:w="26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Employer reportedly offered about a 1% wage increase</w:t>
            </w:r>
          </w:p>
        </w:tc>
        <w:tc>
          <w:tcPr>
            <w:tcW w:type="dxa" w:w="13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Employer written proposal and costing</w:t>
            </w:r>
          </w:p>
        </w:tc>
        <w:tc>
          <w:tcPr>
            <w:tcW w:type="dxa" w:w="24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Obtain exact percentage, duration, effective date, retroactivity, and affected rates</w:t>
            </w:r>
          </w:p>
        </w:tc>
      </w:tr>
      <w:tr>
        <w:trPr>
          <w:cantSplit/>
        </w:trPr>
        <w:tc>
          <w:tcPr>
            <w:tcW w:type="dxa" w:w="12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Date unknown</w:t>
            </w:r>
          </w:p>
        </w:tc>
        <w:tc>
          <w:tcPr>
            <w:tcW w:type="dxa" w:w="18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w:t>
            </w:r>
          </w:p>
        </w:tc>
        <w:tc>
          <w:tcPr>
            <w:tcW w:type="dxa" w:w="26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Employer reportedly paired wage offer with five layoffs</w:t>
            </w:r>
          </w:p>
        </w:tc>
        <w:tc>
          <w:tcPr>
            <w:tcW w:type="dxa" w:w="13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Written package proposal; layoff notice; bargaining notes</w:t>
            </w:r>
          </w:p>
        </w:tc>
        <w:tc>
          <w:tcPr>
            <w:tcW w:type="dxa" w:w="24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Identify whether proposal, announced decision, or implemented action</w:t>
            </w:r>
          </w:p>
        </w:tc>
      </w:tr>
      <w:tr>
        <w:trPr>
          <w:cantSplit/>
        </w:trPr>
        <w:tc>
          <w:tcPr>
            <w:tcW w:type="dxa" w:w="12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Current</w:t>
            </w:r>
          </w:p>
        </w:tc>
        <w:tc>
          <w:tcPr>
            <w:tcW w:type="dxa" w:w="18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w:t>
            </w:r>
          </w:p>
        </w:tc>
        <w:tc>
          <w:tcPr>
            <w:tcW w:type="dxa" w:w="26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Workforce reportedly has about 25 vacancies</w:t>
            </w:r>
          </w:p>
        </w:tc>
        <w:tc>
          <w:tcPr>
            <w:tcW w:type="dxa" w:w="13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Authorized/budgeted roster, payroll list, postings, schedules</w:t>
            </w:r>
          </w:p>
        </w:tc>
        <w:tc>
          <w:tcPr>
            <w:tcW w:type="dxa" w:w="24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Request data by location, classification, shift, and vacancy age</w:t>
            </w:r>
          </w:p>
        </w:tc>
      </w:tr>
      <w:tr>
        <w:trPr>
          <w:cantSplit/>
        </w:trPr>
        <w:tc>
          <w:tcPr>
            <w:tcW w:type="dxa" w:w="12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Current</w:t>
            </w:r>
          </w:p>
        </w:tc>
        <w:tc>
          <w:tcPr>
            <w:tcW w:type="dxa" w:w="18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w:t>
            </w:r>
          </w:p>
        </w:tc>
        <w:tc>
          <w:tcPr>
            <w:tcW w:type="dxa" w:w="26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Prior CBA may contain staffing-limit language</w:t>
            </w:r>
          </w:p>
        </w:tc>
        <w:tc>
          <w:tcPr>
            <w:tcW w:type="dxa" w:w="13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Exact clause, side letters, bargaining history, awards</w:t>
            </w:r>
          </w:p>
        </w:tc>
        <w:tc>
          <w:tcPr>
            <w:tcW w:type="dxa" w:w="24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Clause-by-clause review with counsel</w:t>
            </w:r>
          </w:p>
        </w:tc>
      </w:tr>
      <w:tr>
        <w:trPr>
          <w:cantSplit/>
        </w:trPr>
        <w:tc>
          <w:tcPr>
            <w:tcW w:type="dxa" w:w="12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September 30, 2025</w:t>
            </w:r>
          </w:p>
        </w:tc>
        <w:tc>
          <w:tcPr>
            <w:tcW w:type="dxa" w:w="18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V</w:t>
            </w:r>
          </w:p>
        </w:tc>
        <w:tc>
          <w:tcPr>
            <w:tcW w:type="dxa" w:w="26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Federal court monitor reported that PDP had described a planned nine-employee expansion of the U.S. Facilities contract, then reported U.S. Facilities would not assume the referenced maintenance responsibility at DC/PHSW</w:t>
            </w:r>
          </w:p>
        </w:tc>
        <w:tc>
          <w:tcPr>
            <w:tcW w:type="dxa" w:w="13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Monitor's Report 7, pp. 101-102</w:t>
            </w:r>
          </w:p>
        </w:tc>
        <w:tc>
          <w:tcPr>
            <w:tcW w:type="dxa" w:w="24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Public context only; do not infer bargaining-unit staffing</w:t>
            </w:r>
          </w:p>
        </w:tc>
      </w:tr>
      <w:tr>
        <w:trPr>
          <w:cantSplit/>
        </w:trPr>
        <w:tc>
          <w:tcPr>
            <w:tcW w:type="dxa" w:w="12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March 30, 2026</w:t>
            </w:r>
          </w:p>
        </w:tc>
        <w:tc>
          <w:tcPr>
            <w:tcW w:type="dxa" w:w="18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V</w:t>
            </w:r>
          </w:p>
        </w:tc>
        <w:tc>
          <w:tcPr>
            <w:tcW w:type="dxa" w:w="26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Federal court monitor described U.S. Facilities services within PDP and ongoing maintenance-vacancy concerns</w:t>
            </w:r>
          </w:p>
        </w:tc>
        <w:tc>
          <w:tcPr>
            <w:tcW w:type="dxa" w:w="13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Monitor's Report 8, pp. 93-94</w:t>
            </w:r>
          </w:p>
        </w:tc>
        <w:tc>
          <w:tcPr>
            <w:tcW w:type="dxa" w:w="24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Public context only; compare later with employer-City contract</w:t>
            </w:r>
          </w:p>
        </w:tc>
      </w:tr>
      <w:tr>
        <w:trPr>
          <w:cantSplit/>
        </w:trPr>
        <w:tc>
          <w:tcPr>
            <w:tcW w:type="dxa" w:w="12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July 27, 2026</w:t>
            </w:r>
          </w:p>
        </w:tc>
        <w:tc>
          <w:tcPr>
            <w:tcW w:type="dxa" w:w="18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V</w:t>
            </w:r>
          </w:p>
        </w:tc>
        <w:tc>
          <w:tcPr>
            <w:tcW w:type="dxa" w:w="26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This packet opened with no CBA, bylaws, extension, proposals, schedules, or member messages available for review</w:t>
            </w:r>
          </w:p>
        </w:tc>
        <w:tc>
          <w:tcPr>
            <w:tcW w:type="dxa" w:w="13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Workspace inventory</w:t>
            </w:r>
          </w:p>
        </w:tc>
        <w:tc>
          <w:tcPr>
            <w:tcW w:type="dxa" w:w="24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User to upload or paste materials</w:t>
            </w:r>
          </w:p>
        </w:tc>
      </w:tr>
    </w:tbl>
    <w:p>
      <w:pPr>
        <w:spacing w:before="0" w:after="40"/>
      </w:pPr>
    </w:p>
    <w:p>
      <w:pPr>
        <w:pStyle w:val="Heading2"/>
      </w:pPr>
      <w:r>
        <w:rPr>
          <w:rFonts w:ascii="Calibri" w:hAnsi="Calibri" w:eastAsia="Calibri"/>
          <w:b w:val="0"/>
          <w:color w:val="000000"/>
        </w:rPr>
        <w:t>Evidence log</w:t>
      </w:r>
    </w:p>
    <w:tbl>
      <w:tblPr>
        <w:tblStyle w:val="TableGrid"/>
        <w:tblW w:type="dxa" w:w="9360"/>
        <w:tblLayout w:type="fixed"/>
        <w:tblLook w:firstColumn="1" w:firstRow="1" w:lastColumn="0" w:lastRow="0" w:noHBand="0" w:noVBand="1" w:val="04A0"/>
        <w:jc w:val="left"/>
        <w:tblBorders>
          <w:top w:val="single" w:sz="4" w:space="0" w:color="B8C2CE"/>
          <w:left w:val="single" w:sz="4" w:space="0" w:color="B8C2CE"/>
          <w:bottom w:val="single" w:sz="4" w:space="0" w:color="B8C2CE"/>
          <w:right w:val="single" w:sz="4" w:space="0" w:color="B8C2CE"/>
          <w:insideH w:val="single" w:sz="4" w:space="0" w:color="B8C2CE"/>
          <w:insideV w:val="single" w:sz="4" w:space="0" w:color="B8C2CE"/>
        </w:tblBorders>
        <w:tblInd w:w="120" w:type="dxa"/>
      </w:tblPr>
      <w:tblGrid>
        <w:gridCol w:w="650"/>
        <w:gridCol w:w="850"/>
        <w:gridCol w:w="1500"/>
        <w:gridCol w:w="1250"/>
        <w:gridCol w:w="2500"/>
        <w:gridCol w:w="1310"/>
        <w:gridCol w:w="1300"/>
      </w:tblGrid>
      <w:tr>
        <w:trPr>
          <w:cantSplit/>
          <w:tblHeader w:val="true"/>
        </w:trPr>
        <w:tc>
          <w:tcPr>
            <w:tcW w:type="dxa" w:w="65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ID</w:t>
            </w:r>
          </w:p>
        </w:tc>
        <w:tc>
          <w:tcPr>
            <w:tcW w:type="dxa" w:w="85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Status</w:t>
            </w:r>
          </w:p>
        </w:tc>
        <w:tc>
          <w:tcPr>
            <w:tcW w:type="dxa" w:w="150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Item</w:t>
            </w:r>
          </w:p>
        </w:tc>
        <w:tc>
          <w:tcPr>
            <w:tcW w:type="dxa" w:w="125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Source / custodian</w:t>
            </w:r>
          </w:p>
        </w:tc>
        <w:tc>
          <w:tcPr>
            <w:tcW w:type="dxa" w:w="250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Date</w:t>
            </w:r>
          </w:p>
        </w:tc>
        <w:tc>
          <w:tcPr>
            <w:tcW w:type="dxa" w:w="131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What it proves - and does not prove</w:t>
            </w:r>
          </w:p>
        </w:tc>
        <w:tc>
          <w:tcPr>
            <w:tcW w:type="dxa" w:w="130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Follow-up</w:t>
            </w:r>
          </w:p>
        </w:tc>
      </w:tr>
      <w:tr>
        <w:trPr>
          <w:cantSplit/>
        </w:trPr>
        <w:tc>
          <w:tcPr>
            <w:tcW w:type="dxa" w:w="65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E-001</w:t>
            </w:r>
          </w:p>
        </w:tc>
        <w:tc>
          <w:tcPr>
            <w:tcW w:type="dxa" w:w="85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V</w:t>
            </w:r>
          </w:p>
        </w:tc>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Philadelphia Department of Prisons, Eighth Monitor's Report</w:t>
            </w:r>
          </w:p>
        </w:tc>
        <w:tc>
          <w:tcPr>
            <w:tcW w:type="dxa" w:w="125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City of Philadelphia public PDF; filed March 30, 2026</w:t>
            </w:r>
          </w:p>
        </w:tc>
        <w:tc>
          <w:tcPr>
            <w:tcW w:type="dxa" w:w="2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2026-03-30</w:t>
            </w:r>
          </w:p>
        </w:tc>
        <w:tc>
          <w:tcPr>
            <w:tcW w:type="dxa" w:w="131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Verifies public references to U.S. Facilities contract services at PDP and maintenance-vacancy concerns. Does not establish Local 835 unit staffing, a 25-vacancy figure, five layoffs, or bargaining proposals.</w:t>
            </w:r>
          </w:p>
        </w:tc>
        <w:tc>
          <w:tcPr>
            <w:tcW w:type="dxa" w:w="13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Preserve URL and relevant pages; obtain City contract</w:t>
            </w:r>
          </w:p>
        </w:tc>
      </w:tr>
      <w:tr>
        <w:trPr>
          <w:cantSplit/>
        </w:trPr>
        <w:tc>
          <w:tcPr>
            <w:tcW w:type="dxa" w:w="65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E-002</w:t>
            </w:r>
          </w:p>
        </w:tc>
        <w:tc>
          <w:tcPr>
            <w:tcW w:type="dxa" w:w="85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V</w:t>
            </w:r>
          </w:p>
        </w:tc>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Philadelphia Department of Prisons, Seventh Monitor's Report</w:t>
            </w:r>
          </w:p>
        </w:tc>
        <w:tc>
          <w:tcPr>
            <w:tcW w:type="dxa" w:w="125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City of Philadelphia public PDF; filed September 30, 2025</w:t>
            </w:r>
          </w:p>
        </w:tc>
        <w:tc>
          <w:tcPr>
            <w:tcW w:type="dxa" w:w="2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2025-09-30</w:t>
            </w:r>
          </w:p>
        </w:tc>
        <w:tc>
          <w:tcPr>
            <w:tcW w:type="dxa" w:w="131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Verifies report of a proposed nine-employee contract expansion and later scope description. Does not establish current unit complement.</w:t>
            </w:r>
          </w:p>
        </w:tc>
        <w:tc>
          <w:tcPr>
            <w:tcW w:type="dxa" w:w="13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Compare with later change orders and scopes</w:t>
            </w:r>
          </w:p>
        </w:tc>
      </w:tr>
      <w:tr>
        <w:trPr>
          <w:cantSplit/>
        </w:trPr>
        <w:tc>
          <w:tcPr>
            <w:tcW w:type="dxa" w:w="65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E-003</w:t>
            </w:r>
          </w:p>
        </w:tc>
        <w:tc>
          <w:tcPr>
            <w:tcW w:type="dxa" w:w="85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w:t>
            </w:r>
          </w:p>
        </w:tc>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CBA expiration on July 1, 2026</w:t>
            </w:r>
          </w:p>
        </w:tc>
        <w:tc>
          <w:tcPr>
            <w:tcW w:type="dxa" w:w="125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Member report</w:t>
            </w:r>
          </w:p>
        </w:tc>
        <w:tc>
          <w:tcPr>
            <w:tcW w:type="dxa" w:w="2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Received before 2026-07-27</w:t>
            </w:r>
          </w:p>
        </w:tc>
        <w:tc>
          <w:tcPr>
            <w:tcW w:type="dxa" w:w="131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Establishes a lead for investigation only.</w:t>
            </w:r>
          </w:p>
        </w:tc>
        <w:tc>
          <w:tcPr>
            <w:tcW w:type="dxa" w:w="13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Obtain signed CBA</w:t>
            </w:r>
          </w:p>
        </w:tc>
      </w:tr>
      <w:tr>
        <w:trPr>
          <w:cantSplit/>
        </w:trPr>
        <w:tc>
          <w:tcPr>
            <w:tcW w:type="dxa" w:w="65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E-004</w:t>
            </w:r>
          </w:p>
        </w:tc>
        <w:tc>
          <w:tcPr>
            <w:tcW w:type="dxa" w:w="85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w:t>
            </w:r>
          </w:p>
        </w:tc>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August 31 verbal deadline/extension</w:t>
            </w:r>
          </w:p>
        </w:tc>
        <w:tc>
          <w:tcPr>
            <w:tcW w:type="dxa" w:w="125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Member report</w:t>
            </w:r>
          </w:p>
        </w:tc>
        <w:tc>
          <w:tcPr>
            <w:tcW w:type="dxa" w:w="2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Received before 2026-07-27</w:t>
            </w:r>
          </w:p>
        </w:tc>
        <w:tc>
          <w:tcPr>
            <w:tcW w:type="dxa" w:w="131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Does not establish a legally effective extension or what clauses were extended.</w:t>
            </w:r>
          </w:p>
        </w:tc>
        <w:tc>
          <w:tcPr>
            <w:tcW w:type="dxa" w:w="13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Obtain signed writing/messages and identify speakers</w:t>
            </w:r>
          </w:p>
        </w:tc>
      </w:tr>
      <w:tr>
        <w:trPr>
          <w:cantSplit/>
        </w:trPr>
        <w:tc>
          <w:tcPr>
            <w:tcW w:type="dxa" w:w="65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E-005</w:t>
            </w:r>
          </w:p>
        </w:tc>
        <w:tc>
          <w:tcPr>
            <w:tcW w:type="dxa" w:w="85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w:t>
            </w:r>
          </w:p>
        </w:tc>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Approximately 1% wage proposal</w:t>
            </w:r>
          </w:p>
        </w:tc>
        <w:tc>
          <w:tcPr>
            <w:tcW w:type="dxa" w:w="125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Member report</w:t>
            </w:r>
          </w:p>
        </w:tc>
        <w:tc>
          <w:tcPr>
            <w:tcW w:type="dxa" w:w="2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Received before 2026-07-27</w:t>
            </w:r>
          </w:p>
        </w:tc>
        <w:tc>
          <w:tcPr>
            <w:tcW w:type="dxa" w:w="131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Does not establish exact amount, term, retroactivity, package conditions, or total compensation effect.</w:t>
            </w:r>
          </w:p>
        </w:tc>
        <w:tc>
          <w:tcPr>
            <w:tcW w:type="dxa" w:w="13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Obtain proposal and wage tables</w:t>
            </w:r>
          </w:p>
        </w:tc>
      </w:tr>
      <w:tr>
        <w:trPr>
          <w:cantSplit/>
        </w:trPr>
        <w:tc>
          <w:tcPr>
            <w:tcW w:type="dxa" w:w="65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E-006</w:t>
            </w:r>
          </w:p>
        </w:tc>
        <w:tc>
          <w:tcPr>
            <w:tcW w:type="dxa" w:w="85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w:t>
            </w:r>
          </w:p>
        </w:tc>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Five proposed layoffs</w:t>
            </w:r>
          </w:p>
        </w:tc>
        <w:tc>
          <w:tcPr>
            <w:tcW w:type="dxa" w:w="125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Member report</w:t>
            </w:r>
          </w:p>
        </w:tc>
        <w:tc>
          <w:tcPr>
            <w:tcW w:type="dxa" w:w="2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Received before 2026-07-27</w:t>
            </w:r>
          </w:p>
        </w:tc>
        <w:tc>
          <w:tcPr>
            <w:tcW w:type="dxa" w:w="131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Does not establish classifications, sites, decision status, timing, selection method, or rationale.</w:t>
            </w:r>
          </w:p>
        </w:tc>
        <w:tc>
          <w:tcPr>
            <w:tcW w:type="dxa" w:w="13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Obtain written proposal/notice and data</w:t>
            </w:r>
          </w:p>
        </w:tc>
      </w:tr>
      <w:tr>
        <w:trPr>
          <w:cantSplit/>
        </w:trPr>
        <w:tc>
          <w:tcPr>
            <w:tcW w:type="dxa" w:w="65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E-007</w:t>
            </w:r>
          </w:p>
        </w:tc>
        <w:tc>
          <w:tcPr>
            <w:tcW w:type="dxa" w:w="85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w:t>
            </w:r>
          </w:p>
        </w:tc>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Approximately 25 positions understaffed</w:t>
            </w:r>
          </w:p>
        </w:tc>
        <w:tc>
          <w:tcPr>
            <w:tcW w:type="dxa" w:w="125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Member report</w:t>
            </w:r>
          </w:p>
        </w:tc>
        <w:tc>
          <w:tcPr>
            <w:tcW w:type="dxa" w:w="2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Received before 2026-07-27</w:t>
            </w:r>
          </w:p>
        </w:tc>
        <w:tc>
          <w:tcPr>
            <w:tcW w:type="dxa" w:w="131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Does not define approved complement, budgeted headcount, vacancies, or CBA minimum.</w:t>
            </w:r>
          </w:p>
        </w:tc>
        <w:tc>
          <w:tcPr>
            <w:tcW w:type="dxa" w:w="13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Obtain roster and vacancy history</w:t>
            </w:r>
          </w:p>
        </w:tc>
      </w:tr>
      <w:tr>
        <w:trPr>
          <w:cantSplit/>
        </w:trPr>
        <w:tc>
          <w:tcPr>
            <w:tcW w:type="dxa" w:w="65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E-008</w:t>
            </w:r>
          </w:p>
        </w:tc>
        <w:tc>
          <w:tcPr>
            <w:tcW w:type="dxa" w:w="85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w:t>
            </w:r>
          </w:p>
        </w:tc>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Possible staffing-limit clause</w:t>
            </w:r>
          </w:p>
        </w:tc>
        <w:tc>
          <w:tcPr>
            <w:tcW w:type="dxa" w:w="125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Member report</w:t>
            </w:r>
          </w:p>
        </w:tc>
        <w:tc>
          <w:tcPr>
            <w:tcW w:type="dxa" w:w="2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Received before 2026-07-27</w:t>
            </w:r>
          </w:p>
        </w:tc>
        <w:tc>
          <w:tcPr>
            <w:tcW w:type="dxa" w:w="131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Does not establish wording, applicability, survival, or remedy.</w:t>
            </w:r>
          </w:p>
        </w:tc>
        <w:tc>
          <w:tcPr>
            <w:tcW w:type="dxa" w:w="13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Obtain CBA, side letters, grievances, awards</w:t>
            </w:r>
          </w:p>
        </w:tc>
      </w:tr>
      <w:tr>
        <w:trPr>
          <w:cantSplit/>
        </w:trPr>
        <w:tc>
          <w:tcPr>
            <w:tcW w:type="dxa" w:w="65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E-009</w:t>
            </w:r>
          </w:p>
        </w:tc>
        <w:tc>
          <w:tcPr>
            <w:tcW w:type="dxa" w:w="85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w:t>
            </w:r>
          </w:p>
        </w:tc>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No outside counsel at bargaining</w:t>
            </w:r>
          </w:p>
        </w:tc>
        <w:tc>
          <w:tcPr>
            <w:tcW w:type="dxa" w:w="125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Member report</w:t>
            </w:r>
          </w:p>
        </w:tc>
        <w:tc>
          <w:tcPr>
            <w:tcW w:type="dxa" w:w="2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Received before 2026-07-27</w:t>
            </w:r>
          </w:p>
        </w:tc>
        <w:tc>
          <w:tcPr>
            <w:tcW w:type="dxa" w:w="131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Does not establish whether counsel was consulted outside sessions or whether International counsel is available. Lack of counsel alone does not prove a legal violation.</w:t>
            </w:r>
          </w:p>
        </w:tc>
        <w:tc>
          <w:tcPr>
            <w:tcW w:type="dxa" w:w="13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Ask neutral factual question; request consultation</w:t>
            </w:r>
          </w:p>
        </w:tc>
      </w:tr>
    </w:tbl>
    <w:p>
      <w:pPr>
        <w:spacing w:before="0" w:after="40"/>
      </w:pPr>
    </w:p>
    <w:p>
      <w:pPr>
        <w:pStyle w:val="Heading2"/>
      </w:pPr>
      <w:r>
        <w:rPr>
          <w:rFonts w:ascii="Calibri" w:hAnsi="Calibri" w:eastAsia="Calibri"/>
          <w:b w:val="0"/>
          <w:color w:val="000000"/>
        </w:rPr>
        <w:t>Blank evidence entries</w:t>
      </w:r>
    </w:p>
    <w:tbl>
      <w:tblPr>
        <w:tblStyle w:val="TableGrid"/>
        <w:tblW w:type="dxa" w:w="9360"/>
        <w:tblLayout w:type="fixed"/>
        <w:tblLook w:firstColumn="1" w:firstRow="1" w:lastColumn="0" w:lastRow="0" w:noHBand="0" w:noVBand="1" w:val="04A0"/>
        <w:jc w:val="left"/>
        <w:tblBorders>
          <w:top w:val="single" w:sz="4" w:space="0" w:color="B8C2CE"/>
          <w:left w:val="single" w:sz="4" w:space="0" w:color="B8C2CE"/>
          <w:bottom w:val="single" w:sz="4" w:space="0" w:color="B8C2CE"/>
          <w:right w:val="single" w:sz="4" w:space="0" w:color="B8C2CE"/>
          <w:insideH w:val="single" w:sz="4" w:space="0" w:color="B8C2CE"/>
          <w:insideV w:val="single" w:sz="4" w:space="0" w:color="B8C2CE"/>
        </w:tblBorders>
        <w:tblInd w:w="120" w:type="dxa"/>
      </w:tblPr>
      <w:tblGrid>
        <w:gridCol w:w="650"/>
        <w:gridCol w:w="850"/>
        <w:gridCol w:w="1500"/>
        <w:gridCol w:w="1250"/>
        <w:gridCol w:w="2500"/>
        <w:gridCol w:w="1310"/>
        <w:gridCol w:w="1300"/>
      </w:tblGrid>
      <w:tr>
        <w:trPr>
          <w:cantSplit/>
          <w:tblHeader w:val="true"/>
        </w:trPr>
        <w:tc>
          <w:tcPr>
            <w:tcW w:type="dxa" w:w="65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ID</w:t>
            </w:r>
          </w:p>
        </w:tc>
        <w:tc>
          <w:tcPr>
            <w:tcW w:type="dxa" w:w="85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Status</w:t>
            </w:r>
          </w:p>
        </w:tc>
        <w:tc>
          <w:tcPr>
            <w:tcW w:type="dxa" w:w="150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Item</w:t>
            </w:r>
          </w:p>
        </w:tc>
        <w:tc>
          <w:tcPr>
            <w:tcW w:type="dxa" w:w="125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Source / custodian</w:t>
            </w:r>
          </w:p>
        </w:tc>
        <w:tc>
          <w:tcPr>
            <w:tcW w:type="dxa" w:w="250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Date</w:t>
            </w:r>
          </w:p>
        </w:tc>
        <w:tc>
          <w:tcPr>
            <w:tcW w:type="dxa" w:w="131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What it proves - and does not prove</w:t>
            </w:r>
          </w:p>
        </w:tc>
        <w:tc>
          <w:tcPr>
            <w:tcW w:type="dxa" w:w="130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Follow-up</w:t>
            </w:r>
          </w:p>
        </w:tc>
      </w:tr>
      <w:tr>
        <w:trPr>
          <w:cantSplit/>
        </w:trPr>
        <w:tc>
          <w:tcPr>
            <w:tcW w:type="dxa" w:w="65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E-010</w:t>
            </w:r>
          </w:p>
        </w:tc>
        <w:tc>
          <w:tcPr>
            <w:tcW w:type="dxa" w:w="850"/>
            <w:tcMar>
              <w:top w:w="100" w:type="dxa"/>
              <w:start w:w="120" w:type="dxa"/>
              <w:bottom w:w="100" w:type="dxa"/>
              <w:end w:w="120" w:type="dxa"/>
            </w:tcMar>
            <w:vAlign w:val="center"/>
          </w:tcPr>
          <w:p>
            <w:pPr>
              <w:spacing w:before="0" w:after="0" w:line="252" w:lineRule="auto"/>
              <w:jc w:val="left"/>
            </w:pPr>
            <w:r/>
          </w:p>
        </w:tc>
        <w:tc>
          <w:tcPr>
            <w:tcW w:type="dxa" w:w="1500"/>
            <w:tcMar>
              <w:top w:w="100" w:type="dxa"/>
              <w:start w:w="120" w:type="dxa"/>
              <w:bottom w:w="100" w:type="dxa"/>
              <w:end w:w="120" w:type="dxa"/>
            </w:tcMar>
            <w:vAlign w:val="center"/>
          </w:tcPr>
          <w:p>
            <w:pPr>
              <w:spacing w:before="0" w:after="0" w:line="252" w:lineRule="auto"/>
              <w:jc w:val="left"/>
            </w:pPr>
            <w:r/>
          </w:p>
        </w:tc>
        <w:tc>
          <w:tcPr>
            <w:tcW w:type="dxa" w:w="1250"/>
            <w:tcMar>
              <w:top w:w="100" w:type="dxa"/>
              <w:start w:w="120" w:type="dxa"/>
              <w:bottom w:w="100" w:type="dxa"/>
              <w:end w:w="120" w:type="dxa"/>
            </w:tcMar>
            <w:vAlign w:val="center"/>
          </w:tcPr>
          <w:p>
            <w:pPr>
              <w:spacing w:before="0" w:after="0" w:line="252" w:lineRule="auto"/>
              <w:jc w:val="left"/>
            </w:pPr>
            <w:r/>
          </w:p>
        </w:tc>
        <w:tc>
          <w:tcPr>
            <w:tcW w:type="dxa" w:w="2500"/>
            <w:tcMar>
              <w:top w:w="100" w:type="dxa"/>
              <w:start w:w="120" w:type="dxa"/>
              <w:bottom w:w="100" w:type="dxa"/>
              <w:end w:w="120" w:type="dxa"/>
            </w:tcMar>
            <w:vAlign w:val="center"/>
          </w:tcPr>
          <w:p>
            <w:pPr>
              <w:spacing w:before="0" w:after="0" w:line="252" w:lineRule="auto"/>
              <w:jc w:val="left"/>
            </w:pPr>
            <w:r/>
          </w:p>
        </w:tc>
        <w:tc>
          <w:tcPr>
            <w:tcW w:type="dxa" w:w="1310"/>
            <w:tcMar>
              <w:top w:w="100" w:type="dxa"/>
              <w:start w:w="120" w:type="dxa"/>
              <w:bottom w:w="100" w:type="dxa"/>
              <w:end w:w="120" w:type="dxa"/>
            </w:tcMar>
            <w:vAlign w:val="center"/>
          </w:tcPr>
          <w:p>
            <w:pPr>
              <w:spacing w:before="0" w:after="0" w:line="252" w:lineRule="auto"/>
              <w:jc w:val="left"/>
            </w:pPr>
            <w:r/>
          </w:p>
        </w:tc>
        <w:tc>
          <w:tcPr>
            <w:tcW w:type="dxa" w:w="1300"/>
            <w:tcMar>
              <w:top w:w="100" w:type="dxa"/>
              <w:start w:w="120" w:type="dxa"/>
              <w:bottom w:w="100" w:type="dxa"/>
              <w:end w:w="120" w:type="dxa"/>
            </w:tcMar>
            <w:vAlign w:val="center"/>
          </w:tcPr>
          <w:p>
            <w:pPr>
              <w:spacing w:before="0" w:after="0" w:line="252" w:lineRule="auto"/>
              <w:jc w:val="left"/>
            </w:pPr>
            <w:r/>
          </w:p>
        </w:tc>
      </w:tr>
      <w:tr>
        <w:trPr>
          <w:cantSplit/>
        </w:trPr>
        <w:tc>
          <w:tcPr>
            <w:tcW w:type="dxa" w:w="65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E-011</w:t>
            </w:r>
          </w:p>
        </w:tc>
        <w:tc>
          <w:tcPr>
            <w:tcW w:type="dxa" w:w="850"/>
            <w:tcMar>
              <w:top w:w="100" w:type="dxa"/>
              <w:start w:w="120" w:type="dxa"/>
              <w:bottom w:w="100" w:type="dxa"/>
              <w:end w:w="120" w:type="dxa"/>
            </w:tcMar>
            <w:vAlign w:val="center"/>
          </w:tcPr>
          <w:p>
            <w:pPr>
              <w:spacing w:before="0" w:after="0" w:line="252" w:lineRule="auto"/>
              <w:jc w:val="left"/>
            </w:pPr>
            <w:r/>
          </w:p>
        </w:tc>
        <w:tc>
          <w:tcPr>
            <w:tcW w:type="dxa" w:w="1500"/>
            <w:tcMar>
              <w:top w:w="100" w:type="dxa"/>
              <w:start w:w="120" w:type="dxa"/>
              <w:bottom w:w="100" w:type="dxa"/>
              <w:end w:w="120" w:type="dxa"/>
            </w:tcMar>
            <w:vAlign w:val="center"/>
          </w:tcPr>
          <w:p>
            <w:pPr>
              <w:spacing w:before="0" w:after="0" w:line="252" w:lineRule="auto"/>
              <w:jc w:val="left"/>
            </w:pPr>
            <w:r/>
          </w:p>
        </w:tc>
        <w:tc>
          <w:tcPr>
            <w:tcW w:type="dxa" w:w="1250"/>
            <w:tcMar>
              <w:top w:w="100" w:type="dxa"/>
              <w:start w:w="120" w:type="dxa"/>
              <w:bottom w:w="100" w:type="dxa"/>
              <w:end w:w="120" w:type="dxa"/>
            </w:tcMar>
            <w:vAlign w:val="center"/>
          </w:tcPr>
          <w:p>
            <w:pPr>
              <w:spacing w:before="0" w:after="0" w:line="252" w:lineRule="auto"/>
              <w:jc w:val="left"/>
            </w:pPr>
            <w:r/>
          </w:p>
        </w:tc>
        <w:tc>
          <w:tcPr>
            <w:tcW w:type="dxa" w:w="2500"/>
            <w:tcMar>
              <w:top w:w="100" w:type="dxa"/>
              <w:start w:w="120" w:type="dxa"/>
              <w:bottom w:w="100" w:type="dxa"/>
              <w:end w:w="120" w:type="dxa"/>
            </w:tcMar>
            <w:vAlign w:val="center"/>
          </w:tcPr>
          <w:p>
            <w:pPr>
              <w:spacing w:before="0" w:after="0" w:line="252" w:lineRule="auto"/>
              <w:jc w:val="left"/>
            </w:pPr>
            <w:r/>
          </w:p>
        </w:tc>
        <w:tc>
          <w:tcPr>
            <w:tcW w:type="dxa" w:w="1310"/>
            <w:tcMar>
              <w:top w:w="100" w:type="dxa"/>
              <w:start w:w="120" w:type="dxa"/>
              <w:bottom w:w="100" w:type="dxa"/>
              <w:end w:w="120" w:type="dxa"/>
            </w:tcMar>
            <w:vAlign w:val="center"/>
          </w:tcPr>
          <w:p>
            <w:pPr>
              <w:spacing w:before="0" w:after="0" w:line="252" w:lineRule="auto"/>
              <w:jc w:val="left"/>
            </w:pPr>
            <w:r/>
          </w:p>
        </w:tc>
        <w:tc>
          <w:tcPr>
            <w:tcW w:type="dxa" w:w="1300"/>
            <w:tcMar>
              <w:top w:w="100" w:type="dxa"/>
              <w:start w:w="120" w:type="dxa"/>
              <w:bottom w:w="100" w:type="dxa"/>
              <w:end w:w="120" w:type="dxa"/>
            </w:tcMar>
            <w:vAlign w:val="center"/>
          </w:tcPr>
          <w:p>
            <w:pPr>
              <w:spacing w:before="0" w:after="0" w:line="252" w:lineRule="auto"/>
              <w:jc w:val="left"/>
            </w:pPr>
            <w:r/>
          </w:p>
        </w:tc>
      </w:tr>
      <w:tr>
        <w:trPr>
          <w:cantSplit/>
        </w:trPr>
        <w:tc>
          <w:tcPr>
            <w:tcW w:type="dxa" w:w="65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E-012</w:t>
            </w:r>
          </w:p>
        </w:tc>
        <w:tc>
          <w:tcPr>
            <w:tcW w:type="dxa" w:w="850"/>
            <w:tcMar>
              <w:top w:w="100" w:type="dxa"/>
              <w:start w:w="120" w:type="dxa"/>
              <w:bottom w:w="100" w:type="dxa"/>
              <w:end w:w="120" w:type="dxa"/>
            </w:tcMar>
            <w:vAlign w:val="center"/>
          </w:tcPr>
          <w:p>
            <w:pPr>
              <w:spacing w:before="0" w:after="0" w:line="252" w:lineRule="auto"/>
              <w:jc w:val="left"/>
            </w:pPr>
            <w:r/>
          </w:p>
        </w:tc>
        <w:tc>
          <w:tcPr>
            <w:tcW w:type="dxa" w:w="1500"/>
            <w:tcMar>
              <w:top w:w="100" w:type="dxa"/>
              <w:start w:w="120" w:type="dxa"/>
              <w:bottom w:w="100" w:type="dxa"/>
              <w:end w:w="120" w:type="dxa"/>
            </w:tcMar>
            <w:vAlign w:val="center"/>
          </w:tcPr>
          <w:p>
            <w:pPr>
              <w:spacing w:before="0" w:after="0" w:line="252" w:lineRule="auto"/>
              <w:jc w:val="left"/>
            </w:pPr>
            <w:r/>
          </w:p>
        </w:tc>
        <w:tc>
          <w:tcPr>
            <w:tcW w:type="dxa" w:w="1250"/>
            <w:tcMar>
              <w:top w:w="100" w:type="dxa"/>
              <w:start w:w="120" w:type="dxa"/>
              <w:bottom w:w="100" w:type="dxa"/>
              <w:end w:w="120" w:type="dxa"/>
            </w:tcMar>
            <w:vAlign w:val="center"/>
          </w:tcPr>
          <w:p>
            <w:pPr>
              <w:spacing w:before="0" w:after="0" w:line="252" w:lineRule="auto"/>
              <w:jc w:val="left"/>
            </w:pPr>
            <w:r/>
          </w:p>
        </w:tc>
        <w:tc>
          <w:tcPr>
            <w:tcW w:type="dxa" w:w="2500"/>
            <w:tcMar>
              <w:top w:w="100" w:type="dxa"/>
              <w:start w:w="120" w:type="dxa"/>
              <w:bottom w:w="100" w:type="dxa"/>
              <w:end w:w="120" w:type="dxa"/>
            </w:tcMar>
            <w:vAlign w:val="center"/>
          </w:tcPr>
          <w:p>
            <w:pPr>
              <w:spacing w:before="0" w:after="0" w:line="252" w:lineRule="auto"/>
              <w:jc w:val="left"/>
            </w:pPr>
            <w:r/>
          </w:p>
        </w:tc>
        <w:tc>
          <w:tcPr>
            <w:tcW w:type="dxa" w:w="1310"/>
            <w:tcMar>
              <w:top w:w="100" w:type="dxa"/>
              <w:start w:w="120" w:type="dxa"/>
              <w:bottom w:w="100" w:type="dxa"/>
              <w:end w:w="120" w:type="dxa"/>
            </w:tcMar>
            <w:vAlign w:val="center"/>
          </w:tcPr>
          <w:p>
            <w:pPr>
              <w:spacing w:before="0" w:after="0" w:line="252" w:lineRule="auto"/>
              <w:jc w:val="left"/>
            </w:pPr>
            <w:r/>
          </w:p>
        </w:tc>
        <w:tc>
          <w:tcPr>
            <w:tcW w:type="dxa" w:w="1300"/>
            <w:tcMar>
              <w:top w:w="100" w:type="dxa"/>
              <w:start w:w="120" w:type="dxa"/>
              <w:bottom w:w="100" w:type="dxa"/>
              <w:end w:w="120" w:type="dxa"/>
            </w:tcMar>
            <w:vAlign w:val="center"/>
          </w:tcPr>
          <w:p>
            <w:pPr>
              <w:spacing w:before="0" w:after="0" w:line="252" w:lineRule="auto"/>
              <w:jc w:val="left"/>
            </w:pPr>
            <w:r/>
          </w:p>
        </w:tc>
      </w:tr>
      <w:tr>
        <w:trPr>
          <w:cantSplit/>
        </w:trPr>
        <w:tc>
          <w:tcPr>
            <w:tcW w:type="dxa" w:w="65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E-013</w:t>
            </w:r>
          </w:p>
        </w:tc>
        <w:tc>
          <w:tcPr>
            <w:tcW w:type="dxa" w:w="850"/>
            <w:tcMar>
              <w:top w:w="100" w:type="dxa"/>
              <w:start w:w="120" w:type="dxa"/>
              <w:bottom w:w="100" w:type="dxa"/>
              <w:end w:w="120" w:type="dxa"/>
            </w:tcMar>
            <w:vAlign w:val="center"/>
          </w:tcPr>
          <w:p>
            <w:pPr>
              <w:spacing w:before="0" w:after="0" w:line="252" w:lineRule="auto"/>
              <w:jc w:val="left"/>
            </w:pPr>
            <w:r/>
          </w:p>
        </w:tc>
        <w:tc>
          <w:tcPr>
            <w:tcW w:type="dxa" w:w="1500"/>
            <w:tcMar>
              <w:top w:w="100" w:type="dxa"/>
              <w:start w:w="120" w:type="dxa"/>
              <w:bottom w:w="100" w:type="dxa"/>
              <w:end w:w="120" w:type="dxa"/>
            </w:tcMar>
            <w:vAlign w:val="center"/>
          </w:tcPr>
          <w:p>
            <w:pPr>
              <w:spacing w:before="0" w:after="0" w:line="252" w:lineRule="auto"/>
              <w:jc w:val="left"/>
            </w:pPr>
            <w:r/>
          </w:p>
        </w:tc>
        <w:tc>
          <w:tcPr>
            <w:tcW w:type="dxa" w:w="1250"/>
            <w:tcMar>
              <w:top w:w="100" w:type="dxa"/>
              <w:start w:w="120" w:type="dxa"/>
              <w:bottom w:w="100" w:type="dxa"/>
              <w:end w:w="120" w:type="dxa"/>
            </w:tcMar>
            <w:vAlign w:val="center"/>
          </w:tcPr>
          <w:p>
            <w:pPr>
              <w:spacing w:before="0" w:after="0" w:line="252" w:lineRule="auto"/>
              <w:jc w:val="left"/>
            </w:pPr>
            <w:r/>
          </w:p>
        </w:tc>
        <w:tc>
          <w:tcPr>
            <w:tcW w:type="dxa" w:w="2500"/>
            <w:tcMar>
              <w:top w:w="100" w:type="dxa"/>
              <w:start w:w="120" w:type="dxa"/>
              <w:bottom w:w="100" w:type="dxa"/>
              <w:end w:w="120" w:type="dxa"/>
            </w:tcMar>
            <w:vAlign w:val="center"/>
          </w:tcPr>
          <w:p>
            <w:pPr>
              <w:spacing w:before="0" w:after="0" w:line="252" w:lineRule="auto"/>
              <w:jc w:val="left"/>
            </w:pPr>
            <w:r/>
          </w:p>
        </w:tc>
        <w:tc>
          <w:tcPr>
            <w:tcW w:type="dxa" w:w="1310"/>
            <w:tcMar>
              <w:top w:w="100" w:type="dxa"/>
              <w:start w:w="120" w:type="dxa"/>
              <w:bottom w:w="100" w:type="dxa"/>
              <w:end w:w="120" w:type="dxa"/>
            </w:tcMar>
            <w:vAlign w:val="center"/>
          </w:tcPr>
          <w:p>
            <w:pPr>
              <w:spacing w:before="0" w:after="0" w:line="252" w:lineRule="auto"/>
              <w:jc w:val="left"/>
            </w:pPr>
            <w:r/>
          </w:p>
        </w:tc>
        <w:tc>
          <w:tcPr>
            <w:tcW w:type="dxa" w:w="1300"/>
            <w:tcMar>
              <w:top w:w="100" w:type="dxa"/>
              <w:start w:w="120" w:type="dxa"/>
              <w:bottom w:w="100" w:type="dxa"/>
              <w:end w:w="120" w:type="dxa"/>
            </w:tcMar>
            <w:vAlign w:val="center"/>
          </w:tcPr>
          <w:p>
            <w:pPr>
              <w:spacing w:before="0" w:after="0" w:line="252" w:lineRule="auto"/>
              <w:jc w:val="left"/>
            </w:pPr>
            <w:r/>
          </w:p>
        </w:tc>
      </w:tr>
      <w:tr>
        <w:trPr>
          <w:cantSplit/>
        </w:trPr>
        <w:tc>
          <w:tcPr>
            <w:tcW w:type="dxa" w:w="65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E-014</w:t>
            </w:r>
          </w:p>
        </w:tc>
        <w:tc>
          <w:tcPr>
            <w:tcW w:type="dxa" w:w="850"/>
            <w:tcMar>
              <w:top w:w="100" w:type="dxa"/>
              <w:start w:w="120" w:type="dxa"/>
              <w:bottom w:w="100" w:type="dxa"/>
              <w:end w:w="120" w:type="dxa"/>
            </w:tcMar>
            <w:vAlign w:val="center"/>
          </w:tcPr>
          <w:p>
            <w:pPr>
              <w:spacing w:before="0" w:after="0" w:line="252" w:lineRule="auto"/>
              <w:jc w:val="left"/>
            </w:pPr>
            <w:r/>
          </w:p>
        </w:tc>
        <w:tc>
          <w:tcPr>
            <w:tcW w:type="dxa" w:w="1500"/>
            <w:tcMar>
              <w:top w:w="100" w:type="dxa"/>
              <w:start w:w="120" w:type="dxa"/>
              <w:bottom w:w="100" w:type="dxa"/>
              <w:end w:w="120" w:type="dxa"/>
            </w:tcMar>
            <w:vAlign w:val="center"/>
          </w:tcPr>
          <w:p>
            <w:pPr>
              <w:spacing w:before="0" w:after="0" w:line="252" w:lineRule="auto"/>
              <w:jc w:val="left"/>
            </w:pPr>
            <w:r/>
          </w:p>
        </w:tc>
        <w:tc>
          <w:tcPr>
            <w:tcW w:type="dxa" w:w="1250"/>
            <w:tcMar>
              <w:top w:w="100" w:type="dxa"/>
              <w:start w:w="120" w:type="dxa"/>
              <w:bottom w:w="100" w:type="dxa"/>
              <w:end w:w="120" w:type="dxa"/>
            </w:tcMar>
            <w:vAlign w:val="center"/>
          </w:tcPr>
          <w:p>
            <w:pPr>
              <w:spacing w:before="0" w:after="0" w:line="252" w:lineRule="auto"/>
              <w:jc w:val="left"/>
            </w:pPr>
            <w:r/>
          </w:p>
        </w:tc>
        <w:tc>
          <w:tcPr>
            <w:tcW w:type="dxa" w:w="2500"/>
            <w:tcMar>
              <w:top w:w="100" w:type="dxa"/>
              <w:start w:w="120" w:type="dxa"/>
              <w:bottom w:w="100" w:type="dxa"/>
              <w:end w:w="120" w:type="dxa"/>
            </w:tcMar>
            <w:vAlign w:val="center"/>
          </w:tcPr>
          <w:p>
            <w:pPr>
              <w:spacing w:before="0" w:after="0" w:line="252" w:lineRule="auto"/>
              <w:jc w:val="left"/>
            </w:pPr>
            <w:r/>
          </w:p>
        </w:tc>
        <w:tc>
          <w:tcPr>
            <w:tcW w:type="dxa" w:w="1310"/>
            <w:tcMar>
              <w:top w:w="100" w:type="dxa"/>
              <w:start w:w="120" w:type="dxa"/>
              <w:bottom w:w="100" w:type="dxa"/>
              <w:end w:w="120" w:type="dxa"/>
            </w:tcMar>
            <w:vAlign w:val="center"/>
          </w:tcPr>
          <w:p>
            <w:pPr>
              <w:spacing w:before="0" w:after="0" w:line="252" w:lineRule="auto"/>
              <w:jc w:val="left"/>
            </w:pPr>
            <w:r/>
          </w:p>
        </w:tc>
        <w:tc>
          <w:tcPr>
            <w:tcW w:type="dxa" w:w="1300"/>
            <w:tcMar>
              <w:top w:w="100" w:type="dxa"/>
              <w:start w:w="120" w:type="dxa"/>
              <w:bottom w:w="100" w:type="dxa"/>
              <w:end w:w="120" w:type="dxa"/>
            </w:tcMar>
            <w:vAlign w:val="center"/>
          </w:tcPr>
          <w:p>
            <w:pPr>
              <w:spacing w:before="0" w:after="0" w:line="252" w:lineRule="auto"/>
              <w:jc w:val="left"/>
            </w:pPr>
            <w:r/>
          </w:p>
        </w:tc>
      </w:tr>
      <w:tr>
        <w:trPr>
          <w:cantSplit/>
        </w:trPr>
        <w:tc>
          <w:tcPr>
            <w:tcW w:type="dxa" w:w="65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E-015</w:t>
            </w:r>
          </w:p>
        </w:tc>
        <w:tc>
          <w:tcPr>
            <w:tcW w:type="dxa" w:w="850"/>
            <w:tcMar>
              <w:top w:w="100" w:type="dxa"/>
              <w:start w:w="120" w:type="dxa"/>
              <w:bottom w:w="100" w:type="dxa"/>
              <w:end w:w="120" w:type="dxa"/>
            </w:tcMar>
            <w:vAlign w:val="center"/>
          </w:tcPr>
          <w:p>
            <w:pPr>
              <w:spacing w:before="0" w:after="0" w:line="252" w:lineRule="auto"/>
              <w:jc w:val="left"/>
            </w:pPr>
            <w:r/>
          </w:p>
        </w:tc>
        <w:tc>
          <w:tcPr>
            <w:tcW w:type="dxa" w:w="1500"/>
            <w:tcMar>
              <w:top w:w="100" w:type="dxa"/>
              <w:start w:w="120" w:type="dxa"/>
              <w:bottom w:w="100" w:type="dxa"/>
              <w:end w:w="120" w:type="dxa"/>
            </w:tcMar>
            <w:vAlign w:val="center"/>
          </w:tcPr>
          <w:p>
            <w:pPr>
              <w:spacing w:before="0" w:after="0" w:line="252" w:lineRule="auto"/>
              <w:jc w:val="left"/>
            </w:pPr>
            <w:r/>
          </w:p>
        </w:tc>
        <w:tc>
          <w:tcPr>
            <w:tcW w:type="dxa" w:w="1250"/>
            <w:tcMar>
              <w:top w:w="100" w:type="dxa"/>
              <w:start w:w="120" w:type="dxa"/>
              <w:bottom w:w="100" w:type="dxa"/>
              <w:end w:w="120" w:type="dxa"/>
            </w:tcMar>
            <w:vAlign w:val="center"/>
          </w:tcPr>
          <w:p>
            <w:pPr>
              <w:spacing w:before="0" w:after="0" w:line="252" w:lineRule="auto"/>
              <w:jc w:val="left"/>
            </w:pPr>
            <w:r/>
          </w:p>
        </w:tc>
        <w:tc>
          <w:tcPr>
            <w:tcW w:type="dxa" w:w="2500"/>
            <w:tcMar>
              <w:top w:w="100" w:type="dxa"/>
              <w:start w:w="120" w:type="dxa"/>
              <w:bottom w:w="100" w:type="dxa"/>
              <w:end w:w="120" w:type="dxa"/>
            </w:tcMar>
            <w:vAlign w:val="center"/>
          </w:tcPr>
          <w:p>
            <w:pPr>
              <w:spacing w:before="0" w:after="0" w:line="252" w:lineRule="auto"/>
              <w:jc w:val="left"/>
            </w:pPr>
            <w:r/>
          </w:p>
        </w:tc>
        <w:tc>
          <w:tcPr>
            <w:tcW w:type="dxa" w:w="1310"/>
            <w:tcMar>
              <w:top w:w="100" w:type="dxa"/>
              <w:start w:w="120" w:type="dxa"/>
              <w:bottom w:w="100" w:type="dxa"/>
              <w:end w:w="120" w:type="dxa"/>
            </w:tcMar>
            <w:vAlign w:val="center"/>
          </w:tcPr>
          <w:p>
            <w:pPr>
              <w:spacing w:before="0" w:after="0" w:line="252" w:lineRule="auto"/>
              <w:jc w:val="left"/>
            </w:pPr>
            <w:r/>
          </w:p>
        </w:tc>
        <w:tc>
          <w:tcPr>
            <w:tcW w:type="dxa" w:w="1300"/>
            <w:tcMar>
              <w:top w:w="100" w:type="dxa"/>
              <w:start w:w="120" w:type="dxa"/>
              <w:bottom w:w="100" w:type="dxa"/>
              <w:end w:w="120" w:type="dxa"/>
            </w:tcMar>
            <w:vAlign w:val="center"/>
          </w:tcPr>
          <w:p>
            <w:pPr>
              <w:spacing w:before="0" w:after="0" w:line="252" w:lineRule="auto"/>
              <w:jc w:val="left"/>
            </w:pPr>
            <w:r/>
          </w:p>
        </w:tc>
      </w:tr>
    </w:tbl>
    <w:p>
      <w:pPr>
        <w:spacing w:before="0" w:after="40"/>
      </w:pPr>
    </w:p>
    <w:p>
      <w:pPr>
        <w:pStyle w:val="Heading2"/>
      </w:pPr>
      <w:r>
        <w:rPr>
          <w:rFonts w:ascii="Calibri" w:hAnsi="Calibri" w:eastAsia="Calibri"/>
          <w:b w:val="0"/>
          <w:color w:val="000000"/>
        </w:rPr>
        <w:t>Evidence-handling rules</w:t>
      </w:r>
    </w:p>
    <w:p>
      <w:pPr>
        <w:pStyle w:val="ListBullet"/>
      </w:pPr>
      <w:r>
        <w:rPr>
          <w:rFonts w:ascii="Calibri" w:hAnsi="Calibri" w:eastAsia="Calibri"/>
          <w:b w:val="0"/>
          <w:color w:val="000000"/>
        </w:rPr>
        <w:t>Keep the original file or message intact. Make a working copy rather than editing the original.</w:t>
      </w:r>
    </w:p>
    <w:p>
      <w:pPr>
        <w:pStyle w:val="ListBullet"/>
      </w:pPr>
      <w:r>
        <w:rPr>
          <w:rFonts w:ascii="Calibri" w:hAnsi="Calibri" w:eastAsia="Calibri"/>
          <w:b w:val="0"/>
          <w:color w:val="000000"/>
        </w:rPr>
        <w:t>Record who supplied it, when it was received, and whether the source had firsthand knowledge.</w:t>
      </w:r>
    </w:p>
    <w:p>
      <w:pPr>
        <w:pStyle w:val="ListBullet"/>
      </w:pPr>
      <w:r>
        <w:rPr>
          <w:rFonts w:ascii="Calibri" w:hAnsi="Calibri" w:eastAsia="Calibri"/>
          <w:b w:val="0"/>
          <w:color w:val="000000"/>
        </w:rPr>
        <w:t>For messages, preserve the full thread, sender, recipient, date, and time; do not crop away context.</w:t>
      </w:r>
    </w:p>
    <w:p>
      <w:pPr>
        <w:pStyle w:val="ListBullet"/>
      </w:pPr>
      <w:r>
        <w:rPr>
          <w:rFonts w:ascii="Calibri" w:hAnsi="Calibri" w:eastAsia="Calibri"/>
          <w:b w:val="0"/>
          <w:color w:val="000000"/>
        </w:rPr>
        <w:t>Label estimates as estimates. Record the method used to calculate staffing, overtime, or wage impact.</w:t>
      </w:r>
    </w:p>
    <w:p>
      <w:pPr>
        <w:pStyle w:val="ListBullet"/>
      </w:pPr>
      <w:r>
        <w:rPr>
          <w:rFonts w:ascii="Calibri" w:hAnsi="Calibri" w:eastAsia="Calibri"/>
          <w:b w:val="0"/>
          <w:color w:val="000000"/>
        </w:rPr>
        <w:t>Do not collect or circulate inmate information, access codes, post orders, emergency plans, personal medical data, or other prison-security material.</w:t>
      </w:r>
    </w:p>
    <w:p>
      <w:pPr>
        <w:pStyle w:val="ListBullet"/>
      </w:pPr>
      <w:r>
        <w:rPr>
          <w:rFonts w:ascii="Calibri" w:hAnsi="Calibri" w:eastAsia="Calibri"/>
          <w:b w:val="0"/>
          <w:color w:val="000000"/>
        </w:rPr>
        <w:t>Do not secretly record a conversation without first obtaining advice about Pennsylvania law, workplace rules, and the specific setting.</w:t>
      </w:r>
    </w:p>
    <w:p>
      <w:pPr>
        <w:pStyle w:val="ListBullet"/>
      </w:pPr>
      <w:r>
        <w:rPr>
          <w:rFonts w:ascii="Calibri" w:hAnsi="Calibri" w:eastAsia="Calibri"/>
          <w:b w:val="0"/>
          <w:color w:val="000000"/>
        </w:rPr>
        <w:t>Keep legal advice and attorney communications in a separate, access-controlled file and follow counsel's instructions concerning privilege.</w:t>
      </w:r>
    </w:p>
    <w:p>
      <w:r>
        <w:br w:type="page"/>
      </w:r>
    </w:p>
    <w:p>
      <w:pPr>
        <w:pStyle w:val="Heading1"/>
      </w:pPr>
      <w:r>
        <w:rPr>
          <w:rFonts w:ascii="Calibri" w:hAnsi="Calibri" w:eastAsia="Calibri"/>
          <w:b w:val="0"/>
          <w:color w:val="000000"/>
        </w:rPr>
        <w:t>2. Exact questions and demands</w:t>
      </w:r>
    </w:p>
    <w:p>
      <w:pPr>
        <w:pStyle w:val="Heading2"/>
      </w:pPr>
      <w:r>
        <w:rPr>
          <w:rFonts w:ascii="Calibri" w:hAnsi="Calibri" w:eastAsia="Calibri"/>
          <w:b w:val="0"/>
          <w:color w:val="000000"/>
        </w:rPr>
        <w:t>A. Questions for Local 835 leadership and the bargaining team</w:t>
      </w:r>
    </w:p>
    <w:p>
      <w:pPr>
        <w:pStyle w:val="Heading3"/>
      </w:pPr>
      <w:r>
        <w:rPr>
          <w:rFonts w:ascii="Calibri" w:hAnsi="Calibri" w:eastAsia="Calibri"/>
          <w:b w:val="0"/>
          <w:color w:val="000000"/>
        </w:rPr>
        <w:t>Contract status and extension</w:t>
      </w:r>
    </w:p>
    <w:p>
      <w:pPr>
        <w:pStyle w:val="ListNumber"/>
      </w:pPr>
      <w:r>
        <w:rPr>
          <w:rFonts w:ascii="Calibri" w:hAnsi="Calibri" w:eastAsia="Calibri"/>
          <w:b w:val="0"/>
          <w:color w:val="000000"/>
        </w:rPr>
        <w:t>Please provide the complete signed CBA, every appendix and wage schedule, every side letter or memorandum, and every amendment that governed this bargaining unit through July 1, 2026.</w:t>
      </w:r>
    </w:p>
    <w:p>
      <w:pPr>
        <w:pStyle w:val="ListNumber"/>
      </w:pPr>
      <w:r>
        <w:rPr>
          <w:rFonts w:ascii="Calibri" w:hAnsi="Calibri" w:eastAsia="Calibri"/>
          <w:b w:val="0"/>
          <w:color w:val="000000"/>
        </w:rPr>
        <w:t>What exact clause sets the expiration or renewal date? Was any notice required to prevent automatic renewal, and who sent it?</w:t>
      </w:r>
    </w:p>
    <w:p>
      <w:pPr>
        <w:pStyle w:val="ListNumber"/>
      </w:pPr>
      <w:r>
        <w:rPr>
          <w:rFonts w:ascii="Calibri" w:hAnsi="Calibri" w:eastAsia="Calibri"/>
          <w:b w:val="0"/>
          <w:color w:val="000000"/>
        </w:rPr>
        <w:t>Is August 31, 2026 an agreed extension of the CBA, a no-strike extension, a bargaining target, a mediation date, or only an informal deadline?</w:t>
      </w:r>
    </w:p>
    <w:p>
      <w:pPr>
        <w:pStyle w:val="ListNumber"/>
      </w:pPr>
      <w:r>
        <w:rPr>
          <w:rFonts w:ascii="Calibri" w:hAnsi="Calibri" w:eastAsia="Calibri"/>
          <w:b w:val="0"/>
          <w:color w:val="000000"/>
        </w:rPr>
        <w:t>Who agreed to the August 31 arrangement, on what date, and with what authority?</w:t>
      </w:r>
    </w:p>
    <w:p>
      <w:pPr>
        <w:pStyle w:val="ListNumber"/>
      </w:pPr>
      <w:r>
        <w:rPr>
          <w:rFonts w:ascii="Calibri" w:hAnsi="Calibri" w:eastAsia="Calibri"/>
          <w:b w:val="0"/>
          <w:color w:val="000000"/>
        </w:rPr>
        <w:t>Please provide the signed writing or all messages and bargaining notes that record the arrangement.</w:t>
      </w:r>
    </w:p>
    <w:p>
      <w:pPr>
        <w:pStyle w:val="ListNumber"/>
      </w:pPr>
      <w:r>
        <w:rPr>
          <w:rFonts w:ascii="Calibri" w:hAnsi="Calibri" w:eastAsia="Calibri"/>
          <w:b w:val="0"/>
          <w:color w:val="000000"/>
        </w:rPr>
        <w:t>Which provisions were expressly continued: wages and benefits, grievance processing, arbitration, management rights, union security, dues checkoff, no-strike/no-lockout, seniority, staffing, and layoff rules?</w:t>
      </w:r>
    </w:p>
    <w:p>
      <w:pPr>
        <w:pStyle w:val="ListNumber"/>
      </w:pPr>
      <w:r>
        <w:rPr>
          <w:rFonts w:ascii="Calibri" w:hAnsi="Calibri" w:eastAsia="Calibri"/>
          <w:b w:val="0"/>
          <w:color w:val="000000"/>
        </w:rPr>
        <w:t>Has either party asserted that impasse exists? If yes, identify the date, subjects, last offers, and supporting facts. Has the union disputed that assertion in writing?</w:t>
      </w:r>
    </w:p>
    <w:p>
      <w:pPr>
        <w:pStyle w:val="Heading3"/>
      </w:pPr>
      <w:r>
        <w:rPr>
          <w:rFonts w:ascii="Calibri" w:hAnsi="Calibri" w:eastAsia="Calibri"/>
          <w:b w:val="0"/>
          <w:color w:val="000000"/>
        </w:rPr>
        <w:t>Bargaining record and proposals</w:t>
      </w:r>
    </w:p>
    <w:p>
      <w:pPr>
        <w:pStyle w:val="ListNumber"/>
      </w:pPr>
      <w:r>
        <w:rPr>
          <w:rFonts w:ascii="Calibri" w:hAnsi="Calibri" w:eastAsia="Calibri"/>
          <w:b w:val="0"/>
          <w:color w:val="000000"/>
        </w:rPr>
        <w:t>On what dates have the parties met, who attended each session, and what next sessions are scheduled?</w:t>
      </w:r>
    </w:p>
    <w:p>
      <w:pPr>
        <w:pStyle w:val="ListNumber"/>
      </w:pPr>
      <w:r>
        <w:rPr>
          <w:rFonts w:ascii="Calibri" w:hAnsi="Calibri" w:eastAsia="Calibri"/>
          <w:b w:val="0"/>
          <w:color w:val="000000"/>
        </w:rPr>
        <w:t>Please provide each written employer proposal, union proposal, counterproposal, package proposal, tentative agreement, and written withdrawal in chronological order.</w:t>
      </w:r>
    </w:p>
    <w:p>
      <w:pPr>
        <w:pStyle w:val="ListNumber"/>
      </w:pPr>
      <w:r>
        <w:rPr>
          <w:rFonts w:ascii="Calibri" w:hAnsi="Calibri" w:eastAsia="Calibri"/>
          <w:b w:val="0"/>
          <w:color w:val="000000"/>
        </w:rPr>
        <w:t>Which items are tentative agreements, which remain open, and which were withdrawn? Are tentative agreements conditional on a complete package?</w:t>
      </w:r>
    </w:p>
    <w:p>
      <w:pPr>
        <w:pStyle w:val="ListNumber"/>
      </w:pPr>
      <w:r>
        <w:rPr>
          <w:rFonts w:ascii="Calibri" w:hAnsi="Calibri" w:eastAsia="Calibri"/>
          <w:b w:val="0"/>
          <w:color w:val="000000"/>
        </w:rPr>
        <w:t>Are there bargaining ground rules limiting member communication or proposal disclosure? Please provide them and identify their legal and practical basis.</w:t>
      </w:r>
    </w:p>
    <w:p>
      <w:pPr>
        <w:pStyle w:val="ListNumber"/>
      </w:pPr>
      <w:r>
        <w:rPr>
          <w:rFonts w:ascii="Calibri" w:hAnsi="Calibri" w:eastAsia="Calibri"/>
          <w:b w:val="0"/>
          <w:color w:val="000000"/>
        </w:rPr>
        <w:t>Has any complete tentative agreement been reached or orally accepted? If so, what conditions remain before it becomes binding?</w:t>
      </w:r>
    </w:p>
    <w:p>
      <w:pPr>
        <w:pStyle w:val="ListNumber"/>
      </w:pPr>
      <w:r>
        <w:rPr>
          <w:rFonts w:ascii="Calibri" w:hAnsi="Calibri" w:eastAsia="Calibri"/>
          <w:b w:val="0"/>
          <w:color w:val="000000"/>
        </w:rPr>
        <w:t>Has FMCS or another mediator been involved? If so, what is the status and next date?</w:t>
      </w:r>
    </w:p>
    <w:p>
      <w:pPr>
        <w:pStyle w:val="Heading3"/>
      </w:pPr>
      <w:r>
        <w:rPr>
          <w:rFonts w:ascii="Calibri" w:hAnsi="Calibri" w:eastAsia="Calibri"/>
          <w:b w:val="0"/>
          <w:color w:val="000000"/>
        </w:rPr>
        <w:t>Wage proposal</w:t>
      </w:r>
    </w:p>
    <w:p>
      <w:pPr>
        <w:pStyle w:val="ListNumber"/>
      </w:pPr>
      <w:r>
        <w:rPr>
          <w:rFonts w:ascii="Calibri" w:hAnsi="Calibri" w:eastAsia="Calibri"/>
          <w:b w:val="0"/>
          <w:color w:val="000000"/>
        </w:rPr>
        <w:t>What is the exact wage proposal for each classification, step, differential, and premium?</w:t>
      </w:r>
    </w:p>
    <w:p>
      <w:pPr>
        <w:pStyle w:val="ListNumber"/>
      </w:pPr>
      <w:r>
        <w:rPr>
          <w:rFonts w:ascii="Calibri" w:hAnsi="Calibri" w:eastAsia="Calibri"/>
          <w:b w:val="0"/>
          <w:color w:val="000000"/>
        </w:rPr>
        <w:t>Is the reported 1% a one-time increase, an annual increase, or part of a multi-year schedule?</w:t>
      </w:r>
    </w:p>
    <w:p>
      <w:pPr>
        <w:pStyle w:val="ListNumber"/>
      </w:pPr>
      <w:r>
        <w:rPr>
          <w:rFonts w:ascii="Calibri" w:hAnsi="Calibri" w:eastAsia="Calibri"/>
          <w:b w:val="0"/>
          <w:color w:val="000000"/>
        </w:rPr>
        <w:t>What is the proposed contract duration?</w:t>
      </w:r>
    </w:p>
    <w:p>
      <w:pPr>
        <w:pStyle w:val="ListNumber"/>
      </w:pPr>
      <w:r>
        <w:rPr>
          <w:rFonts w:ascii="Calibri" w:hAnsi="Calibri" w:eastAsia="Calibri"/>
          <w:b w:val="0"/>
          <w:color w:val="000000"/>
        </w:rPr>
        <w:t>Is the increase retroactive to July 1? If not, what date does it begin?</w:t>
      </w:r>
    </w:p>
    <w:p>
      <w:pPr>
        <w:pStyle w:val="ListNumber"/>
      </w:pPr>
      <w:r>
        <w:rPr>
          <w:rFonts w:ascii="Calibri" w:hAnsi="Calibri" w:eastAsia="Calibri"/>
          <w:b w:val="0"/>
          <w:color w:val="000000"/>
        </w:rPr>
        <w:t>Does the proposal change health contributions, pension contributions, paid time off, overtime, shift differential, tool allowance, licensing pay, or any other item that could offset the wage increase?</w:t>
      </w:r>
    </w:p>
    <w:p>
      <w:pPr>
        <w:pStyle w:val="ListNumber"/>
      </w:pPr>
      <w:r>
        <w:rPr>
          <w:rFonts w:ascii="Calibri" w:hAnsi="Calibri" w:eastAsia="Calibri"/>
          <w:b w:val="0"/>
          <w:color w:val="000000"/>
        </w:rPr>
        <w:t>What is the union's costing of the employer package in dollars per employee and as a percentage of total compensation?</w:t>
      </w:r>
    </w:p>
    <w:p>
      <w:pPr>
        <w:pStyle w:val="Heading3"/>
      </w:pPr>
      <w:r>
        <w:rPr>
          <w:rFonts w:ascii="Calibri" w:hAnsi="Calibri" w:eastAsia="Calibri"/>
          <w:b w:val="0"/>
          <w:color w:val="000000"/>
        </w:rPr>
        <w:t>Layoffs, staffing, and vacancies</w:t>
      </w:r>
    </w:p>
    <w:p>
      <w:pPr>
        <w:pStyle w:val="ListNumber"/>
      </w:pPr>
      <w:r>
        <w:rPr>
          <w:rFonts w:ascii="Calibri" w:hAnsi="Calibri" w:eastAsia="Calibri"/>
          <w:b w:val="0"/>
          <w:color w:val="000000"/>
        </w:rPr>
        <w:t>Are the five layoffs an employer proposal, a notice of decision, a contingency, or an action already implemented?</w:t>
      </w:r>
    </w:p>
    <w:p>
      <w:pPr>
        <w:pStyle w:val="ListNumber"/>
      </w:pPr>
      <w:r>
        <w:rPr>
          <w:rFonts w:ascii="Calibri" w:hAnsi="Calibri" w:eastAsia="Calibri"/>
          <w:b w:val="0"/>
          <w:color w:val="000000"/>
        </w:rPr>
        <w:t>Which classifications, facilities, shifts, and positions are affected? Are any individuals identified?</w:t>
      </w:r>
    </w:p>
    <w:p>
      <w:pPr>
        <w:pStyle w:val="ListNumber"/>
      </w:pPr>
      <w:r>
        <w:rPr>
          <w:rFonts w:ascii="Calibri" w:hAnsi="Calibri" w:eastAsia="Calibri"/>
          <w:b w:val="0"/>
          <w:color w:val="000000"/>
        </w:rPr>
        <w:t>What reason has the employer given: budget, City contract scope, lack of work, reorganization, subcontracting, performance, automation, or another reason?</w:t>
      </w:r>
    </w:p>
    <w:p>
      <w:pPr>
        <w:pStyle w:val="ListNumber"/>
      </w:pPr>
      <w:r>
        <w:rPr>
          <w:rFonts w:ascii="Calibri" w:hAnsi="Calibri" w:eastAsia="Calibri"/>
          <w:b w:val="0"/>
          <w:color w:val="000000"/>
        </w:rPr>
        <w:t>Did the union request bargaining over the decision, the effects, or both? Please provide the request and employer response.</w:t>
      </w:r>
    </w:p>
    <w:p>
      <w:pPr>
        <w:pStyle w:val="ListNumber"/>
      </w:pPr>
      <w:r>
        <w:rPr>
          <w:rFonts w:ascii="Calibri" w:hAnsi="Calibri" w:eastAsia="Calibri"/>
          <w:b w:val="0"/>
          <w:color w:val="000000"/>
        </w:rPr>
        <w:t>What layoff, seniority, bumping, transfer, recall, benefit-continuation, severance, and notice provisions apply?</w:t>
      </w:r>
    </w:p>
    <w:p>
      <w:pPr>
        <w:pStyle w:val="ListNumber"/>
      </w:pPr>
      <w:r>
        <w:rPr>
          <w:rFonts w:ascii="Calibri" w:hAnsi="Calibri" w:eastAsia="Calibri"/>
          <w:b w:val="0"/>
          <w:color w:val="000000"/>
        </w:rPr>
        <w:t>What is the authorized and budgeted bargaining-unit complement by facility, classification, and shift?</w:t>
      </w:r>
    </w:p>
    <w:p>
      <w:pPr>
        <w:pStyle w:val="ListNumber"/>
      </w:pPr>
      <w:r>
        <w:rPr>
          <w:rFonts w:ascii="Calibri" w:hAnsi="Calibri" w:eastAsia="Calibri"/>
          <w:b w:val="0"/>
          <w:color w:val="000000"/>
        </w:rPr>
        <w:t>How many positions are filled, vacant, posted, frozen, temporarily covered, or performed by supervisors, non-unit staff, agency workers, subcontractors, or City employees?</w:t>
      </w:r>
    </w:p>
    <w:p>
      <w:pPr>
        <w:pStyle w:val="ListNumber"/>
      </w:pPr>
      <w:r>
        <w:rPr>
          <w:rFonts w:ascii="Calibri" w:hAnsi="Calibri" w:eastAsia="Calibri"/>
          <w:b w:val="0"/>
          <w:color w:val="000000"/>
        </w:rPr>
        <w:t>For each vacancy, when did it open, when was it posted, how many applicants were received, and why is it unfilled?</w:t>
      </w:r>
    </w:p>
    <w:p>
      <w:pPr>
        <w:pStyle w:val="ListNumber"/>
      </w:pPr>
      <w:r>
        <w:rPr>
          <w:rFonts w:ascii="Calibri" w:hAnsi="Calibri" w:eastAsia="Calibri"/>
          <w:b w:val="0"/>
          <w:color w:val="000000"/>
        </w:rPr>
        <w:t>What overtime, holdover, call-in, missed preventive maintenance, backlog, safety incident, and service-level data show the effects of vacancies?</w:t>
      </w:r>
    </w:p>
    <w:p>
      <w:pPr>
        <w:pStyle w:val="ListNumber"/>
      </w:pPr>
      <w:r>
        <w:rPr>
          <w:rFonts w:ascii="Calibri" w:hAnsi="Calibri" w:eastAsia="Calibri"/>
          <w:b w:val="0"/>
          <w:color w:val="000000"/>
        </w:rPr>
        <w:t>What exact staffing-limit, minimum-complement, workload, vacancy-filling, subcontracting, or bargaining-unit-work language exists in the CBA or side letters?</w:t>
      </w:r>
    </w:p>
    <w:p>
      <w:pPr>
        <w:pStyle w:val="ListNumber"/>
      </w:pPr>
      <w:r>
        <w:rPr>
          <w:rFonts w:ascii="Calibri" w:hAnsi="Calibri" w:eastAsia="Calibri"/>
          <w:b w:val="0"/>
          <w:color w:val="000000"/>
        </w:rPr>
        <w:t>Has that language been enforced through grievances, settlements, arbitration awards, or past practice? Please provide the record.</w:t>
      </w:r>
    </w:p>
    <w:p>
      <w:pPr>
        <w:pStyle w:val="ListNumber"/>
      </w:pPr>
      <w:r>
        <w:rPr>
          <w:rFonts w:ascii="Calibri" w:hAnsi="Calibri" w:eastAsia="Calibri"/>
          <w:b w:val="0"/>
          <w:color w:val="000000"/>
        </w:rPr>
        <w:t>Has the union demanded the U.S. Facilities-City contract provisions, change orders, staffing assumptions, service levels, penalties, invoices, and renewal information relevant to the claimed layoffs or vacancies?</w:t>
      </w:r>
    </w:p>
    <w:p>
      <w:pPr>
        <w:pStyle w:val="Heading3"/>
      </w:pPr>
      <w:r>
        <w:rPr>
          <w:rFonts w:ascii="Calibri" w:hAnsi="Calibri" w:eastAsia="Calibri"/>
          <w:b w:val="0"/>
          <w:color w:val="000000"/>
        </w:rPr>
        <w:t>Legal review and member governance</w:t>
      </w:r>
    </w:p>
    <w:p>
      <w:pPr>
        <w:pStyle w:val="ListNumber"/>
      </w:pPr>
      <w:r>
        <w:rPr>
          <w:rFonts w:ascii="Calibri" w:hAnsi="Calibri" w:eastAsia="Calibri"/>
          <w:b w:val="0"/>
          <w:color w:val="000000"/>
        </w:rPr>
        <w:t>Has a lawyer reviewed the CBA expiration, the August 31 arrangement, the employer proposals, the layoffs, the staffing clause, possible information requests, and any impasse claim? If yes, in what capacity?</w:t>
      </w:r>
    </w:p>
    <w:p>
      <w:pPr>
        <w:pStyle w:val="ListNumber"/>
      </w:pPr>
      <w:r>
        <w:rPr>
          <w:rFonts w:ascii="Calibri" w:hAnsi="Calibri" w:eastAsia="Calibri"/>
          <w:b w:val="0"/>
          <w:color w:val="000000"/>
        </w:rPr>
        <w:t>If no outside or International counsel has reviewed those materials, will the Local arrange a prompt consultation with a Pennsylvania union-side labor lawyer before recommending a final agreement, impasse position, or strike vote?</w:t>
      </w:r>
    </w:p>
    <w:p>
      <w:pPr>
        <w:pStyle w:val="ListNumber"/>
      </w:pPr>
      <w:r>
        <w:rPr>
          <w:rFonts w:ascii="Calibri" w:hAnsi="Calibri" w:eastAsia="Calibri"/>
          <w:b w:val="0"/>
          <w:color w:val="000000"/>
        </w:rPr>
        <w:t>What Local bylaw and IUOE constitutional provisions govern bargaining-team authority, member petitions, motions, special meetings, ratification, strike authorization, quorum, notice, and secret ballots?</w:t>
      </w:r>
    </w:p>
    <w:p>
      <w:pPr>
        <w:pStyle w:val="ListNumber"/>
      </w:pPr>
      <w:r>
        <w:rPr>
          <w:rFonts w:ascii="Calibri" w:hAnsi="Calibri" w:eastAsia="Calibri"/>
          <w:b w:val="0"/>
          <w:color w:val="000000"/>
        </w:rPr>
        <w:t>Is member ratification a condition of acceptance in this bargaining relationship? Has the employer been told in writing that any tentative agreement is subject to ratification?</w:t>
      </w:r>
    </w:p>
    <w:p>
      <w:pPr>
        <w:pStyle w:val="ListNumber"/>
      </w:pPr>
      <w:r>
        <w:rPr>
          <w:rFonts w:ascii="Calibri" w:hAnsi="Calibri" w:eastAsia="Calibri"/>
          <w:b w:val="0"/>
          <w:color w:val="000000"/>
        </w:rPr>
        <w:t>Who is eligible to vote, what notice is required, what quorum applies, and may members inspect the complete text before voting?</w:t>
      </w:r>
    </w:p>
    <w:p>
      <w:pPr>
        <w:pStyle w:val="ListNumber"/>
      </w:pPr>
      <w:r>
        <w:rPr>
          <w:rFonts w:ascii="Calibri" w:hAnsi="Calibri" w:eastAsia="Calibri"/>
          <w:b w:val="0"/>
          <w:color w:val="000000"/>
        </w:rPr>
        <w:t>Will the Local commit to giving members the complete proposed agreement, redline, attachments, side letters, wage tables, and tentative agreements at least five calendar days before a ratification vote?</w:t>
      </w:r>
    </w:p>
    <w:p>
      <w:pPr>
        <w:pStyle w:val="ListNumber"/>
      </w:pPr>
      <w:r>
        <w:rPr>
          <w:rFonts w:ascii="Calibri" w:hAnsi="Calibri" w:eastAsia="Calibri"/>
          <w:b w:val="0"/>
          <w:color w:val="000000"/>
        </w:rPr>
        <w:t>Will contract ratification and strike authorization, if any, be separate questions and separate votes?</w:t>
      </w:r>
    </w:p>
    <w:p>
      <w:pPr>
        <w:pStyle w:val="ListNumber"/>
      </w:pPr>
      <w:r>
        <w:rPr>
          <w:rFonts w:ascii="Calibri" w:hAnsi="Calibri" w:eastAsia="Calibri"/>
          <w:b w:val="0"/>
          <w:color w:val="000000"/>
        </w:rPr>
        <w:t>What process will members use to submit questions and receive written answers without retaliation or loss of meeting rights?</w:t>
      </w:r>
    </w:p>
    <w:p>
      <w:pPr>
        <w:pStyle w:val="Heading2"/>
      </w:pPr>
      <w:r>
        <w:rPr>
          <w:rFonts w:ascii="Calibri" w:hAnsi="Calibri" w:eastAsia="Calibri"/>
          <w:b w:val="0"/>
          <w:color w:val="000000"/>
        </w:rPr>
        <w:t>B. Proposed written demands to Local 835</w:t>
      </w:r>
    </w:p>
    <w:p>
      <w:pPr>
        <w:spacing w:before="100" w:after="160" w:line="269" w:lineRule="auto"/>
        <w:shd w:fill="F4F6F9"/>
        <w:pBdr>
          <w:left w:val="single" w:sz="18" w:space="8" w:color="2E74B5"/>
        </w:pBdr>
        <w:ind w:left="180" w:right="120"/>
      </w:pPr>
      <w:r>
        <w:rPr>
          <w:rFonts w:ascii="Calibri" w:hAnsi="Calibri" w:eastAsia="Calibri"/>
          <w:b w:val="0"/>
          <w:color w:val="0B2545"/>
          <w:sz w:val="19"/>
        </w:rPr>
        <w:t>These are governance requests. Whether every item is legally enforceable depends on the CBA, Local bylaws, IUOE constitution, established rules, and applicable law.</w:t>
      </w:r>
    </w:p>
    <w:p>
      <w:pPr>
        <w:pStyle w:val="ListNumber"/>
      </w:pPr>
      <w:r>
        <w:rPr>
          <w:rFonts w:ascii="Calibri" w:hAnsi="Calibri" w:eastAsia="Calibri"/>
          <w:b w:val="0"/>
          <w:color w:val="000000"/>
        </w:rPr>
        <w:t>Produce the complete CBA and all attachments immediately upon member request.</w:t>
      </w:r>
    </w:p>
    <w:p>
      <w:pPr>
        <w:pStyle w:val="ListNumber"/>
      </w:pPr>
      <w:r>
        <w:rPr>
          <w:rFonts w:ascii="Calibri" w:hAnsi="Calibri" w:eastAsia="Calibri"/>
          <w:b w:val="0"/>
          <w:color w:val="000000"/>
        </w:rPr>
        <w:t>Produce the bargaining record listed above, subject to a lawyer-reviewed process for any genuinely privileged or sensitive material.</w:t>
      </w:r>
    </w:p>
    <w:p>
      <w:pPr>
        <w:pStyle w:val="ListNumber"/>
      </w:pPr>
      <w:r>
        <w:rPr>
          <w:rFonts w:ascii="Calibri" w:hAnsi="Calibri" w:eastAsia="Calibri"/>
          <w:b w:val="0"/>
          <w:color w:val="000000"/>
        </w:rPr>
        <w:t>Issue a dated bargaining status report identifying proposals, tentative agreements, open items, and the next bargaining dates.</w:t>
      </w:r>
    </w:p>
    <w:p>
      <w:pPr>
        <w:pStyle w:val="ListNumber"/>
      </w:pPr>
      <w:r>
        <w:rPr>
          <w:rFonts w:ascii="Calibri" w:hAnsi="Calibri" w:eastAsia="Calibri"/>
          <w:b w:val="0"/>
          <w:color w:val="000000"/>
        </w:rPr>
        <w:t>Send a formal information request to the employer on layoffs, staffing, vacancies, overtime, subcontracting, and the City contract.</w:t>
      </w:r>
    </w:p>
    <w:p>
      <w:pPr>
        <w:pStyle w:val="ListNumber"/>
      </w:pPr>
      <w:r>
        <w:rPr>
          <w:rFonts w:ascii="Calibri" w:hAnsi="Calibri" w:eastAsia="Calibri"/>
          <w:b w:val="0"/>
          <w:color w:val="000000"/>
        </w:rPr>
        <w:t>Obtain a prompt legal consultation and a written issue list before any recommendation on ratification, impasse, or strike authorization.</w:t>
      </w:r>
    </w:p>
    <w:p>
      <w:pPr>
        <w:pStyle w:val="ListNumber"/>
      </w:pPr>
      <w:r>
        <w:rPr>
          <w:rFonts w:ascii="Calibri" w:hAnsi="Calibri" w:eastAsia="Calibri"/>
          <w:b w:val="0"/>
          <w:color w:val="000000"/>
        </w:rPr>
        <w:t>Provide complete final text and a clear redline before any ratification vote.</w:t>
      </w:r>
    </w:p>
    <w:p>
      <w:pPr>
        <w:pStyle w:val="ListNumber"/>
      </w:pPr>
      <w:r>
        <w:rPr>
          <w:rFonts w:ascii="Calibri" w:hAnsi="Calibri" w:eastAsia="Calibri"/>
          <w:b w:val="0"/>
          <w:color w:val="000000"/>
        </w:rPr>
        <w:t>Do not combine a contract vote with a strike-authorization vote.</w:t>
      </w:r>
    </w:p>
    <w:p>
      <w:pPr>
        <w:pStyle w:val="ListNumber"/>
      </w:pPr>
      <w:r>
        <w:rPr>
          <w:rFonts w:ascii="Calibri" w:hAnsi="Calibri" w:eastAsia="Calibri"/>
          <w:b w:val="0"/>
          <w:color w:val="000000"/>
        </w:rPr>
        <w:t>Preserve all bargaining notes, proposals, messages, notices, and data.</w:t>
      </w:r>
    </w:p>
    <w:p>
      <w:pPr>
        <w:pStyle w:val="Heading2"/>
      </w:pPr>
      <w:r>
        <w:rPr>
          <w:rFonts w:ascii="Calibri" w:hAnsi="Calibri" w:eastAsia="Calibri"/>
          <w:b w:val="0"/>
          <w:color w:val="000000"/>
        </w:rPr>
        <w:t>C. Questions and information demands for U.S. Facilities</w:t>
      </w:r>
    </w:p>
    <w:p>
      <w:pPr>
        <w:spacing w:before="100" w:after="160" w:line="269" w:lineRule="auto"/>
        <w:shd w:fill="F4F6F9"/>
        <w:pBdr>
          <w:left w:val="single" w:sz="18" w:space="8" w:color="2E74B5"/>
        </w:pBdr>
        <w:ind w:left="180" w:right="120"/>
      </w:pPr>
      <w:r>
        <w:rPr>
          <w:rFonts w:ascii="Calibri" w:hAnsi="Calibri" w:eastAsia="Calibri"/>
          <w:b w:val="0"/>
          <w:color w:val="0B2545"/>
          <w:sz w:val="19"/>
        </w:rPr>
        <w:t>These should ordinarily be transmitted by the authorized union representative. An individual member should not present them as if authorized to bargain for the unit.</w:t>
      </w:r>
    </w:p>
    <w:p>
      <w:pPr>
        <w:pStyle w:val="Heading3"/>
      </w:pPr>
      <w:r>
        <w:rPr>
          <w:rFonts w:ascii="Calibri" w:hAnsi="Calibri" w:eastAsia="Calibri"/>
          <w:b w:val="0"/>
          <w:color w:val="000000"/>
        </w:rPr>
        <w:t>Written proposal and decision status</w:t>
      </w:r>
    </w:p>
    <w:p>
      <w:pPr>
        <w:pStyle w:val="ListNumber"/>
      </w:pPr>
      <w:r>
        <w:rPr>
          <w:rFonts w:ascii="Calibri" w:hAnsi="Calibri" w:eastAsia="Calibri"/>
          <w:b w:val="0"/>
          <w:color w:val="000000"/>
        </w:rPr>
        <w:t>Produce the complete current employer proposal, including all wage tables, contract language, attachments, side letters, package conditions, and items withdrawn or carried forward.</w:t>
      </w:r>
    </w:p>
    <w:p>
      <w:pPr>
        <w:pStyle w:val="ListNumber"/>
      </w:pPr>
      <w:r>
        <w:rPr>
          <w:rFonts w:ascii="Calibri" w:hAnsi="Calibri" w:eastAsia="Calibri"/>
          <w:b w:val="0"/>
          <w:color w:val="000000"/>
        </w:rPr>
        <w:t>State whether the proposed five layoffs are a bargaining proposal, a contemplated action, a final decision, a contingency, or an implemented action.</w:t>
      </w:r>
    </w:p>
    <w:p>
      <w:pPr>
        <w:pStyle w:val="ListNumber"/>
      </w:pPr>
      <w:r>
        <w:rPr>
          <w:rFonts w:ascii="Calibri" w:hAnsi="Calibri" w:eastAsia="Calibri"/>
          <w:b w:val="0"/>
          <w:color w:val="000000"/>
        </w:rPr>
        <w:t>Identify the proposed effective date and every affected facility, shift, classification, position, and employment status.</w:t>
      </w:r>
    </w:p>
    <w:p>
      <w:pPr>
        <w:pStyle w:val="ListNumber"/>
      </w:pPr>
      <w:r>
        <w:rPr>
          <w:rFonts w:ascii="Calibri" w:hAnsi="Calibri" w:eastAsia="Calibri"/>
          <w:b w:val="0"/>
          <w:color w:val="000000"/>
        </w:rPr>
        <w:t>State each operational, financial, contractual, or performance reason for the proposal.</w:t>
      </w:r>
    </w:p>
    <w:p>
      <w:pPr>
        <w:pStyle w:val="Heading3"/>
      </w:pPr>
      <w:r>
        <w:rPr>
          <w:rFonts w:ascii="Calibri" w:hAnsi="Calibri" w:eastAsia="Calibri"/>
          <w:b w:val="0"/>
          <w:color w:val="000000"/>
        </w:rPr>
        <w:t>Staffing and work data</w:t>
      </w:r>
    </w:p>
    <w:p>
      <w:pPr>
        <w:pStyle w:val="ListNumber"/>
      </w:pPr>
      <w:r>
        <w:rPr>
          <w:rFonts w:ascii="Calibri" w:hAnsi="Calibri" w:eastAsia="Calibri"/>
          <w:b w:val="0"/>
          <w:color w:val="000000"/>
        </w:rPr>
        <w:t>Produce the authorized, budgeted, and actual bargaining-unit headcount for each pay period for the last 36 months, by facility, classification, and shift.</w:t>
      </w:r>
    </w:p>
    <w:p>
      <w:pPr>
        <w:pStyle w:val="ListNumber"/>
      </w:pPr>
      <w:r>
        <w:rPr>
          <w:rFonts w:ascii="Calibri" w:hAnsi="Calibri" w:eastAsia="Calibri"/>
          <w:b w:val="0"/>
          <w:color w:val="000000"/>
        </w:rPr>
        <w:t>Produce the current roster and vacancy list, with vacancy-open date, posting date, recruitment status, and reason unfilled. Personal identifiers may be redacted or coded where appropriate.</w:t>
      </w:r>
    </w:p>
    <w:p>
      <w:pPr>
        <w:pStyle w:val="ListNumber"/>
      </w:pPr>
      <w:r>
        <w:rPr>
          <w:rFonts w:ascii="Calibri" w:hAnsi="Calibri" w:eastAsia="Calibri"/>
          <w:b w:val="0"/>
          <w:color w:val="000000"/>
        </w:rPr>
        <w:t>Produce all job postings, applicant counts, hiring requests, hiring freezes, canceled requisitions, and turnover data for the same period.</w:t>
      </w:r>
    </w:p>
    <w:p>
      <w:pPr>
        <w:pStyle w:val="ListNumber"/>
      </w:pPr>
      <w:r>
        <w:rPr>
          <w:rFonts w:ascii="Calibri" w:hAnsi="Calibri" w:eastAsia="Calibri"/>
          <w:b w:val="0"/>
          <w:color w:val="000000"/>
        </w:rPr>
        <w:t>Produce overtime, holdover, call-in, temporary assignment, missed-shift, and absenteeism data for the same period.</w:t>
      </w:r>
    </w:p>
    <w:p>
      <w:pPr>
        <w:pStyle w:val="ListNumber"/>
      </w:pPr>
      <w:r>
        <w:rPr>
          <w:rFonts w:ascii="Calibri" w:hAnsi="Calibri" w:eastAsia="Calibri"/>
          <w:b w:val="0"/>
          <w:color w:val="000000"/>
        </w:rPr>
        <w:t>Produce records of bargaining-unit work performed by supervisors, managers, City employees, temporary agencies, subcontractors, or other non-unit personnel.</w:t>
      </w:r>
    </w:p>
    <w:p>
      <w:pPr>
        <w:pStyle w:val="ListNumber"/>
      </w:pPr>
      <w:r>
        <w:rPr>
          <w:rFonts w:ascii="Calibri" w:hAnsi="Calibri" w:eastAsia="Calibri"/>
          <w:b w:val="0"/>
          <w:color w:val="000000"/>
        </w:rPr>
        <w:t>Produce workload, preventive-maintenance backlog, work-order aging, service-level failures, penalties, safety events, and customer complaints relevant to staffing.</w:t>
      </w:r>
    </w:p>
    <w:p>
      <w:pPr>
        <w:pStyle w:val="ListNumber"/>
      </w:pPr>
      <w:r>
        <w:rPr>
          <w:rFonts w:ascii="Calibri" w:hAnsi="Calibri" w:eastAsia="Calibri"/>
          <w:b w:val="0"/>
          <w:color w:val="000000"/>
        </w:rPr>
        <w:t>Identify every planned reassignment, subcontract, schedule change, closure, transfer of work, or change in City-contract scope connected to the proposed layoffs.</w:t>
      </w:r>
    </w:p>
    <w:p>
      <w:pPr>
        <w:pStyle w:val="Heading3"/>
      </w:pPr>
      <w:r>
        <w:rPr>
          <w:rFonts w:ascii="Calibri" w:hAnsi="Calibri" w:eastAsia="Calibri"/>
          <w:b w:val="0"/>
          <w:color w:val="000000"/>
        </w:rPr>
        <w:t>City contract and financial basis</w:t>
      </w:r>
    </w:p>
    <w:p>
      <w:pPr>
        <w:pStyle w:val="ListNumber"/>
      </w:pPr>
      <w:r>
        <w:rPr>
          <w:rFonts w:ascii="Calibri" w:hAnsi="Calibri" w:eastAsia="Calibri"/>
          <w:b w:val="0"/>
          <w:color w:val="000000"/>
        </w:rPr>
        <w:t>Produce the portions of the City of Philadelphia contract, amendments, change orders, scope documents, staffing assumptions, service levels, performance metrics, payment changes, and renewal/termination notices relevant to bargaining-unit work and the asserted need for layoffs.</w:t>
      </w:r>
    </w:p>
    <w:p>
      <w:pPr>
        <w:pStyle w:val="ListNumber"/>
      </w:pPr>
      <w:r>
        <w:rPr>
          <w:rFonts w:ascii="Calibri" w:hAnsi="Calibri" w:eastAsia="Calibri"/>
          <w:b w:val="0"/>
          <w:color w:val="000000"/>
        </w:rPr>
        <w:t>Identify whether the employer claims an inability to pay, an unwillingness to pay, a loss of revenue, a reduced scope, or another basis for its wage and layoff proposals.</w:t>
      </w:r>
    </w:p>
    <w:p>
      <w:pPr>
        <w:pStyle w:val="ListNumber"/>
      </w:pPr>
      <w:r>
        <w:rPr>
          <w:rFonts w:ascii="Calibri" w:hAnsi="Calibri" w:eastAsia="Calibri"/>
          <w:b w:val="0"/>
          <w:color w:val="000000"/>
        </w:rPr>
        <w:t>Produce data sufficient to substantiate any factual claim used to support the proposal. If confidentiality is asserted, state the basis and propose a reasonable confidentiality arrangement rather than withholding the information categorically.</w:t>
      </w:r>
    </w:p>
    <w:p>
      <w:pPr>
        <w:pStyle w:val="Heading3"/>
      </w:pPr>
      <w:r>
        <w:rPr>
          <w:rFonts w:ascii="Calibri" w:hAnsi="Calibri" w:eastAsia="Calibri"/>
          <w:b w:val="0"/>
          <w:color w:val="000000"/>
        </w:rPr>
        <w:t>Bargaining and implementation</w:t>
      </w:r>
    </w:p>
    <w:p>
      <w:pPr>
        <w:pStyle w:val="ListNumber"/>
      </w:pPr>
      <w:r>
        <w:rPr>
          <w:rFonts w:ascii="Calibri" w:hAnsi="Calibri" w:eastAsia="Calibri"/>
          <w:b w:val="0"/>
          <w:color w:val="000000"/>
        </w:rPr>
        <w:t>Confirm that the employer will provide notice and bargain with the union before changing mandatory terms and conditions of employment, except to the extent counsel advises that a lawful exception applies.</w:t>
      </w:r>
    </w:p>
    <w:p>
      <w:pPr>
        <w:pStyle w:val="ListNumber"/>
      </w:pPr>
      <w:r>
        <w:rPr>
          <w:rFonts w:ascii="Calibri" w:hAnsi="Calibri" w:eastAsia="Calibri"/>
          <w:b w:val="0"/>
          <w:color w:val="000000"/>
        </w:rPr>
        <w:t>Confirm that no disputed impasse will be used to implement terms without written notice identifying the asserted impasse date and the specific pre-impasse proposal to be implemented.</w:t>
      </w:r>
    </w:p>
    <w:p>
      <w:pPr>
        <w:pStyle w:val="ListNumber"/>
      </w:pPr>
      <w:r>
        <w:rPr>
          <w:rFonts w:ascii="Calibri" w:hAnsi="Calibri" w:eastAsia="Calibri"/>
          <w:b w:val="0"/>
          <w:color w:val="000000"/>
        </w:rPr>
        <w:t>Bargain over the layoff decision to the extent legally required and, in all events, bargain over effects including selection, timing, transfer, bumping, recall, benefits, severance, and alternatives.</w:t>
      </w:r>
    </w:p>
    <w:p>
      <w:pPr>
        <w:pStyle w:val="ListNumber"/>
      </w:pPr>
      <w:r>
        <w:rPr>
          <w:rFonts w:ascii="Calibri" w:hAnsi="Calibri" w:eastAsia="Calibri"/>
          <w:b w:val="0"/>
          <w:color w:val="000000"/>
        </w:rPr>
        <w:t>Preserve all records relevant to proposals, staffing, vacancies, layoffs, subcontracting, City-contract scope, and bargaining.</w:t>
      </w:r>
    </w:p>
    <w:p>
      <w:pPr>
        <w:pStyle w:val="ListNumber"/>
      </w:pPr>
      <w:r>
        <w:rPr>
          <w:rFonts w:ascii="Calibri" w:hAnsi="Calibri" w:eastAsia="Calibri"/>
          <w:b w:val="0"/>
          <w:color w:val="000000"/>
        </w:rPr>
        <w:t>Produce responsive records on a rolling basis, identify withheld categories and reasons, and meet promptly to resolve scope or confidentiality concerns.</w:t>
      </w:r>
    </w:p>
    <w:p>
      <w:pPr>
        <w:pStyle w:val="Heading2"/>
      </w:pPr>
      <w:r>
        <w:rPr>
          <w:rFonts w:ascii="Calibri" w:hAnsi="Calibri" w:eastAsia="Calibri"/>
          <w:b w:val="0"/>
          <w:color w:val="000000"/>
        </w:rPr>
        <w:t>D. Alternatives to test before accepting layoffs</w:t>
      </w:r>
    </w:p>
    <w:p>
      <w:pPr>
        <w:pStyle w:val="ListBullet"/>
      </w:pPr>
      <w:r>
        <w:rPr>
          <w:rFonts w:ascii="Calibri" w:hAnsi="Calibri" w:eastAsia="Calibri"/>
          <w:b w:val="0"/>
          <w:color w:val="000000"/>
        </w:rPr>
        <w:t>Fill or repost vacancies before eliminating occupied positions.</w:t>
      </w:r>
    </w:p>
    <w:p>
      <w:pPr>
        <w:pStyle w:val="ListBullet"/>
      </w:pPr>
      <w:r>
        <w:rPr>
          <w:rFonts w:ascii="Calibri" w:hAnsi="Calibri" w:eastAsia="Calibri"/>
          <w:b w:val="0"/>
          <w:color w:val="000000"/>
        </w:rPr>
        <w:t>Use attrition, voluntary transfer, voluntary separation, or temporary vacancy controls.</w:t>
      </w:r>
    </w:p>
    <w:p>
      <w:pPr>
        <w:pStyle w:val="ListBullet"/>
      </w:pPr>
      <w:r>
        <w:rPr>
          <w:rFonts w:ascii="Calibri" w:hAnsi="Calibri" w:eastAsia="Calibri"/>
          <w:b w:val="0"/>
          <w:color w:val="000000"/>
        </w:rPr>
        <w:t>Reduce outside contracting or non-unit performance of unit work where the CBA and law permit.</w:t>
      </w:r>
    </w:p>
    <w:p>
      <w:pPr>
        <w:pStyle w:val="ListBullet"/>
      </w:pPr>
      <w:r>
        <w:rPr>
          <w:rFonts w:ascii="Calibri" w:hAnsi="Calibri" w:eastAsia="Calibri"/>
          <w:b w:val="0"/>
          <w:color w:val="000000"/>
        </w:rPr>
        <w:t>Reassign employees across facilities or shifts with training and license protection.</w:t>
      </w:r>
    </w:p>
    <w:p>
      <w:pPr>
        <w:pStyle w:val="ListBullet"/>
      </w:pPr>
      <w:r>
        <w:rPr>
          <w:rFonts w:ascii="Calibri" w:hAnsi="Calibri" w:eastAsia="Calibri"/>
          <w:b w:val="0"/>
          <w:color w:val="000000"/>
        </w:rPr>
        <w:t>Use a recall guarantee, benefit bridge, severance, and priority placement if layoffs cannot be avoided.</w:t>
      </w:r>
    </w:p>
    <w:p>
      <w:pPr>
        <w:pStyle w:val="ListBullet"/>
      </w:pPr>
      <w:r>
        <w:rPr>
          <w:rFonts w:ascii="Calibri" w:hAnsi="Calibri" w:eastAsia="Calibri"/>
          <w:b w:val="0"/>
          <w:color w:val="000000"/>
        </w:rPr>
        <w:t>Tie any staffing flexibility to enforceable minimums, vacancy-posting deadlines, quarterly reporting, and a fast grievance/arbitration path.</w:t>
      </w:r>
    </w:p>
    <w:p>
      <w:pPr>
        <w:pStyle w:val="ListBullet"/>
      </w:pPr>
      <w:r>
        <w:rPr>
          <w:rFonts w:ascii="Calibri" w:hAnsi="Calibri" w:eastAsia="Calibri"/>
          <w:b w:val="0"/>
          <w:color w:val="000000"/>
        </w:rPr>
        <w:t>Seek City contract change orders or service-level adjustments that fund needed staffing.</w:t>
      </w:r>
    </w:p>
    <w:p>
      <w:r>
        <w:br w:type="page"/>
      </w:r>
    </w:p>
    <w:p>
      <w:pPr>
        <w:pStyle w:val="Heading1"/>
      </w:pPr>
      <w:r>
        <w:rPr>
          <w:rFonts w:ascii="Calibri" w:hAnsi="Calibri" w:eastAsia="Calibri"/>
          <w:b w:val="0"/>
          <w:color w:val="000000"/>
        </w:rPr>
        <w:t>3. Contract and staffing clause checklist</w:t>
      </w:r>
    </w:p>
    <w:p>
      <w:pPr>
        <w:pStyle w:val="Heading2"/>
      </w:pPr>
      <w:r>
        <w:rPr>
          <w:rFonts w:ascii="Calibri" w:hAnsi="Calibri" w:eastAsia="Calibri"/>
          <w:b w:val="0"/>
          <w:color w:val="000000"/>
        </w:rPr>
        <w:t>How to use the checklist</w:t>
      </w:r>
    </w:p>
    <w:p>
      <w:r>
        <w:rPr>
          <w:rFonts w:ascii="Calibri" w:hAnsi="Calibri" w:eastAsia="Calibri"/>
          <w:b w:val="0"/>
          <w:color w:val="000000"/>
        </w:rPr>
        <w:t xml:space="preserve">For each item, paste the </w:t>
      </w:r>
      <w:r>
        <w:rPr>
          <w:rFonts w:ascii="Calibri" w:hAnsi="Calibri" w:eastAsia="Calibri"/>
          <w:b/>
          <w:color w:val="000000"/>
        </w:rPr>
        <w:t>exact text</w:t>
      </w:r>
      <w:r>
        <w:rPr>
          <w:rFonts w:ascii="Calibri" w:hAnsi="Calibri" w:eastAsia="Calibri"/>
          <w:b w:val="0"/>
          <w:color w:val="000000"/>
        </w:rPr>
        <w:t>, page, article, side-letter reference, and expiration/survival language. Do not rely on a summary. Mark whether the provision is contractual only, a continuing term or condition, a past practice, or disputed. Have counsel assess survival and enforceability after expiration.</w:t>
      </w:r>
    </w:p>
    <w:tbl>
      <w:tblPr>
        <w:tblStyle w:val="TableGrid"/>
        <w:tblW w:type="dxa" w:w="9360"/>
        <w:tblLayout w:type="fixed"/>
        <w:tblLook w:firstColumn="1" w:firstRow="1" w:lastColumn="0" w:lastRow="0" w:noHBand="0" w:noVBand="1" w:val="04A0"/>
        <w:jc w:val="left"/>
        <w:tblBorders>
          <w:top w:val="single" w:sz="4" w:space="0" w:color="B8C2CE"/>
          <w:left w:val="single" w:sz="4" w:space="0" w:color="B8C2CE"/>
          <w:bottom w:val="single" w:sz="4" w:space="0" w:color="B8C2CE"/>
          <w:right w:val="single" w:sz="4" w:space="0" w:color="B8C2CE"/>
          <w:insideH w:val="single" w:sz="4" w:space="0" w:color="B8C2CE"/>
          <w:insideV w:val="single" w:sz="4" w:space="0" w:color="B8C2CE"/>
        </w:tblBorders>
        <w:tblInd w:w="120" w:type="dxa"/>
      </w:tblPr>
      <w:tblGrid>
        <w:gridCol w:w="1500"/>
        <w:gridCol w:w="2900"/>
        <w:gridCol w:w="2400"/>
        <w:gridCol w:w="2560"/>
      </w:tblGrid>
      <w:tr>
        <w:trPr>
          <w:cantSplit/>
          <w:tblHeader w:val="true"/>
        </w:trPr>
        <w:tc>
          <w:tcPr>
            <w:tcW w:type="dxa" w:w="150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Clause / record</w:t>
            </w:r>
          </w:p>
        </w:tc>
        <w:tc>
          <w:tcPr>
            <w:tcW w:type="dxa" w:w="290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Exact text and location</w:t>
            </w:r>
          </w:p>
        </w:tc>
        <w:tc>
          <w:tcPr>
            <w:tcW w:type="dxa" w:w="240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Questions to answer</w:t>
            </w:r>
          </w:p>
        </w:tc>
        <w:tc>
          <w:tcPr>
            <w:tcW w:type="dxa" w:w="256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Evidence / action</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Parties and legal employer</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Is the employer U.S. Facilities, Inc., another affiliate, or a joint-employer arrangement? Who signs?</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Signature page; corporate name; City contract</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Recognition and unit scope</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Which classifications, facilities, and employees are included/excluded? Are guards or supervisors excluded under the NLRA?</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Recognition clause; NLRB certification/recognition</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Duration, renewal, and termination</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Exact expiration? Automatic renewal? Notice method? Reopener?</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Article and notices</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Extension agreement</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Written or verbal? What dates and provisions? Who had authority? Consideration?</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Signed document/messages; counsel review</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Entire-agreement / zipper / waiver</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Does it limit midterm claims or past practice? Does it survive?</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Exact clause and bargaining history</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Management rights</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Staffing, assignment, subcontracting, layoff, scheduling rights? Does clause expire?</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Exact text; post-expiration legal review</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Wage schedules</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Rates, steps, progression, differentials, premiums, retroactivity</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All wage tables; payroll examples</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Benefits and employee contributions</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Health, pension, leave, disability, licenses, tools; offsets to wage proposal</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Plan documents and contribution schedules</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Hours and schedules</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Regular hours, shifts, rotating schedules, notice, changes</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Schedules and past practice</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Overtime and mandatory overtime</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Distribution, equalization, holdovers, refusal, fatigue safeguards</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Overtime lists; payroll; safety records</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Minimum staffing / complement</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Floor or ceiling? By classification/site/shift? Mandatory or aspirational? Remedy?</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Exact language; staffing reports</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Staffing-limit language</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Does it limit total positions, layoffs, vacancies, subcontracting, or City's scope?</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CBA, side letters, bargaining notes</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Vacancy filling</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Posting deadline, recruitment, temporary coverage, penalty/remedy</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Postings and vacancy aging</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Job posting and bidding</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Eligibility, seniority, qualifications, trial period, appeals</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Posting files</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Classification and job descriptions</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Can work be reassigned? Are licenses required?</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Job descriptions and licenses</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Seniority</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Unit, classification, facility, tie-breaker, break in service</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Seniority list</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Layoff procedure</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Notice, order, volunteers, classification/site scope</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Proposed list and exact clause</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Bumping and transfer</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Who can displace whom? Qualification and training rules?</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Skills/licensing matrix</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Recall</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Duration, order, notice method, response time, benefit restoration</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Recall clause and contact procedure</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Severance / benefit bridge</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Required or negotiable?</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CBA and proposal</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Subcontracting</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Notice, bargaining, limits, unit-work preservation, emergency exception</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Vendor records and City contract</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Supervisors/non-unit employees doing unit work</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Prohibition, exceptions, remedies</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Work logs and grievances</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Temporary/agency employees</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Limits, conversion, duration, wage parity</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Agency invoices and rosters</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Safety and health</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Staffing-related hazards, committees, stop-work or reporting process</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Safety clause; incident reports</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Prison security and continuity</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Required staffing, access, licensing, emergency handoff</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Policies that can lawfully be shared; counsel review</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Training and licensing</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Employer-paid training, renewals, promotion qualification</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Training records</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Work orders and workload</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Standards, preventive maintenance, backlog, assignment</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Work-order system reports</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Discipline and just cause</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Does just cause continue as status quo? How do grievances proceed after expiration?</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Clause; counsel review</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Grievance procedure</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Filing deadlines, steps, post-expiration processing</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Open grievance list</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Arbitration</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Does the duty to arbitrate survive for this dispute?</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Clause; dispute accrual date; counsel review</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No-strike / no-lockout</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Expiration or express extension? Scope, sympathy action, picketing</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Exact clause and extension; counsel review</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Union security and dues checkoff</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Post-expiration treatment and current law</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Clause and authorizations; counsel review</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Information and union access</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Steward access, bulletin boards, records, notice</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Exact provisions</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Successorship / sale / assignment</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Protection if City changes contractor?</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CBA and City procurement terms</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City contract flow-down</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Are staffing, wages, background checks, service levels, or labor peace incorporated?</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Prime contract, RFP, change orders</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Past practice</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Consistent staffing, vacancy, overtime, subcontracting practice</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Multi-year records and witnesses</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Remedies / expedited enforcement</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Make-whole, cease-and-desist, expedited arbitration, staffing reports</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Clause and prior settlements</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Savings / severability</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What happens if law or City contract changes?</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Exact clause</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Ratification / condition precedent</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Is member approval required by agreement, bylaws, or stated bargaining authority?</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Written notice to employer; bylaws</w:t>
            </w:r>
          </w:p>
        </w:tc>
      </w:tr>
      <w:tr>
        <w:trPr>
          <w:cantSplit/>
        </w:trPr>
        <w:tc>
          <w:tcPr>
            <w:tcW w:type="dxa" w:w="15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Side letters and MOUs</w:t>
            </w:r>
          </w:p>
        </w:tc>
        <w:tc>
          <w:tcPr>
            <w:tcW w:type="dxa" w:w="2900"/>
            <w:tcMar>
              <w:top w:w="100" w:type="dxa"/>
              <w:start w:w="120" w:type="dxa"/>
              <w:bottom w:w="100" w:type="dxa"/>
              <w:end w:w="120" w:type="dxa"/>
            </w:tcMar>
            <w:vAlign w:val="center"/>
          </w:tcPr>
          <w:p>
            <w:pPr>
              <w:spacing w:before="0" w:after="0" w:line="252" w:lineRule="auto"/>
              <w:jc w:val="left"/>
            </w:pPr>
            <w:r/>
          </w:p>
        </w:tc>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Do they expire separately? Were any omitted?</w:t>
            </w:r>
          </w:p>
        </w:tc>
        <w:tc>
          <w:tcPr>
            <w:tcW w:type="dxa" w:w="256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Complete index</w:t>
            </w:r>
          </w:p>
        </w:tc>
      </w:tr>
    </w:tbl>
    <w:p>
      <w:pPr>
        <w:spacing w:before="0" w:after="40"/>
      </w:pPr>
    </w:p>
    <w:p>
      <w:pPr>
        <w:pStyle w:val="Heading2"/>
      </w:pPr>
      <w:r>
        <w:rPr>
          <w:rFonts w:ascii="Calibri" w:hAnsi="Calibri" w:eastAsia="Calibri"/>
          <w:b w:val="0"/>
          <w:color w:val="000000"/>
        </w:rPr>
        <w:t>Staffing clause stress test</w:t>
      </w:r>
    </w:p>
    <w:p>
      <w:r>
        <w:rPr>
          <w:rFonts w:ascii="Calibri" w:hAnsi="Calibri" w:eastAsia="Calibri"/>
          <w:b w:val="0"/>
          <w:color w:val="000000"/>
        </w:rPr>
        <w:t>For any suspected staffing language, answer all of these:</w:t>
      </w:r>
    </w:p>
    <w:p>
      <w:pPr>
        <w:pStyle w:val="ListNumber"/>
      </w:pPr>
      <w:r>
        <w:rPr>
          <w:rFonts w:ascii="Calibri" w:hAnsi="Calibri" w:eastAsia="Calibri"/>
          <w:b w:val="0"/>
          <w:color w:val="000000"/>
        </w:rPr>
        <w:t xml:space="preserve">Is the number a </w:t>
      </w:r>
      <w:r>
        <w:rPr>
          <w:rFonts w:ascii="Calibri" w:hAnsi="Calibri" w:eastAsia="Calibri"/>
          <w:b/>
          <w:color w:val="000000"/>
        </w:rPr>
        <w:t>minimum</w:t>
      </w:r>
      <w:r>
        <w:rPr>
          <w:rFonts w:ascii="Calibri" w:hAnsi="Calibri" w:eastAsia="Calibri"/>
          <w:b w:val="0"/>
          <w:color w:val="000000"/>
        </w:rPr>
        <w:t xml:space="preserve">, a </w:t>
      </w:r>
      <w:r>
        <w:rPr>
          <w:rFonts w:ascii="Calibri" w:hAnsi="Calibri" w:eastAsia="Calibri"/>
          <w:b/>
          <w:color w:val="000000"/>
        </w:rPr>
        <w:t>maximum</w:t>
      </w:r>
      <w:r>
        <w:rPr>
          <w:rFonts w:ascii="Calibri" w:hAnsi="Calibri" w:eastAsia="Calibri"/>
          <w:b w:val="0"/>
          <w:color w:val="000000"/>
        </w:rPr>
        <w:t xml:space="preserve">, an </w:t>
      </w:r>
      <w:r>
        <w:rPr>
          <w:rFonts w:ascii="Calibri" w:hAnsi="Calibri" w:eastAsia="Calibri"/>
          <w:b/>
          <w:color w:val="000000"/>
        </w:rPr>
        <w:t>authorized complement</w:t>
      </w:r>
      <w:r>
        <w:rPr>
          <w:rFonts w:ascii="Calibri" w:hAnsi="Calibri" w:eastAsia="Calibri"/>
          <w:b w:val="0"/>
          <w:color w:val="000000"/>
        </w:rPr>
        <w:t>, or only a planning target?</w:t>
      </w:r>
    </w:p>
    <w:p>
      <w:pPr>
        <w:pStyle w:val="ListNumber"/>
      </w:pPr>
      <w:r>
        <w:rPr>
          <w:rFonts w:ascii="Calibri" w:hAnsi="Calibri" w:eastAsia="Calibri"/>
          <w:b w:val="0"/>
          <w:color w:val="000000"/>
        </w:rPr>
        <w:t>Does it apply to the entire unit or separately by facility, classification, shift, or function?</w:t>
      </w:r>
    </w:p>
    <w:p>
      <w:pPr>
        <w:pStyle w:val="ListNumber"/>
      </w:pPr>
      <w:r>
        <w:rPr>
          <w:rFonts w:ascii="Calibri" w:hAnsi="Calibri" w:eastAsia="Calibri"/>
          <w:b w:val="0"/>
          <w:color w:val="000000"/>
        </w:rPr>
        <w:t>Does it regulate filled positions, budgeted positions, headcount, full-time equivalents, or assignments per shift?</w:t>
      </w:r>
    </w:p>
    <w:p>
      <w:pPr>
        <w:pStyle w:val="ListNumber"/>
      </w:pPr>
      <w:r>
        <w:rPr>
          <w:rFonts w:ascii="Calibri" w:hAnsi="Calibri" w:eastAsia="Calibri"/>
          <w:b w:val="0"/>
          <w:color w:val="000000"/>
        </w:rPr>
        <w:t>Does it permit vacancies, attrition, temporary reductions, emergencies, lack of qualified applicants, or City-directed scope changes?</w:t>
      </w:r>
    </w:p>
    <w:p>
      <w:pPr>
        <w:pStyle w:val="ListNumber"/>
      </w:pPr>
      <w:r>
        <w:rPr>
          <w:rFonts w:ascii="Calibri" w:hAnsi="Calibri" w:eastAsia="Calibri"/>
          <w:b w:val="0"/>
          <w:color w:val="000000"/>
        </w:rPr>
        <w:t>Does the employer have a posting or hiring deadline?</w:t>
      </w:r>
    </w:p>
    <w:p>
      <w:pPr>
        <w:pStyle w:val="ListNumber"/>
      </w:pPr>
      <w:r>
        <w:rPr>
          <w:rFonts w:ascii="Calibri" w:hAnsi="Calibri" w:eastAsia="Calibri"/>
          <w:b w:val="0"/>
          <w:color w:val="000000"/>
        </w:rPr>
        <w:t>Can subcontractors, supervisors, City employees, or temporary workers perform the work?</w:t>
      </w:r>
    </w:p>
    <w:p>
      <w:pPr>
        <w:pStyle w:val="ListNumber"/>
      </w:pPr>
      <w:r>
        <w:rPr>
          <w:rFonts w:ascii="Calibri" w:hAnsi="Calibri" w:eastAsia="Calibri"/>
          <w:b w:val="0"/>
          <w:color w:val="000000"/>
        </w:rPr>
        <w:t>Is there a notice-and-bargaining requirement before any reduction?</w:t>
      </w:r>
    </w:p>
    <w:p>
      <w:pPr>
        <w:pStyle w:val="ListNumber"/>
      </w:pPr>
      <w:r>
        <w:rPr>
          <w:rFonts w:ascii="Calibri" w:hAnsi="Calibri" w:eastAsia="Calibri"/>
          <w:b w:val="0"/>
          <w:color w:val="000000"/>
        </w:rPr>
        <w:t>What remedy applies: hiring, posting, overtime, back pay, cease-and-desist, or expedited arbitration?</w:t>
      </w:r>
    </w:p>
    <w:p>
      <w:pPr>
        <w:pStyle w:val="ListNumber"/>
      </w:pPr>
      <w:r>
        <w:rPr>
          <w:rFonts w:ascii="Calibri" w:hAnsi="Calibri" w:eastAsia="Calibri"/>
          <w:b w:val="0"/>
          <w:color w:val="000000"/>
        </w:rPr>
        <w:t>Was the clause enforced before, and how did the parties interpret it?</w:t>
      </w:r>
    </w:p>
    <w:p>
      <w:pPr>
        <w:pStyle w:val="ListNumber"/>
      </w:pPr>
      <w:r>
        <w:rPr>
          <w:rFonts w:ascii="Calibri" w:hAnsi="Calibri" w:eastAsia="Calibri"/>
          <w:b w:val="0"/>
          <w:color w:val="000000"/>
        </w:rPr>
        <w:t>Does the clause or an extension expressly survive expiration?</w:t>
      </w:r>
    </w:p>
    <w:p>
      <w:pPr>
        <w:pStyle w:val="ListNumber"/>
      </w:pPr>
      <w:r>
        <w:rPr>
          <w:rFonts w:ascii="Calibri" w:hAnsi="Calibri" w:eastAsia="Calibri"/>
          <w:b w:val="0"/>
          <w:color w:val="000000"/>
        </w:rPr>
        <w:t>If it does not survive contractually, does the underlying staffing practice remain part of the statutory status quo?</w:t>
      </w:r>
    </w:p>
    <w:p>
      <w:pPr>
        <w:pStyle w:val="ListNumber"/>
      </w:pPr>
      <w:r>
        <w:rPr>
          <w:rFonts w:ascii="Calibri" w:hAnsi="Calibri" w:eastAsia="Calibri"/>
          <w:b w:val="0"/>
          <w:color w:val="000000"/>
        </w:rPr>
        <w:t>Could the employer lawfully change it after a genuine impasse, and was the change contained in a pre-impasse proposal?</w:t>
      </w:r>
    </w:p>
    <w:p>
      <w:r>
        <w:br w:type="page"/>
      </w:r>
    </w:p>
    <w:p>
      <w:pPr>
        <w:pStyle w:val="Heading1"/>
      </w:pPr>
      <w:r>
        <w:rPr>
          <w:rFonts w:ascii="Calibri" w:hAnsi="Calibri" w:eastAsia="Calibri"/>
          <w:b w:val="0"/>
          <w:color w:val="000000"/>
        </w:rPr>
        <w:t>4. Member petition and meeting motion draft</w:t>
      </w:r>
    </w:p>
    <w:p>
      <w:pPr>
        <w:pStyle w:val="Heading2"/>
      </w:pPr>
      <w:r>
        <w:rPr>
          <w:rFonts w:ascii="Calibri" w:hAnsi="Calibri" w:eastAsia="Calibri"/>
          <w:b w:val="0"/>
          <w:color w:val="000000"/>
        </w:rPr>
        <w:t>Before circulating</w:t>
      </w:r>
    </w:p>
    <w:p>
      <w:pPr>
        <w:pStyle w:val="ListBullet"/>
      </w:pPr>
      <w:r>
        <w:rPr>
          <w:rFonts w:ascii="Calibri" w:hAnsi="Calibri" w:eastAsia="Calibri"/>
          <w:b w:val="0"/>
          <w:color w:val="000000"/>
        </w:rPr>
        <w:t>Check Local 835 bylaws and the IUOE constitution for petition format, signature thresholds, meeting notice, agenda submission, quorum, and who may make a motion.</w:t>
      </w:r>
    </w:p>
    <w:p>
      <w:pPr>
        <w:pStyle w:val="ListBullet"/>
      </w:pPr>
      <w:r>
        <w:rPr>
          <w:rFonts w:ascii="Calibri" w:hAnsi="Calibri" w:eastAsia="Calibri"/>
          <w:b w:val="0"/>
          <w:color w:val="000000"/>
        </w:rPr>
        <w:t>Keep one clean master and number each circulated copy.</w:t>
      </w:r>
    </w:p>
    <w:p>
      <w:pPr>
        <w:pStyle w:val="ListBullet"/>
      </w:pPr>
      <w:r>
        <w:rPr>
          <w:rFonts w:ascii="Calibri" w:hAnsi="Calibri" w:eastAsia="Calibri"/>
          <w:b w:val="0"/>
          <w:color w:val="000000"/>
        </w:rPr>
        <w:t>Use a separate signature sheet if privacy is a concern. Do not include employee numbers or home addresses on a broadly circulated copy.</w:t>
      </w:r>
    </w:p>
    <w:p>
      <w:pPr>
        <w:pStyle w:val="ListBullet"/>
      </w:pPr>
      <w:r>
        <w:rPr>
          <w:rFonts w:ascii="Calibri" w:hAnsi="Calibri" w:eastAsia="Calibri"/>
          <w:b w:val="0"/>
          <w:color w:val="000000"/>
        </w:rPr>
        <w:t>Do not promise that every requested disclosure is a statutory right. Present the requests as prudent union governance and informed ratification safeguards.</w:t>
      </w:r>
    </w:p>
    <w:p>
      <w:pPr>
        <w:pStyle w:val="ListBullet"/>
      </w:pPr>
      <w:r>
        <w:rPr>
          <w:rFonts w:ascii="Calibri" w:hAnsi="Calibri" w:eastAsia="Calibri"/>
          <w:b w:val="0"/>
          <w:color w:val="000000"/>
        </w:rPr>
        <w:t>Do not combine this petition with any unauthorized strike call.</w:t>
      </w:r>
    </w:p>
    <w:p>
      <w:pPr>
        <w:pStyle w:val="Heading2"/>
      </w:pPr>
      <w:r>
        <w:rPr>
          <w:rFonts w:ascii="Calibri" w:hAnsi="Calibri" w:eastAsia="Calibri"/>
          <w:b w:val="0"/>
          <w:color w:val="000000"/>
        </w:rPr>
        <w:t>Petition to Local 835</w:t>
      </w:r>
    </w:p>
    <w:p>
      <w:r>
        <w:rPr>
          <w:rFonts w:ascii="Calibri" w:hAnsi="Calibri" w:eastAsia="Calibri"/>
          <w:b/>
          <w:color w:val="000000"/>
        </w:rPr>
        <w:t>To:</w:t>
      </w:r>
      <w:r>
        <w:rPr>
          <w:rFonts w:ascii="Calibri" w:hAnsi="Calibri" w:eastAsia="Calibri"/>
          <w:b w:val="0"/>
          <w:color w:val="000000"/>
        </w:rPr>
        <w:t xml:space="preserve"> President, Executive Board, Recording Secretary, and Bargaining Committee of IUOE Local 835 </w:t>
      </w:r>
      <w:r>
        <w:rPr>
          <w:rFonts w:ascii="Calibri" w:hAnsi="Calibri" w:eastAsia="Calibri"/>
          <w:b/>
          <w:color w:val="000000"/>
        </w:rPr>
        <w:t>From:</w:t>
      </w:r>
      <w:r>
        <w:rPr>
          <w:rFonts w:ascii="Calibri" w:hAnsi="Calibri" w:eastAsia="Calibri"/>
          <w:b w:val="0"/>
          <w:color w:val="000000"/>
        </w:rPr>
        <w:t xml:space="preserve"> Undersigned members in the U.S. Facilities bargaining unit serving Philadelphia Department of Prisons facilities </w:t>
      </w:r>
      <w:r>
        <w:rPr>
          <w:rFonts w:ascii="Calibri" w:hAnsi="Calibri" w:eastAsia="Calibri"/>
          <w:b/>
          <w:color w:val="000000"/>
        </w:rPr>
        <w:t>Date:</w:t>
      </w:r>
      <w:r>
        <w:rPr>
          <w:rFonts w:ascii="Calibri" w:hAnsi="Calibri" w:eastAsia="Calibri"/>
          <w:b w:val="0"/>
          <w:color w:val="000000"/>
        </w:rPr>
        <w:t xml:space="preserve"> ____________________ </w:t>
      </w:r>
      <w:r>
        <w:rPr>
          <w:rFonts w:ascii="Calibri" w:hAnsi="Calibri" w:eastAsia="Calibri"/>
          <w:b/>
          <w:color w:val="000000"/>
        </w:rPr>
        <w:t>Re:</w:t>
      </w:r>
      <w:r>
        <w:rPr>
          <w:rFonts w:ascii="Calibri" w:hAnsi="Calibri" w:eastAsia="Calibri"/>
          <w:b w:val="0"/>
          <w:color w:val="000000"/>
        </w:rPr>
        <w:t xml:space="preserve"> Request for legal consultation, bargaining disclosure, and complete text before ratification</w:t>
      </w:r>
    </w:p>
    <w:p>
      <w:r>
        <w:rPr>
          <w:rFonts w:ascii="Calibri" w:hAnsi="Calibri" w:eastAsia="Calibri"/>
          <w:b w:val="0"/>
          <w:color w:val="000000"/>
        </w:rPr>
        <w:t>We, the undersigned members, support strong, lawful, and informed collective bargaining. We respectfully request the following actions so that members and their representatives can evaluate the reported wage, layoff, staffing, and contract-extension issues on a complete factual record.</w:t>
      </w:r>
    </w:p>
    <w:p>
      <w:pPr>
        <w:pStyle w:val="ListNumber"/>
      </w:pPr>
      <w:r>
        <w:rPr>
          <w:rFonts w:ascii="Calibri" w:hAnsi="Calibri" w:eastAsia="Calibri"/>
          <w:b/>
          <w:color w:val="000000"/>
        </w:rPr>
        <w:t>Legal consultation.</w:t>
      </w:r>
      <w:r>
        <w:rPr>
          <w:rFonts w:ascii="Calibri" w:hAnsi="Calibri" w:eastAsia="Calibri"/>
          <w:b w:val="0"/>
          <w:color w:val="000000"/>
        </w:rPr>
        <w:t xml:space="preserve"> Arrange promptly for an experienced Pennsylvania union-side labor lawyer, with no conflict involving the employer, to review the complete CBA and side letters, the reported extension or deadline, all current proposals and tentative agreements, the reported layoffs, staffing and vacancy records, relevant City-contract provisions, possible information requests, the status-quo and impasse issues, and lawful options. Provide members a non-privileged summary of the issues considered and the safeguards recommended, while preserving attorney-client privilege.</w:t>
      </w:r>
    </w:p>
    <w:p>
      <w:pPr>
        <w:pStyle w:val="ListNumber"/>
      </w:pPr>
      <w:r>
        <w:rPr>
          <w:rFonts w:ascii="Calibri" w:hAnsi="Calibri" w:eastAsia="Calibri"/>
          <w:b/>
          <w:color w:val="000000"/>
        </w:rPr>
        <w:t>Complete bargaining briefing.</w:t>
      </w:r>
      <w:r>
        <w:rPr>
          <w:rFonts w:ascii="Calibri" w:hAnsi="Calibri" w:eastAsia="Calibri"/>
          <w:b w:val="0"/>
          <w:color w:val="000000"/>
        </w:rPr>
        <w:t xml:space="preserve"> Provide unit members a dated written report identifying bargaining-session dates, attendees, all current union and employer proposals, counterproposals, withdrawn items, tentative agreements, package conditions, open items, and scheduled next steps. If any item is withheld, identify the category and explain the basis without disclosing privileged advice.</w:t>
      </w:r>
    </w:p>
    <w:p>
      <w:pPr>
        <w:pStyle w:val="ListNumber"/>
      </w:pPr>
      <w:r>
        <w:rPr>
          <w:rFonts w:ascii="Calibri" w:hAnsi="Calibri" w:eastAsia="Calibri"/>
          <w:b/>
          <w:color w:val="000000"/>
        </w:rPr>
        <w:t>Written extension record.</w:t>
      </w:r>
      <w:r>
        <w:rPr>
          <w:rFonts w:ascii="Calibri" w:hAnsi="Calibri" w:eastAsia="Calibri"/>
          <w:b w:val="0"/>
          <w:color w:val="000000"/>
        </w:rPr>
        <w:t xml:space="preserve"> Provide the complete writing, messages, or confirmed terms of any agreement or understanding concerning July 1 or August 31, including which CBA provisions were extended and who approved it.</w:t>
      </w:r>
    </w:p>
    <w:p>
      <w:pPr>
        <w:pStyle w:val="ListNumber"/>
      </w:pPr>
      <w:r>
        <w:rPr>
          <w:rFonts w:ascii="Calibri" w:hAnsi="Calibri" w:eastAsia="Calibri"/>
          <w:b/>
          <w:color w:val="000000"/>
        </w:rPr>
        <w:t>Employer information request.</w:t>
      </w:r>
      <w:r>
        <w:rPr>
          <w:rFonts w:ascii="Calibri" w:hAnsi="Calibri" w:eastAsia="Calibri"/>
          <w:b w:val="0"/>
          <w:color w:val="000000"/>
        </w:rPr>
        <w:t xml:space="preserve"> Send and diligently pursue a written request for information relevant to the reported layoffs and staffing issues, including authorized and actual headcount, vacancies, postings, overtime, subcontracting, work performed by non-unit personnel, work-order backlog, the asserted reason for layoffs, and relevant City-contract scope and payment changes. Use a reasonable confidentiality agreement if necessary.</w:t>
      </w:r>
    </w:p>
    <w:p>
      <w:pPr>
        <w:pStyle w:val="ListNumber"/>
      </w:pPr>
      <w:r>
        <w:rPr>
          <w:rFonts w:ascii="Calibri" w:hAnsi="Calibri" w:eastAsia="Calibri"/>
          <w:b/>
          <w:color w:val="000000"/>
        </w:rPr>
        <w:t>Complete text before ratification.</w:t>
      </w:r>
      <w:r>
        <w:rPr>
          <w:rFonts w:ascii="Calibri" w:hAnsi="Calibri" w:eastAsia="Calibri"/>
          <w:b w:val="0"/>
          <w:color w:val="000000"/>
        </w:rPr>
        <w:t xml:space="preserve"> Do not schedule or conduct a ratification vote until members receive the complete proposed CBA, every wage table, appendix, side letter, memorandum, and tentative agreement, together with a clear redline against the prior agreement. We request at least five calendar days for review and a member question-and-answer meeting, subject to any stronger requirement in the governing constitution or bylaws.</w:t>
      </w:r>
    </w:p>
    <w:p>
      <w:pPr>
        <w:pStyle w:val="ListNumber"/>
      </w:pPr>
      <w:r>
        <w:rPr>
          <w:rFonts w:ascii="Calibri" w:hAnsi="Calibri" w:eastAsia="Calibri"/>
          <w:b/>
          <w:color w:val="000000"/>
        </w:rPr>
        <w:t>Separate votes.</w:t>
      </w:r>
      <w:r>
        <w:rPr>
          <w:rFonts w:ascii="Calibri" w:hAnsi="Calibri" w:eastAsia="Calibri"/>
          <w:b w:val="0"/>
          <w:color w:val="000000"/>
        </w:rPr>
        <w:t xml:space="preserve"> Keep contract ratification separate from any strike-authorization question. Any strike-related action must follow the constitution, bylaws, lawful notice and authorization requirements, and advice of qualified union-side counsel.</w:t>
      </w:r>
    </w:p>
    <w:p>
      <w:pPr>
        <w:pStyle w:val="ListNumber"/>
      </w:pPr>
      <w:r>
        <w:rPr>
          <w:rFonts w:ascii="Calibri" w:hAnsi="Calibri" w:eastAsia="Calibri"/>
          <w:b/>
          <w:color w:val="000000"/>
        </w:rPr>
        <w:t>Written response.</w:t>
      </w:r>
      <w:r>
        <w:rPr>
          <w:rFonts w:ascii="Calibri" w:hAnsi="Calibri" w:eastAsia="Calibri"/>
          <w:b w:val="0"/>
          <w:color w:val="000000"/>
        </w:rPr>
        <w:t xml:space="preserve"> Provide a written response to this petition within five business days, identifying the responsible officer and completion date for each item.</w:t>
      </w:r>
    </w:p>
    <w:p>
      <w:r>
        <w:rPr>
          <w:rFonts w:ascii="Calibri" w:hAnsi="Calibri" w:eastAsia="Calibri"/>
          <w:b w:val="0"/>
          <w:color w:val="000000"/>
        </w:rPr>
        <w:t>This petition does not accuse any officer or bargaining-team member of misconduct, does not direct anyone to violate bargaining ground rules or privilege, and does not authorize a strike, slowdown, refusal of duty, or unsafe action. It asks the Local to strengthen the bargaining process through documents, informed member participation, and timely legal review.</w:t>
      </w:r>
    </w:p>
    <w:p>
      <w:pPr>
        <w:pStyle w:val="Heading3"/>
      </w:pPr>
      <w:r>
        <w:rPr>
          <w:rFonts w:ascii="Calibri" w:hAnsi="Calibri" w:eastAsia="Calibri"/>
          <w:b w:val="0"/>
          <w:color w:val="000000"/>
        </w:rPr>
        <w:t>Signatures</w:t>
      </w:r>
    </w:p>
    <w:tbl>
      <w:tblPr>
        <w:tblStyle w:val="TableGrid"/>
        <w:tblW w:type="dxa" w:w="9360"/>
        <w:tblLayout w:type="fixed"/>
        <w:tblLook w:firstColumn="1" w:firstRow="1" w:lastColumn="0" w:lastRow="0" w:noHBand="0" w:noVBand="1" w:val="04A0"/>
        <w:jc w:val="left"/>
        <w:tblBorders>
          <w:top w:val="single" w:sz="4" w:space="0" w:color="B8C2CE"/>
          <w:left w:val="single" w:sz="4" w:space="0" w:color="B8C2CE"/>
          <w:bottom w:val="single" w:sz="4" w:space="0" w:color="B8C2CE"/>
          <w:right w:val="single" w:sz="4" w:space="0" w:color="B8C2CE"/>
          <w:insideH w:val="single" w:sz="4" w:space="0" w:color="B8C2CE"/>
          <w:insideV w:val="single" w:sz="4" w:space="0" w:color="B8C2CE"/>
        </w:tblBorders>
        <w:tblInd w:w="120" w:type="dxa"/>
      </w:tblPr>
      <w:tblGrid>
        <w:gridCol w:w="700"/>
        <w:gridCol w:w="2500"/>
        <w:gridCol w:w="3400"/>
        <w:gridCol w:w="2760"/>
      </w:tblGrid>
      <w:tr>
        <w:trPr>
          <w:cantSplit/>
          <w:tblHeader w:val="true"/>
        </w:trPr>
        <w:tc>
          <w:tcPr>
            <w:tcW w:type="dxa" w:w="70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Printed name</w:t>
            </w:r>
          </w:p>
        </w:tc>
        <w:tc>
          <w:tcPr>
            <w:tcW w:type="dxa" w:w="250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Signature</w:t>
            </w:r>
          </w:p>
        </w:tc>
        <w:tc>
          <w:tcPr>
            <w:tcW w:type="dxa" w:w="340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Date</w:t>
            </w:r>
          </w:p>
        </w:tc>
        <w:tc>
          <w:tcPr>
            <w:tcW w:type="dxa" w:w="276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Personal contact, optional</w:t>
            </w:r>
          </w:p>
        </w:tc>
      </w:tr>
      <w:tr>
        <w:trPr>
          <w:cantSplit/>
          <w:trHeight w:val="430" w:hRule="atLeast"/>
        </w:trPr>
        <w:tc>
          <w:tcPr>
            <w:tcW w:type="dxa" w:w="700"/>
            <w:tcMar>
              <w:top w:w="100" w:type="dxa"/>
              <w:start w:w="120" w:type="dxa"/>
              <w:bottom w:w="100" w:type="dxa"/>
              <w:end w:w="120" w:type="dxa"/>
            </w:tcMar>
            <w:vAlign w:val="center"/>
          </w:tcPr>
          <w:p>
            <w:pPr>
              <w:spacing w:before="0" w:after="0" w:line="252" w:lineRule="auto"/>
              <w:jc w:val="left"/>
            </w:pPr>
            <w:r/>
          </w:p>
        </w:tc>
        <w:tc>
          <w:tcPr>
            <w:tcW w:type="dxa" w:w="2500"/>
            <w:tcMar>
              <w:top w:w="100" w:type="dxa"/>
              <w:start w:w="120" w:type="dxa"/>
              <w:bottom w:w="100" w:type="dxa"/>
              <w:end w:w="120" w:type="dxa"/>
            </w:tcMar>
            <w:vAlign w:val="center"/>
          </w:tcPr>
          <w:p>
            <w:pPr>
              <w:spacing w:before="0" w:after="0" w:line="252" w:lineRule="auto"/>
              <w:jc w:val="left"/>
            </w:pPr>
            <w:r/>
          </w:p>
        </w:tc>
        <w:tc>
          <w:tcPr>
            <w:tcW w:type="dxa" w:w="3400"/>
            <w:tcMar>
              <w:top w:w="100" w:type="dxa"/>
              <w:start w:w="120" w:type="dxa"/>
              <w:bottom w:w="100" w:type="dxa"/>
              <w:end w:w="120" w:type="dxa"/>
            </w:tcMar>
            <w:vAlign w:val="center"/>
          </w:tcPr>
          <w:p>
            <w:pPr>
              <w:spacing w:before="0" w:after="0" w:line="252" w:lineRule="auto"/>
              <w:jc w:val="left"/>
            </w:pPr>
            <w:r/>
          </w:p>
        </w:tc>
        <w:tc>
          <w:tcPr>
            <w:tcW w:type="dxa" w:w="2760"/>
            <w:tcMar>
              <w:top w:w="100" w:type="dxa"/>
              <w:start w:w="120" w:type="dxa"/>
              <w:bottom w:w="100" w:type="dxa"/>
              <w:end w:w="120" w:type="dxa"/>
            </w:tcMar>
            <w:vAlign w:val="center"/>
          </w:tcPr>
          <w:p>
            <w:pPr>
              <w:spacing w:before="0" w:after="0" w:line="252" w:lineRule="auto"/>
              <w:jc w:val="left"/>
            </w:pPr>
            <w:r/>
          </w:p>
        </w:tc>
      </w:tr>
      <w:tr>
        <w:trPr>
          <w:cantSplit/>
          <w:trHeight w:val="430" w:hRule="atLeast"/>
        </w:trPr>
        <w:tc>
          <w:tcPr>
            <w:tcW w:type="dxa" w:w="700"/>
            <w:tcMar>
              <w:top w:w="100" w:type="dxa"/>
              <w:start w:w="120" w:type="dxa"/>
              <w:bottom w:w="100" w:type="dxa"/>
              <w:end w:w="120" w:type="dxa"/>
            </w:tcMar>
            <w:vAlign w:val="center"/>
          </w:tcPr>
          <w:p>
            <w:pPr>
              <w:spacing w:before="0" w:after="0" w:line="252" w:lineRule="auto"/>
              <w:jc w:val="left"/>
            </w:pPr>
            <w:r/>
          </w:p>
        </w:tc>
        <w:tc>
          <w:tcPr>
            <w:tcW w:type="dxa" w:w="2500"/>
            <w:tcMar>
              <w:top w:w="100" w:type="dxa"/>
              <w:start w:w="120" w:type="dxa"/>
              <w:bottom w:w="100" w:type="dxa"/>
              <w:end w:w="120" w:type="dxa"/>
            </w:tcMar>
            <w:vAlign w:val="center"/>
          </w:tcPr>
          <w:p>
            <w:pPr>
              <w:spacing w:before="0" w:after="0" w:line="252" w:lineRule="auto"/>
              <w:jc w:val="left"/>
            </w:pPr>
            <w:r/>
          </w:p>
        </w:tc>
        <w:tc>
          <w:tcPr>
            <w:tcW w:type="dxa" w:w="3400"/>
            <w:tcMar>
              <w:top w:w="100" w:type="dxa"/>
              <w:start w:w="120" w:type="dxa"/>
              <w:bottom w:w="100" w:type="dxa"/>
              <w:end w:w="120" w:type="dxa"/>
            </w:tcMar>
            <w:vAlign w:val="center"/>
          </w:tcPr>
          <w:p>
            <w:pPr>
              <w:spacing w:before="0" w:after="0" w:line="252" w:lineRule="auto"/>
              <w:jc w:val="left"/>
            </w:pPr>
            <w:r/>
          </w:p>
        </w:tc>
        <w:tc>
          <w:tcPr>
            <w:tcW w:type="dxa" w:w="2760"/>
            <w:tcMar>
              <w:top w:w="100" w:type="dxa"/>
              <w:start w:w="120" w:type="dxa"/>
              <w:bottom w:w="100" w:type="dxa"/>
              <w:end w:w="120" w:type="dxa"/>
            </w:tcMar>
            <w:vAlign w:val="center"/>
          </w:tcPr>
          <w:p>
            <w:pPr>
              <w:spacing w:before="0" w:after="0" w:line="252" w:lineRule="auto"/>
              <w:jc w:val="left"/>
            </w:pPr>
            <w:r/>
          </w:p>
        </w:tc>
      </w:tr>
      <w:tr>
        <w:trPr>
          <w:cantSplit/>
          <w:trHeight w:val="430" w:hRule="atLeast"/>
        </w:trPr>
        <w:tc>
          <w:tcPr>
            <w:tcW w:type="dxa" w:w="700"/>
            <w:tcMar>
              <w:top w:w="100" w:type="dxa"/>
              <w:start w:w="120" w:type="dxa"/>
              <w:bottom w:w="100" w:type="dxa"/>
              <w:end w:w="120" w:type="dxa"/>
            </w:tcMar>
            <w:vAlign w:val="center"/>
          </w:tcPr>
          <w:p>
            <w:pPr>
              <w:spacing w:before="0" w:after="0" w:line="252" w:lineRule="auto"/>
              <w:jc w:val="left"/>
            </w:pPr>
            <w:r/>
          </w:p>
        </w:tc>
        <w:tc>
          <w:tcPr>
            <w:tcW w:type="dxa" w:w="2500"/>
            <w:tcMar>
              <w:top w:w="100" w:type="dxa"/>
              <w:start w:w="120" w:type="dxa"/>
              <w:bottom w:w="100" w:type="dxa"/>
              <w:end w:w="120" w:type="dxa"/>
            </w:tcMar>
            <w:vAlign w:val="center"/>
          </w:tcPr>
          <w:p>
            <w:pPr>
              <w:spacing w:before="0" w:after="0" w:line="252" w:lineRule="auto"/>
              <w:jc w:val="left"/>
            </w:pPr>
            <w:r/>
          </w:p>
        </w:tc>
        <w:tc>
          <w:tcPr>
            <w:tcW w:type="dxa" w:w="3400"/>
            <w:tcMar>
              <w:top w:w="100" w:type="dxa"/>
              <w:start w:w="120" w:type="dxa"/>
              <w:bottom w:w="100" w:type="dxa"/>
              <w:end w:w="120" w:type="dxa"/>
            </w:tcMar>
            <w:vAlign w:val="center"/>
          </w:tcPr>
          <w:p>
            <w:pPr>
              <w:spacing w:before="0" w:after="0" w:line="252" w:lineRule="auto"/>
              <w:jc w:val="left"/>
            </w:pPr>
            <w:r/>
          </w:p>
        </w:tc>
        <w:tc>
          <w:tcPr>
            <w:tcW w:type="dxa" w:w="2760"/>
            <w:tcMar>
              <w:top w:w="100" w:type="dxa"/>
              <w:start w:w="120" w:type="dxa"/>
              <w:bottom w:w="100" w:type="dxa"/>
              <w:end w:w="120" w:type="dxa"/>
            </w:tcMar>
            <w:vAlign w:val="center"/>
          </w:tcPr>
          <w:p>
            <w:pPr>
              <w:spacing w:before="0" w:after="0" w:line="252" w:lineRule="auto"/>
              <w:jc w:val="left"/>
            </w:pPr>
            <w:r/>
          </w:p>
        </w:tc>
      </w:tr>
      <w:tr>
        <w:trPr>
          <w:cantSplit/>
          <w:trHeight w:val="430" w:hRule="atLeast"/>
        </w:trPr>
        <w:tc>
          <w:tcPr>
            <w:tcW w:type="dxa" w:w="700"/>
            <w:tcMar>
              <w:top w:w="100" w:type="dxa"/>
              <w:start w:w="120" w:type="dxa"/>
              <w:bottom w:w="100" w:type="dxa"/>
              <w:end w:w="120" w:type="dxa"/>
            </w:tcMar>
            <w:vAlign w:val="center"/>
          </w:tcPr>
          <w:p>
            <w:pPr>
              <w:spacing w:before="0" w:after="0" w:line="252" w:lineRule="auto"/>
              <w:jc w:val="left"/>
            </w:pPr>
            <w:r/>
          </w:p>
        </w:tc>
        <w:tc>
          <w:tcPr>
            <w:tcW w:type="dxa" w:w="2500"/>
            <w:tcMar>
              <w:top w:w="100" w:type="dxa"/>
              <w:start w:w="120" w:type="dxa"/>
              <w:bottom w:w="100" w:type="dxa"/>
              <w:end w:w="120" w:type="dxa"/>
            </w:tcMar>
            <w:vAlign w:val="center"/>
          </w:tcPr>
          <w:p>
            <w:pPr>
              <w:spacing w:before="0" w:after="0" w:line="252" w:lineRule="auto"/>
              <w:jc w:val="left"/>
            </w:pPr>
            <w:r/>
          </w:p>
        </w:tc>
        <w:tc>
          <w:tcPr>
            <w:tcW w:type="dxa" w:w="3400"/>
            <w:tcMar>
              <w:top w:w="100" w:type="dxa"/>
              <w:start w:w="120" w:type="dxa"/>
              <w:bottom w:w="100" w:type="dxa"/>
              <w:end w:w="120" w:type="dxa"/>
            </w:tcMar>
            <w:vAlign w:val="center"/>
          </w:tcPr>
          <w:p>
            <w:pPr>
              <w:spacing w:before="0" w:after="0" w:line="252" w:lineRule="auto"/>
              <w:jc w:val="left"/>
            </w:pPr>
            <w:r/>
          </w:p>
        </w:tc>
        <w:tc>
          <w:tcPr>
            <w:tcW w:type="dxa" w:w="2760"/>
            <w:tcMar>
              <w:top w:w="100" w:type="dxa"/>
              <w:start w:w="120" w:type="dxa"/>
              <w:bottom w:w="100" w:type="dxa"/>
              <w:end w:w="120" w:type="dxa"/>
            </w:tcMar>
            <w:vAlign w:val="center"/>
          </w:tcPr>
          <w:p>
            <w:pPr>
              <w:spacing w:before="0" w:after="0" w:line="252" w:lineRule="auto"/>
              <w:jc w:val="left"/>
            </w:pPr>
            <w:r/>
          </w:p>
        </w:tc>
      </w:tr>
      <w:tr>
        <w:trPr>
          <w:cantSplit/>
          <w:trHeight w:val="430" w:hRule="atLeast"/>
        </w:trPr>
        <w:tc>
          <w:tcPr>
            <w:tcW w:type="dxa" w:w="700"/>
            <w:tcMar>
              <w:top w:w="100" w:type="dxa"/>
              <w:start w:w="120" w:type="dxa"/>
              <w:bottom w:w="100" w:type="dxa"/>
              <w:end w:w="120" w:type="dxa"/>
            </w:tcMar>
            <w:vAlign w:val="center"/>
          </w:tcPr>
          <w:p>
            <w:pPr>
              <w:spacing w:before="0" w:after="0" w:line="252" w:lineRule="auto"/>
              <w:jc w:val="left"/>
            </w:pPr>
            <w:r/>
          </w:p>
        </w:tc>
        <w:tc>
          <w:tcPr>
            <w:tcW w:type="dxa" w:w="2500"/>
            <w:tcMar>
              <w:top w:w="100" w:type="dxa"/>
              <w:start w:w="120" w:type="dxa"/>
              <w:bottom w:w="100" w:type="dxa"/>
              <w:end w:w="120" w:type="dxa"/>
            </w:tcMar>
            <w:vAlign w:val="center"/>
          </w:tcPr>
          <w:p>
            <w:pPr>
              <w:spacing w:before="0" w:after="0" w:line="252" w:lineRule="auto"/>
              <w:jc w:val="left"/>
            </w:pPr>
            <w:r/>
          </w:p>
        </w:tc>
        <w:tc>
          <w:tcPr>
            <w:tcW w:type="dxa" w:w="3400"/>
            <w:tcMar>
              <w:top w:w="100" w:type="dxa"/>
              <w:start w:w="120" w:type="dxa"/>
              <w:bottom w:w="100" w:type="dxa"/>
              <w:end w:w="120" w:type="dxa"/>
            </w:tcMar>
            <w:vAlign w:val="center"/>
          </w:tcPr>
          <w:p>
            <w:pPr>
              <w:spacing w:before="0" w:after="0" w:line="252" w:lineRule="auto"/>
              <w:jc w:val="left"/>
            </w:pPr>
            <w:r/>
          </w:p>
        </w:tc>
        <w:tc>
          <w:tcPr>
            <w:tcW w:type="dxa" w:w="2760"/>
            <w:tcMar>
              <w:top w:w="100" w:type="dxa"/>
              <w:start w:w="120" w:type="dxa"/>
              <w:bottom w:w="100" w:type="dxa"/>
              <w:end w:w="120" w:type="dxa"/>
            </w:tcMar>
            <w:vAlign w:val="center"/>
          </w:tcPr>
          <w:p>
            <w:pPr>
              <w:spacing w:before="0" w:after="0" w:line="252" w:lineRule="auto"/>
              <w:jc w:val="left"/>
            </w:pPr>
            <w:r/>
          </w:p>
        </w:tc>
      </w:tr>
      <w:tr>
        <w:trPr>
          <w:cantSplit/>
          <w:trHeight w:val="430" w:hRule="atLeast"/>
        </w:trPr>
        <w:tc>
          <w:tcPr>
            <w:tcW w:type="dxa" w:w="700"/>
            <w:tcMar>
              <w:top w:w="100" w:type="dxa"/>
              <w:start w:w="120" w:type="dxa"/>
              <w:bottom w:w="100" w:type="dxa"/>
              <w:end w:w="120" w:type="dxa"/>
            </w:tcMar>
            <w:vAlign w:val="center"/>
          </w:tcPr>
          <w:p>
            <w:pPr>
              <w:spacing w:before="0" w:after="0" w:line="252" w:lineRule="auto"/>
              <w:jc w:val="left"/>
            </w:pPr>
            <w:r/>
          </w:p>
        </w:tc>
        <w:tc>
          <w:tcPr>
            <w:tcW w:type="dxa" w:w="2500"/>
            <w:tcMar>
              <w:top w:w="100" w:type="dxa"/>
              <w:start w:w="120" w:type="dxa"/>
              <w:bottom w:w="100" w:type="dxa"/>
              <w:end w:w="120" w:type="dxa"/>
            </w:tcMar>
            <w:vAlign w:val="center"/>
          </w:tcPr>
          <w:p>
            <w:pPr>
              <w:spacing w:before="0" w:after="0" w:line="252" w:lineRule="auto"/>
              <w:jc w:val="left"/>
            </w:pPr>
            <w:r/>
          </w:p>
        </w:tc>
        <w:tc>
          <w:tcPr>
            <w:tcW w:type="dxa" w:w="3400"/>
            <w:tcMar>
              <w:top w:w="100" w:type="dxa"/>
              <w:start w:w="120" w:type="dxa"/>
              <w:bottom w:w="100" w:type="dxa"/>
              <w:end w:w="120" w:type="dxa"/>
            </w:tcMar>
            <w:vAlign w:val="center"/>
          </w:tcPr>
          <w:p>
            <w:pPr>
              <w:spacing w:before="0" w:after="0" w:line="252" w:lineRule="auto"/>
              <w:jc w:val="left"/>
            </w:pPr>
            <w:r/>
          </w:p>
        </w:tc>
        <w:tc>
          <w:tcPr>
            <w:tcW w:type="dxa" w:w="2760"/>
            <w:tcMar>
              <w:top w:w="100" w:type="dxa"/>
              <w:start w:w="120" w:type="dxa"/>
              <w:bottom w:w="100" w:type="dxa"/>
              <w:end w:w="120" w:type="dxa"/>
            </w:tcMar>
            <w:vAlign w:val="center"/>
          </w:tcPr>
          <w:p>
            <w:pPr>
              <w:spacing w:before="0" w:after="0" w:line="252" w:lineRule="auto"/>
              <w:jc w:val="left"/>
            </w:pPr>
            <w:r/>
          </w:p>
        </w:tc>
      </w:tr>
      <w:tr>
        <w:trPr>
          <w:cantSplit/>
          <w:trHeight w:val="430" w:hRule="atLeast"/>
        </w:trPr>
        <w:tc>
          <w:tcPr>
            <w:tcW w:type="dxa" w:w="700"/>
            <w:tcMar>
              <w:top w:w="100" w:type="dxa"/>
              <w:start w:w="120" w:type="dxa"/>
              <w:bottom w:w="100" w:type="dxa"/>
              <w:end w:w="120" w:type="dxa"/>
            </w:tcMar>
            <w:vAlign w:val="center"/>
          </w:tcPr>
          <w:p>
            <w:pPr>
              <w:spacing w:before="0" w:after="0" w:line="252" w:lineRule="auto"/>
              <w:jc w:val="left"/>
            </w:pPr>
            <w:r/>
          </w:p>
        </w:tc>
        <w:tc>
          <w:tcPr>
            <w:tcW w:type="dxa" w:w="2500"/>
            <w:tcMar>
              <w:top w:w="100" w:type="dxa"/>
              <w:start w:w="120" w:type="dxa"/>
              <w:bottom w:w="100" w:type="dxa"/>
              <w:end w:w="120" w:type="dxa"/>
            </w:tcMar>
            <w:vAlign w:val="center"/>
          </w:tcPr>
          <w:p>
            <w:pPr>
              <w:spacing w:before="0" w:after="0" w:line="252" w:lineRule="auto"/>
              <w:jc w:val="left"/>
            </w:pPr>
            <w:r/>
          </w:p>
        </w:tc>
        <w:tc>
          <w:tcPr>
            <w:tcW w:type="dxa" w:w="3400"/>
            <w:tcMar>
              <w:top w:w="100" w:type="dxa"/>
              <w:start w:w="120" w:type="dxa"/>
              <w:bottom w:w="100" w:type="dxa"/>
              <w:end w:w="120" w:type="dxa"/>
            </w:tcMar>
            <w:vAlign w:val="center"/>
          </w:tcPr>
          <w:p>
            <w:pPr>
              <w:spacing w:before="0" w:after="0" w:line="252" w:lineRule="auto"/>
              <w:jc w:val="left"/>
            </w:pPr>
            <w:r/>
          </w:p>
        </w:tc>
        <w:tc>
          <w:tcPr>
            <w:tcW w:type="dxa" w:w="2760"/>
            <w:tcMar>
              <w:top w:w="100" w:type="dxa"/>
              <w:start w:w="120" w:type="dxa"/>
              <w:bottom w:w="100" w:type="dxa"/>
              <w:end w:w="120" w:type="dxa"/>
            </w:tcMar>
            <w:vAlign w:val="center"/>
          </w:tcPr>
          <w:p>
            <w:pPr>
              <w:spacing w:before="0" w:after="0" w:line="252" w:lineRule="auto"/>
              <w:jc w:val="left"/>
            </w:pPr>
            <w:r/>
          </w:p>
        </w:tc>
      </w:tr>
      <w:tr>
        <w:trPr>
          <w:cantSplit/>
          <w:trHeight w:val="430" w:hRule="atLeast"/>
        </w:trPr>
        <w:tc>
          <w:tcPr>
            <w:tcW w:type="dxa" w:w="700"/>
            <w:tcMar>
              <w:top w:w="100" w:type="dxa"/>
              <w:start w:w="120" w:type="dxa"/>
              <w:bottom w:w="100" w:type="dxa"/>
              <w:end w:w="120" w:type="dxa"/>
            </w:tcMar>
            <w:vAlign w:val="center"/>
          </w:tcPr>
          <w:p>
            <w:pPr>
              <w:spacing w:before="0" w:after="0" w:line="252" w:lineRule="auto"/>
              <w:jc w:val="left"/>
            </w:pPr>
            <w:r/>
          </w:p>
        </w:tc>
        <w:tc>
          <w:tcPr>
            <w:tcW w:type="dxa" w:w="2500"/>
            <w:tcMar>
              <w:top w:w="100" w:type="dxa"/>
              <w:start w:w="120" w:type="dxa"/>
              <w:bottom w:w="100" w:type="dxa"/>
              <w:end w:w="120" w:type="dxa"/>
            </w:tcMar>
            <w:vAlign w:val="center"/>
          </w:tcPr>
          <w:p>
            <w:pPr>
              <w:spacing w:before="0" w:after="0" w:line="252" w:lineRule="auto"/>
              <w:jc w:val="left"/>
            </w:pPr>
            <w:r/>
          </w:p>
        </w:tc>
        <w:tc>
          <w:tcPr>
            <w:tcW w:type="dxa" w:w="3400"/>
            <w:tcMar>
              <w:top w:w="100" w:type="dxa"/>
              <w:start w:w="120" w:type="dxa"/>
              <w:bottom w:w="100" w:type="dxa"/>
              <w:end w:w="120" w:type="dxa"/>
            </w:tcMar>
            <w:vAlign w:val="center"/>
          </w:tcPr>
          <w:p>
            <w:pPr>
              <w:spacing w:before="0" w:after="0" w:line="252" w:lineRule="auto"/>
              <w:jc w:val="left"/>
            </w:pPr>
            <w:r/>
          </w:p>
        </w:tc>
        <w:tc>
          <w:tcPr>
            <w:tcW w:type="dxa" w:w="2760"/>
            <w:tcMar>
              <w:top w:w="100" w:type="dxa"/>
              <w:start w:w="120" w:type="dxa"/>
              <w:bottom w:w="100" w:type="dxa"/>
              <w:end w:w="120" w:type="dxa"/>
            </w:tcMar>
            <w:vAlign w:val="center"/>
          </w:tcPr>
          <w:p>
            <w:pPr>
              <w:spacing w:before="0" w:after="0" w:line="252" w:lineRule="auto"/>
              <w:jc w:val="left"/>
            </w:pPr>
            <w:r/>
          </w:p>
        </w:tc>
      </w:tr>
    </w:tbl>
    <w:p>
      <w:pPr>
        <w:spacing w:before="0" w:after="40"/>
      </w:pPr>
    </w:p>
    <w:p>
      <w:pPr>
        <w:pStyle w:val="Heading2"/>
      </w:pPr>
      <w:r>
        <w:rPr>
          <w:rFonts w:ascii="Calibri" w:hAnsi="Calibri" w:eastAsia="Calibri"/>
          <w:b w:val="0"/>
          <w:color w:val="000000"/>
        </w:rPr>
        <w:t>Floor motion</w:t>
      </w:r>
    </w:p>
    <w:p>
      <w:pPr>
        <w:spacing w:before="100" w:after="160" w:line="269" w:lineRule="auto"/>
        <w:shd w:fill="F4F6F9"/>
        <w:pBdr>
          <w:left w:val="single" w:sz="18" w:space="8" w:color="2E74B5"/>
        </w:pBdr>
        <w:ind w:left="180" w:right="120"/>
      </w:pPr>
      <w:r>
        <w:rPr>
          <w:rFonts w:ascii="Calibri" w:hAnsi="Calibri" w:eastAsia="Calibri"/>
          <w:b/>
          <w:color w:val="0B2545"/>
          <w:sz w:val="19"/>
        </w:rPr>
        <w:t>Motion:</w:t>
      </w:r>
      <w:r>
        <w:rPr>
          <w:rFonts w:ascii="Calibri" w:hAnsi="Calibri" w:eastAsia="Calibri"/>
          <w:b w:val="0"/>
          <w:color w:val="0B2545"/>
          <w:sz w:val="19"/>
        </w:rPr>
        <w:t xml:space="preserve"> I move that IUOE Local 835 promptly obtain a consultation with an experienced Pennsylvania union-side labor lawyer concerning the U.S. Facilities negotiations; provide the affected unit a complete, dated bargaining report and the written terms of any extension; send a comprehensive employer information request concerning layoffs, staffing, vacancies, subcontracting, and relevant City-contract changes; and not conduct a ratification vote until members have received the complete proposed agreement, all attachments and side letters, and a clear redline with reasonable review time. I further move that any strike-authorization vote be separate and conducted only under the governing constitution, bylaws, applicable law, and qualified legal advice.</w:t>
      </w:r>
    </w:p>
    <w:p>
      <w:pPr>
        <w:pStyle w:val="Heading2"/>
      </w:pPr>
      <w:r>
        <w:rPr>
          <w:rFonts w:ascii="Calibri" w:hAnsi="Calibri" w:eastAsia="Calibri"/>
          <w:b w:val="0"/>
          <w:color w:val="000000"/>
        </w:rPr>
        <w:t>Requested minutes language</w:t>
      </w:r>
    </w:p>
    <w:p>
      <w:pPr>
        <w:spacing w:before="100" w:after="160" w:line="269" w:lineRule="auto"/>
        <w:shd w:fill="F4F6F9"/>
        <w:pBdr>
          <w:left w:val="single" w:sz="18" w:space="8" w:color="2E74B5"/>
        </w:pBdr>
        <w:ind w:left="180" w:right="120"/>
      </w:pPr>
      <w:r>
        <w:rPr>
          <w:rFonts w:ascii="Calibri" w:hAnsi="Calibri" w:eastAsia="Calibri"/>
          <w:b w:val="0"/>
          <w:color w:val="0B2545"/>
          <w:sz w:val="19"/>
        </w:rPr>
        <w:t>The chair states the motion. The recording secretary is requested to record the exact motion, the vote tally, any ruling that the motion is out of order, the rule cited for that ruling, and any commitment and due date stated in response.</w:t>
      </w:r>
    </w:p>
    <w:p>
      <w:pPr>
        <w:pStyle w:val="Heading2"/>
      </w:pPr>
      <w:r>
        <w:rPr>
          <w:rFonts w:ascii="Calibri" w:hAnsi="Calibri" w:eastAsia="Calibri"/>
          <w:b w:val="0"/>
          <w:color w:val="000000"/>
        </w:rPr>
        <w:t>If the chair rules the motion out of order</w:t>
      </w:r>
    </w:p>
    <w:p>
      <w:r>
        <w:rPr>
          <w:rFonts w:ascii="Calibri" w:hAnsi="Calibri" w:eastAsia="Calibri"/>
          <w:b w:val="0"/>
          <w:color w:val="000000"/>
        </w:rPr>
        <w:t>Ask calmly:</w:t>
      </w:r>
    </w:p>
    <w:p>
      <w:pPr>
        <w:pStyle w:val="ListNumber"/>
      </w:pPr>
      <w:r>
        <w:rPr>
          <w:rFonts w:ascii="Calibri" w:hAnsi="Calibri" w:eastAsia="Calibri"/>
          <w:b w:val="0"/>
          <w:color w:val="000000"/>
        </w:rPr>
        <w:t>What exact bylaw, constitutional provision, or meeting rule is the basis?</w:t>
      </w:r>
    </w:p>
    <w:p>
      <w:pPr>
        <w:pStyle w:val="ListNumber"/>
      </w:pPr>
      <w:r>
        <w:rPr>
          <w:rFonts w:ascii="Calibri" w:hAnsi="Calibri" w:eastAsia="Calibri"/>
          <w:b w:val="0"/>
          <w:color w:val="000000"/>
        </w:rPr>
        <w:t>What is the correct procedure and deadline to submit the request?</w:t>
      </w:r>
    </w:p>
    <w:p>
      <w:pPr>
        <w:pStyle w:val="ListNumber"/>
      </w:pPr>
      <w:r>
        <w:rPr>
          <w:rFonts w:ascii="Calibri" w:hAnsi="Calibri" w:eastAsia="Calibri"/>
          <w:b w:val="0"/>
          <w:color w:val="000000"/>
        </w:rPr>
        <w:t>May the written petition be entered in the minutes and referred to the Executive Board or bargaining committee?</w:t>
      </w:r>
    </w:p>
    <w:p>
      <w:pPr>
        <w:pStyle w:val="ListNumber"/>
      </w:pPr>
      <w:r>
        <w:rPr>
          <w:rFonts w:ascii="Calibri" w:hAnsi="Calibri" w:eastAsia="Calibri"/>
          <w:b w:val="0"/>
          <w:color w:val="000000"/>
        </w:rPr>
        <w:t>Is an appeal from the ruling permitted, and what is the required procedure?</w:t>
      </w:r>
    </w:p>
    <w:p>
      <w:r>
        <w:rPr>
          <w:rFonts w:ascii="Calibri" w:hAnsi="Calibri" w:eastAsia="Calibri"/>
          <w:b w:val="0"/>
          <w:color w:val="000000"/>
        </w:rPr>
        <w:t>Do not disrupt the meeting. Preserve the written motion, the ruling, the cited rule, and the minutes for later review.</w:t>
      </w:r>
    </w:p>
    <w:p>
      <w:r>
        <w:br w:type="page"/>
      </w:r>
    </w:p>
    <w:p>
      <w:pPr>
        <w:pStyle w:val="Heading1"/>
      </w:pPr>
      <w:r>
        <w:rPr>
          <w:rFonts w:ascii="Calibri" w:hAnsi="Calibri" w:eastAsia="Calibri"/>
          <w:b w:val="0"/>
          <w:color w:val="000000"/>
        </w:rPr>
        <w:t>5. Neutral explanation: post-expiration bargaining and strike-decision risks</w:t>
      </w:r>
    </w:p>
    <w:p>
      <w:pPr>
        <w:pStyle w:val="Heading2"/>
      </w:pPr>
      <w:r>
        <w:rPr>
          <w:rFonts w:ascii="Calibri" w:hAnsi="Calibri" w:eastAsia="Calibri"/>
          <w:b w:val="0"/>
          <w:color w:val="000000"/>
        </w:rPr>
        <w:t>A. Expiration does not mean every term disappears</w:t>
      </w:r>
    </w:p>
    <w:p>
      <w:r>
        <w:rPr>
          <w:rFonts w:ascii="Calibri" w:hAnsi="Calibri" w:eastAsia="Calibri"/>
          <w:b w:val="0"/>
          <w:color w:val="000000"/>
        </w:rPr>
        <w:t>For most private-sector bargaining relationships covered by the NLRA, the employer generally must maintain the status quo on most mandatory terms and conditions while the parties bargain to agreement or a genuine impasse. The expired CBA often helps identify that status quo. The NLRB's public guidance identifies exceptions that can include union-security, management-rights, no-strike/no-lockout, and arbitration provisions.</w:t>
      </w:r>
    </w:p>
    <w:p>
      <w:r>
        <w:rPr>
          <w:rFonts w:ascii="Calibri" w:hAnsi="Calibri" w:eastAsia="Calibri"/>
          <w:b w:val="0"/>
          <w:color w:val="000000"/>
        </w:rPr>
        <w:t>This means two different questions must be kept separate:</w:t>
      </w:r>
    </w:p>
    <w:p>
      <w:pPr>
        <w:pStyle w:val="ListBullet"/>
      </w:pPr>
      <w:r>
        <w:rPr>
          <w:rFonts w:ascii="Calibri" w:hAnsi="Calibri" w:eastAsia="Calibri"/>
          <w:b/>
          <w:color w:val="000000"/>
        </w:rPr>
        <w:t>Contract question:</w:t>
      </w:r>
      <w:r>
        <w:rPr>
          <w:rFonts w:ascii="Calibri" w:hAnsi="Calibri" w:eastAsia="Calibri"/>
          <w:b w:val="0"/>
          <w:color w:val="000000"/>
        </w:rPr>
        <w:t xml:space="preserve"> Is a clause still enforceable as a contractual promise after expiration or under an extension?</w:t>
      </w:r>
    </w:p>
    <w:p>
      <w:pPr>
        <w:pStyle w:val="ListBullet"/>
      </w:pPr>
      <w:r>
        <w:rPr>
          <w:rFonts w:ascii="Calibri" w:hAnsi="Calibri" w:eastAsia="Calibri"/>
          <w:b/>
          <w:color w:val="000000"/>
        </w:rPr>
        <w:t>Statutory question:</w:t>
      </w:r>
      <w:r>
        <w:rPr>
          <w:rFonts w:ascii="Calibri" w:hAnsi="Calibri" w:eastAsia="Calibri"/>
          <w:b w:val="0"/>
          <w:color w:val="000000"/>
        </w:rPr>
        <w:t xml:space="preserve"> Even if the contract promise expired, must the employer maintain the underlying term or practice while bargaining?</w:t>
      </w:r>
    </w:p>
    <w:p>
      <w:r>
        <w:rPr>
          <w:rFonts w:ascii="Calibri" w:hAnsi="Calibri" w:eastAsia="Calibri"/>
          <w:b w:val="0"/>
          <w:color w:val="000000"/>
        </w:rPr>
        <w:t>The answer can vary by clause, wording, bargaining history, and the nature of the dispute. Staffing, management rights, grievance arbitration, dues arrangements, and no-strike language need clause-specific legal review.</w:t>
      </w:r>
    </w:p>
    <w:p>
      <w:pPr>
        <w:pStyle w:val="Heading2"/>
      </w:pPr>
      <w:r>
        <w:rPr>
          <w:rFonts w:ascii="Calibri" w:hAnsi="Calibri" w:eastAsia="Calibri"/>
          <w:b w:val="0"/>
          <w:color w:val="000000"/>
        </w:rPr>
        <w:t>B. A verbal deadline is not necessarily a contract extension</w:t>
      </w:r>
    </w:p>
    <w:p>
      <w:r>
        <w:rPr>
          <w:rFonts w:ascii="Calibri" w:hAnsi="Calibri" w:eastAsia="Calibri"/>
          <w:b w:val="0"/>
          <w:color w:val="000000"/>
        </w:rPr>
        <w:t>"We will keep talking until August 31" could mean a bargaining goal, a temporary no-strike understanding, an agreement to extend all CBA terms, an agreement to extend selected provisions, or no legally binding extension at all. The consequences may differ sharply.</w:t>
      </w:r>
    </w:p>
    <w:p>
      <w:r>
        <w:rPr>
          <w:rFonts w:ascii="Calibri" w:hAnsi="Calibri" w:eastAsia="Calibri"/>
          <w:b w:val="0"/>
          <w:color w:val="000000"/>
        </w:rPr>
        <w:t>Ask for a signed writing that states:</w:t>
      </w:r>
    </w:p>
    <w:p>
      <w:pPr>
        <w:pStyle w:val="ListBullet"/>
      </w:pPr>
      <w:r>
        <w:rPr>
          <w:rFonts w:ascii="Calibri" w:hAnsi="Calibri" w:eastAsia="Calibri"/>
          <w:b w:val="0"/>
          <w:color w:val="000000"/>
        </w:rPr>
        <w:t>start and end dates;</w:t>
      </w:r>
    </w:p>
    <w:p>
      <w:pPr>
        <w:pStyle w:val="ListBullet"/>
      </w:pPr>
      <w:r>
        <w:rPr>
          <w:rFonts w:ascii="Calibri" w:hAnsi="Calibri" w:eastAsia="Calibri"/>
          <w:b w:val="0"/>
          <w:color w:val="000000"/>
        </w:rPr>
        <w:t>whether it is retroactive;</w:t>
      </w:r>
    </w:p>
    <w:p>
      <w:pPr>
        <w:pStyle w:val="ListBullet"/>
      </w:pPr>
      <w:r>
        <w:rPr>
          <w:rFonts w:ascii="Calibri" w:hAnsi="Calibri" w:eastAsia="Calibri"/>
          <w:b w:val="0"/>
          <w:color w:val="000000"/>
        </w:rPr>
        <w:t>which CBA provisions continue;</w:t>
      </w:r>
    </w:p>
    <w:p>
      <w:pPr>
        <w:pStyle w:val="ListBullet"/>
      </w:pPr>
      <w:r>
        <w:rPr>
          <w:rFonts w:ascii="Calibri" w:hAnsi="Calibri" w:eastAsia="Calibri"/>
          <w:b w:val="0"/>
          <w:color w:val="000000"/>
        </w:rPr>
        <w:t>whether either party can terminate early and with what notice;</w:t>
      </w:r>
    </w:p>
    <w:p>
      <w:pPr>
        <w:pStyle w:val="ListBullet"/>
      </w:pPr>
      <w:r>
        <w:rPr>
          <w:rFonts w:ascii="Calibri" w:hAnsi="Calibri" w:eastAsia="Calibri"/>
          <w:b w:val="0"/>
          <w:color w:val="000000"/>
        </w:rPr>
        <w:t>whether no-strike/no-lockout and arbitration continue;</w:t>
      </w:r>
    </w:p>
    <w:p>
      <w:pPr>
        <w:pStyle w:val="ListBullet"/>
      </w:pPr>
      <w:r>
        <w:rPr>
          <w:rFonts w:ascii="Calibri" w:hAnsi="Calibri" w:eastAsia="Calibri"/>
          <w:b w:val="0"/>
          <w:color w:val="000000"/>
        </w:rPr>
        <w:t>whether proposals or tentative agreements are affected;</w:t>
      </w:r>
    </w:p>
    <w:p>
      <w:pPr>
        <w:pStyle w:val="ListBullet"/>
      </w:pPr>
      <w:r>
        <w:rPr>
          <w:rFonts w:ascii="Calibri" w:hAnsi="Calibri" w:eastAsia="Calibri"/>
          <w:b w:val="0"/>
          <w:color w:val="000000"/>
        </w:rPr>
        <w:t>who signed and under what authority.</w:t>
      </w:r>
    </w:p>
    <w:p>
      <w:pPr>
        <w:pStyle w:val="Heading2"/>
      </w:pPr>
      <w:r>
        <w:rPr>
          <w:rFonts w:ascii="Calibri" w:hAnsi="Calibri" w:eastAsia="Calibri"/>
          <w:b w:val="0"/>
          <w:color w:val="000000"/>
        </w:rPr>
        <w:t>C. Bargaining and impasse</w:t>
      </w:r>
    </w:p>
    <w:p>
      <w:r>
        <w:rPr>
          <w:rFonts w:ascii="Calibri" w:hAnsi="Calibri" w:eastAsia="Calibri"/>
          <w:b w:val="0"/>
          <w:color w:val="000000"/>
        </w:rPr>
        <w:t>The union and employer must bargain in good faith over wages, hours, and other mandatory terms and conditions. The duty requires serious bargaining but does not force either side to agree or make a concession.</w:t>
      </w:r>
    </w:p>
    <w:p>
      <w:r>
        <w:rPr>
          <w:rFonts w:ascii="Calibri" w:hAnsi="Calibri" w:eastAsia="Calibri"/>
          <w:b w:val="0"/>
          <w:color w:val="000000"/>
        </w:rPr>
        <w:t>After a genuine overall impasse, an employer may in some circumstances implement terms it offered before impasse. Whether impasse exists is fact-intensive. A deadline, a "final offer," a rejected ratification, or a difficult session does not by itself answer the question. The full bargaining history, movement, open issues, mediation, and prospects of further bargaining matter.</w:t>
      </w:r>
    </w:p>
    <w:p>
      <w:r>
        <w:rPr>
          <w:rFonts w:ascii="Calibri" w:hAnsi="Calibri" w:eastAsia="Calibri"/>
          <w:b w:val="0"/>
          <w:color w:val="000000"/>
        </w:rPr>
        <w:t>Do not assume that the employer may implement a wage or staffing proposal on August 31. Ask counsel to review the bargaining record and any written impasse claim first.</w:t>
      </w:r>
    </w:p>
    <w:p>
      <w:pPr>
        <w:pStyle w:val="Heading2"/>
      </w:pPr>
      <w:r>
        <w:rPr>
          <w:rFonts w:ascii="Calibri" w:hAnsi="Calibri" w:eastAsia="Calibri"/>
          <w:b w:val="0"/>
          <w:color w:val="000000"/>
        </w:rPr>
        <w:t>D. Layoffs and information</w:t>
      </w:r>
    </w:p>
    <w:p>
      <w:r>
        <w:rPr>
          <w:rFonts w:ascii="Calibri" w:hAnsi="Calibri" w:eastAsia="Calibri"/>
          <w:b w:val="0"/>
          <w:color w:val="000000"/>
        </w:rPr>
        <w:t>Layoff procedures, seniority, recall, safety practices, and effects on employees are commonly mandatory bargaining subjects. Whether the employer must bargain over a particular underlying operational decision can depend on its reasons; even when the decision itself is not a mandatory subject, bargaining over effects may still be required.</w:t>
      </w:r>
    </w:p>
    <w:p>
      <w:r>
        <w:rPr>
          <w:rFonts w:ascii="Calibri" w:hAnsi="Calibri" w:eastAsia="Calibri"/>
          <w:b w:val="0"/>
          <w:color w:val="000000"/>
        </w:rPr>
        <w:t>The employer's duty to bargain includes providing the union, on request, information that is relevant and necessary to bargain intelligently and effectively. The statutory right ordinarily belongs to the union as bargaining representative, so members should press the bargaining team to send a precise written request and track the response.</w:t>
      </w:r>
    </w:p>
    <w:p>
      <w:r>
        <w:rPr>
          <w:rFonts w:ascii="Calibri" w:hAnsi="Calibri" w:eastAsia="Calibri"/>
          <w:b w:val="0"/>
          <w:color w:val="000000"/>
        </w:rPr>
        <w:t>If the employer supports a proposal with factual claims about staffing, City scope, revenue, labor cost, vacancies, or service demand, the union should identify each claim and request substantiating information. Confidentiality concerns may require negotiation over safeguards rather than automatic disclosure to every member.</w:t>
      </w:r>
    </w:p>
    <w:p>
      <w:pPr>
        <w:pStyle w:val="Heading2"/>
      </w:pPr>
      <w:r>
        <w:rPr>
          <w:rFonts w:ascii="Calibri" w:hAnsi="Calibri" w:eastAsia="Calibri"/>
          <w:b w:val="0"/>
          <w:color w:val="000000"/>
        </w:rPr>
        <w:t>E. Member rights and limits</w:t>
      </w:r>
    </w:p>
    <w:p>
      <w:r>
        <w:rPr>
          <w:rFonts w:ascii="Calibri" w:hAnsi="Calibri" w:eastAsia="Calibri"/>
          <w:b w:val="0"/>
          <w:color w:val="000000"/>
        </w:rPr>
        <w:t>Federal law generally protects covered private-sector employees when they act together to improve pay and working conditions, including discussing wages and staffing and circulating a group petition. Protection is not unlimited: knowingly and maliciously false statements, serious misconduct, disclosure of protected security information, and some forms of disloyal public disparagement can lose protection.</w:t>
      </w:r>
    </w:p>
    <w:p>
      <w:r>
        <w:rPr>
          <w:rFonts w:ascii="Calibri" w:hAnsi="Calibri" w:eastAsia="Calibri"/>
          <w:b w:val="0"/>
          <w:color w:val="000000"/>
        </w:rPr>
        <w:t>For unions covered by the LMRDA, members generally have equal rights to attend and participate in meetings, subject to reasonable rules, and freedom to express views on properly presented union business. Section 104 provides a right to obtain or inspect a CBA that directly affects the employee.</w:t>
      </w:r>
    </w:p>
    <w:p>
      <w:r>
        <w:rPr>
          <w:rFonts w:ascii="Calibri" w:hAnsi="Calibri" w:eastAsia="Calibri"/>
          <w:b w:val="0"/>
          <w:color w:val="000000"/>
        </w:rPr>
        <w:t xml:space="preserve">Those rules do </w:t>
      </w:r>
      <w:r>
        <w:rPr>
          <w:rFonts w:ascii="Calibri" w:hAnsi="Calibri" w:eastAsia="Calibri"/>
          <w:b/>
          <w:color w:val="000000"/>
        </w:rPr>
        <w:t>not</w:t>
      </w:r>
      <w:r>
        <w:rPr>
          <w:rFonts w:ascii="Calibri" w:hAnsi="Calibri" w:eastAsia="Calibri"/>
          <w:b w:val="0"/>
          <w:color w:val="000000"/>
        </w:rPr>
        <w:t xml:space="preserve"> automatically create a federal right to receive every bargaining proposal or to vote on every agreement. Under NLRB precedent, employee ratification is generally an internal union matter unless ratification was made a condition of agreement or is required by governing union rules. That is why the Local bylaws, IUOE constitution, bargaining authorization, and statements to the employer must be reviewed.</w:t>
      </w:r>
    </w:p>
    <w:p>
      <w:pPr>
        <w:pStyle w:val="Heading2"/>
      </w:pPr>
      <w:r>
        <w:rPr>
          <w:rFonts w:ascii="Calibri" w:hAnsi="Calibri" w:eastAsia="Calibri"/>
          <w:b w:val="0"/>
          <w:color w:val="000000"/>
        </w:rPr>
        <w:t>F. Outside counsel and the duty of fair representation</w:t>
      </w:r>
    </w:p>
    <w:p>
      <w:r>
        <w:rPr>
          <w:rFonts w:ascii="Calibri" w:hAnsi="Calibri" w:eastAsia="Calibri"/>
          <w:b w:val="0"/>
          <w:color w:val="000000"/>
        </w:rPr>
        <w:t>The union owes represented employees a duty of fair representation in collective bargaining: it must act fairly, in good faith, and without discrimination. The legal standard allows unions a broad range of judgment; a disappointing proposal, strategic disagreement, negligence, or a decision to bargain without outside counsel does not automatically establish a violation.</w:t>
      </w:r>
    </w:p>
    <w:p>
      <w:r>
        <w:rPr>
          <w:rFonts w:ascii="Calibri" w:hAnsi="Calibri" w:eastAsia="Calibri"/>
          <w:b w:val="0"/>
          <w:color w:val="000000"/>
        </w:rPr>
        <w:t>Legal consultation can still be prudent here because expiration, extension, staffing, layoff, information, impasse, ratification, City-contract, and prison-safety issues overlap. Members can request counsel without claiming that the absence of counsel itself is unlawful.</w:t>
      </w:r>
    </w:p>
    <w:p>
      <w:pPr>
        <w:pStyle w:val="Heading2"/>
      </w:pPr>
      <w:r>
        <w:rPr>
          <w:rFonts w:ascii="Calibri" w:hAnsi="Calibri" w:eastAsia="Calibri"/>
          <w:b w:val="0"/>
          <w:color w:val="000000"/>
        </w:rPr>
        <w:t>G. Strike decision risks</w:t>
      </w:r>
    </w:p>
    <w:p>
      <w:r>
        <w:rPr>
          <w:rFonts w:ascii="Calibri" w:hAnsi="Calibri" w:eastAsia="Calibri"/>
          <w:b w:val="0"/>
          <w:color w:val="000000"/>
        </w:rPr>
        <w:t>No individual, informal group, or packet can authorize a strike. Any strike or work stoppage should occur only after the union's lawful authorization process and advice from qualified union-side counsel.</w:t>
      </w:r>
    </w:p>
    <w:p>
      <w:r>
        <w:rPr>
          <w:rFonts w:ascii="Calibri" w:hAnsi="Calibri" w:eastAsia="Calibri"/>
          <w:b w:val="0"/>
          <w:color w:val="000000"/>
        </w:rPr>
        <w:t>Before any strike vote, members should receive clear answers to these questions:</w:t>
      </w:r>
    </w:p>
    <w:p>
      <w:pPr>
        <w:pStyle w:val="ListNumber"/>
      </w:pPr>
      <w:r>
        <w:rPr>
          <w:rFonts w:ascii="Calibri" w:hAnsi="Calibri" w:eastAsia="Calibri"/>
          <w:b w:val="0"/>
          <w:color w:val="000000"/>
        </w:rPr>
        <w:t>Does any valid no-strike clause or extension remain in effect?</w:t>
      </w:r>
    </w:p>
    <w:p>
      <w:pPr>
        <w:pStyle w:val="ListNumber"/>
      </w:pPr>
      <w:r>
        <w:rPr>
          <w:rFonts w:ascii="Calibri" w:hAnsi="Calibri" w:eastAsia="Calibri"/>
          <w:b w:val="0"/>
          <w:color w:val="000000"/>
        </w:rPr>
        <w:t>Who has constitutional authority to call or approve the strike, and what notice, quorum, and ballot rules apply?</w:t>
      </w:r>
    </w:p>
    <w:p>
      <w:pPr>
        <w:pStyle w:val="ListNumber"/>
      </w:pPr>
      <w:r>
        <w:rPr>
          <w:rFonts w:ascii="Calibri" w:hAnsi="Calibri" w:eastAsia="Calibri"/>
          <w:b w:val="0"/>
          <w:color w:val="000000"/>
        </w:rPr>
        <w:t>What is the lawful objective of the proposed strike, and is it characterized as economic, unfair-labor-practice, or mixed?</w:t>
      </w:r>
    </w:p>
    <w:p>
      <w:pPr>
        <w:pStyle w:val="ListNumber"/>
      </w:pPr>
      <w:r>
        <w:rPr>
          <w:rFonts w:ascii="Calibri" w:hAnsi="Calibri" w:eastAsia="Calibri"/>
          <w:b w:val="0"/>
          <w:color w:val="000000"/>
        </w:rPr>
        <w:t>What notices are legally required, and have they been sent?</w:t>
      </w:r>
    </w:p>
    <w:p>
      <w:pPr>
        <w:pStyle w:val="ListNumber"/>
      </w:pPr>
      <w:r>
        <w:rPr>
          <w:rFonts w:ascii="Calibri" w:hAnsi="Calibri" w:eastAsia="Calibri"/>
          <w:b w:val="0"/>
          <w:color w:val="000000"/>
        </w:rPr>
        <w:t>Could the employer lawfully lock out employees?</w:t>
      </w:r>
    </w:p>
    <w:p>
      <w:pPr>
        <w:pStyle w:val="ListNumber"/>
      </w:pPr>
      <w:r>
        <w:rPr>
          <w:rFonts w:ascii="Calibri" w:hAnsi="Calibri" w:eastAsia="Calibri"/>
          <w:b w:val="0"/>
          <w:color w:val="000000"/>
        </w:rPr>
        <w:t>Could economic strikers be permanently replaced, and what would preferential recall mean in practice?</w:t>
      </w:r>
    </w:p>
    <w:p>
      <w:pPr>
        <w:pStyle w:val="ListNumber"/>
      </w:pPr>
      <w:r>
        <w:rPr>
          <w:rFonts w:ascii="Calibri" w:hAnsi="Calibri" w:eastAsia="Calibri"/>
          <w:b w:val="0"/>
          <w:color w:val="000000"/>
        </w:rPr>
        <w:t>What conduct, intermittent action, partial strike, sit-down action, violence, threat, obstruction, or unsafe shutdown could lose legal protection?</w:t>
      </w:r>
    </w:p>
    <w:p>
      <w:pPr>
        <w:pStyle w:val="ListNumber"/>
      </w:pPr>
      <w:r>
        <w:rPr>
          <w:rFonts w:ascii="Calibri" w:hAnsi="Calibri" w:eastAsia="Calibri"/>
          <w:b w:val="0"/>
          <w:color w:val="000000"/>
        </w:rPr>
        <w:t>What reasonable precautions and orderly turnover are necessary to protect people, secure facilities, and employer property at a prison worksite?</w:t>
      </w:r>
    </w:p>
    <w:p>
      <w:pPr>
        <w:pStyle w:val="ListNumber"/>
      </w:pPr>
      <w:r>
        <w:rPr>
          <w:rFonts w:ascii="Calibri" w:hAnsi="Calibri" w:eastAsia="Calibri"/>
          <w:b w:val="0"/>
          <w:color w:val="000000"/>
        </w:rPr>
        <w:t>What are the effects on health coverage, pension credits, unemployment eligibility, accrued leave, licenses, and immigration or benefit matters?</w:t>
      </w:r>
    </w:p>
    <w:p>
      <w:pPr>
        <w:pStyle w:val="ListNumber"/>
      </w:pPr>
      <w:r>
        <w:rPr>
          <w:rFonts w:ascii="Calibri" w:hAnsi="Calibri" w:eastAsia="Calibri"/>
          <w:b w:val="0"/>
          <w:color w:val="000000"/>
        </w:rPr>
        <w:t>What strike benefits are available, when do they start, and what conditions apply?</w:t>
      </w:r>
    </w:p>
    <w:p>
      <w:pPr>
        <w:pStyle w:val="ListNumber"/>
      </w:pPr>
      <w:r>
        <w:rPr>
          <w:rFonts w:ascii="Calibri" w:hAnsi="Calibri" w:eastAsia="Calibri"/>
          <w:b w:val="0"/>
          <w:color w:val="000000"/>
        </w:rPr>
        <w:t>What is the picket plan, who is trained to lead it, and how will lawful primary activity be kept separate from prohibited secondary pressure?</w:t>
      </w:r>
    </w:p>
    <w:p>
      <w:pPr>
        <w:pStyle w:val="ListNumber"/>
      </w:pPr>
      <w:r>
        <w:rPr>
          <w:rFonts w:ascii="Calibri" w:hAnsi="Calibri" w:eastAsia="Calibri"/>
          <w:b w:val="0"/>
          <w:color w:val="000000"/>
        </w:rPr>
        <w:t>What is the return-to-work and settlement process?</w:t>
      </w:r>
    </w:p>
    <w:p>
      <w:r>
        <w:rPr>
          <w:rFonts w:ascii="Calibri" w:hAnsi="Calibri" w:eastAsia="Calibri"/>
          <w:b w:val="0"/>
          <w:color w:val="000000"/>
        </w:rPr>
        <w:t>Federal law distinguishes economic strikes from unfair-labor-practice strikes. Both can be protected when lawful, but economic strikers can face permanent replacement and delayed reinstatement; unfair-labor-practice strikers generally have stronger reinstatement rights. Misconduct or an unprotected objective can result in discharge. At a facility involving custody and public safety, abrupt or unsafe cessation of critical work creates special factual and legal risk. Obtain tailored advice before any action.</w:t>
      </w:r>
    </w:p>
    <w:p>
      <w:pPr>
        <w:pStyle w:val="Heading2"/>
      </w:pPr>
      <w:r>
        <w:rPr>
          <w:rFonts w:ascii="Calibri" w:hAnsi="Calibri" w:eastAsia="Calibri"/>
          <w:b w:val="0"/>
          <w:color w:val="000000"/>
        </w:rPr>
        <w:t>H. Deadlines and prompt legal review</w:t>
      </w:r>
    </w:p>
    <w:p>
      <w:r>
        <w:rPr>
          <w:rFonts w:ascii="Calibri" w:hAnsi="Calibri" w:eastAsia="Calibri"/>
          <w:b w:val="0"/>
          <w:color w:val="000000"/>
        </w:rPr>
        <w:t>An NLRB unfair-labor-practice charge generally must be filed and served within six months of the challenged conduct, subject to limited rules and exceptions. Internal union remedies, grievance deadlines, arbitration deadlines, City-contract notices, and court claims may have different time limits. Preserve dates and consult counsel promptly rather than waiting for August 31.</w:t>
      </w:r>
    </w:p>
    <w:p>
      <w:pPr>
        <w:pStyle w:val="Heading2"/>
      </w:pPr>
      <w:r>
        <w:rPr>
          <w:rFonts w:ascii="Calibri" w:hAnsi="Calibri" w:eastAsia="Calibri"/>
          <w:b w:val="0"/>
          <w:color w:val="000000"/>
        </w:rPr>
        <w:t>I. Issues specifically reserved for a Pennsylvania union-side labor lawyer</w:t>
      </w:r>
    </w:p>
    <w:p>
      <w:pPr>
        <w:pStyle w:val="ListBullet"/>
      </w:pPr>
      <w:r>
        <w:rPr>
          <w:rFonts w:ascii="Calibri" w:hAnsi="Calibri" w:eastAsia="Calibri"/>
          <w:b w:val="0"/>
          <w:color w:val="000000"/>
        </w:rPr>
        <w:t>Whether the NLRA covers each worker and whether any guard, supervisor, public-employee, or joint-employer issue exists.</w:t>
      </w:r>
    </w:p>
    <w:p>
      <w:pPr>
        <w:pStyle w:val="ListBullet"/>
      </w:pPr>
      <w:r>
        <w:rPr>
          <w:rFonts w:ascii="Calibri" w:hAnsi="Calibri" w:eastAsia="Calibri"/>
          <w:b w:val="0"/>
          <w:color w:val="000000"/>
        </w:rPr>
        <w:t>The legal employer's identity and the effect of the City of Philadelphia contract.</w:t>
      </w:r>
    </w:p>
    <w:p>
      <w:pPr>
        <w:pStyle w:val="ListBullet"/>
      </w:pPr>
      <w:r>
        <w:rPr>
          <w:rFonts w:ascii="Calibri" w:hAnsi="Calibri" w:eastAsia="Calibri"/>
          <w:b w:val="0"/>
          <w:color w:val="000000"/>
        </w:rPr>
        <w:t>Whether the CBA expired, renewed, or was validly extended, and which provisions continued.</w:t>
      </w:r>
    </w:p>
    <w:p>
      <w:pPr>
        <w:pStyle w:val="ListBullet"/>
      </w:pPr>
      <w:r>
        <w:rPr>
          <w:rFonts w:ascii="Calibri" w:hAnsi="Calibri" w:eastAsia="Calibri"/>
          <w:b w:val="0"/>
          <w:color w:val="000000"/>
        </w:rPr>
        <w:t>Whether staffing language creates a minimum, limit, enforceable remedy, past practice, or post-expiration status quo.</w:t>
      </w:r>
    </w:p>
    <w:p>
      <w:pPr>
        <w:pStyle w:val="ListBullet"/>
      </w:pPr>
      <w:r>
        <w:rPr>
          <w:rFonts w:ascii="Calibri" w:hAnsi="Calibri" w:eastAsia="Calibri"/>
          <w:b w:val="0"/>
          <w:color w:val="000000"/>
        </w:rPr>
        <w:t>Whether proposed layoffs require decision bargaining, effects bargaining, information production, or contractual grievance action.</w:t>
      </w:r>
    </w:p>
    <w:p>
      <w:pPr>
        <w:pStyle w:val="ListBullet"/>
      </w:pPr>
      <w:r>
        <w:rPr>
          <w:rFonts w:ascii="Calibri" w:hAnsi="Calibri" w:eastAsia="Calibri"/>
          <w:b w:val="0"/>
          <w:color w:val="000000"/>
        </w:rPr>
        <w:t>Whether a genuine impasse exists or implementation would be premature.</w:t>
      </w:r>
    </w:p>
    <w:p>
      <w:pPr>
        <w:pStyle w:val="ListBullet"/>
      </w:pPr>
      <w:r>
        <w:rPr>
          <w:rFonts w:ascii="Calibri" w:hAnsi="Calibri" w:eastAsia="Calibri"/>
          <w:b w:val="0"/>
          <w:color w:val="000000"/>
        </w:rPr>
        <w:t>Whether any bargaining conduct supports an unfair-labor-practice charge, grievance, injunction request, or other remedy.</w:t>
      </w:r>
    </w:p>
    <w:p>
      <w:pPr>
        <w:pStyle w:val="ListBullet"/>
      </w:pPr>
      <w:r>
        <w:rPr>
          <w:rFonts w:ascii="Calibri" w:hAnsi="Calibri" w:eastAsia="Calibri"/>
          <w:b w:val="0"/>
          <w:color w:val="000000"/>
        </w:rPr>
        <w:t>Whether Local conduct could be arbitrary, discriminatory, or in bad faith; do not infer a breach merely from strategy disagreement or lack of outside counsel.</w:t>
      </w:r>
    </w:p>
    <w:p>
      <w:pPr>
        <w:pStyle w:val="ListBullet"/>
      </w:pPr>
      <w:r>
        <w:rPr>
          <w:rFonts w:ascii="Calibri" w:hAnsi="Calibri" w:eastAsia="Calibri"/>
          <w:b w:val="0"/>
          <w:color w:val="000000"/>
        </w:rPr>
        <w:t>What disclosures and ratification procedures the Local 835 bylaws and IUOE constitution require.</w:t>
      </w:r>
    </w:p>
    <w:p>
      <w:pPr>
        <w:pStyle w:val="ListBullet"/>
      </w:pPr>
      <w:r>
        <w:rPr>
          <w:rFonts w:ascii="Calibri" w:hAnsi="Calibri" w:eastAsia="Calibri"/>
          <w:b w:val="0"/>
          <w:color w:val="000000"/>
        </w:rPr>
        <w:t>Whether a strike would be authorized and protected, and what safety, notice, replacement, benefit, and discipline risks apply.</w:t>
      </w:r>
    </w:p>
    <w:p>
      <w:pPr>
        <w:pStyle w:val="ListBullet"/>
      </w:pPr>
      <w:r>
        <w:rPr>
          <w:rFonts w:ascii="Calibri" w:hAnsi="Calibri" w:eastAsia="Calibri"/>
          <w:b w:val="0"/>
          <w:color w:val="000000"/>
        </w:rPr>
        <w:t>Whether recordings, public statements, or circulation of particular documents are lawful and prudent.</w:t>
      </w:r>
    </w:p>
    <w:p>
      <w:r>
        <w:br w:type="page"/>
      </w:r>
    </w:p>
    <w:p>
      <w:pPr>
        <w:pStyle w:val="Heading1"/>
      </w:pPr>
      <w:r>
        <w:rPr>
          <w:rFonts w:ascii="Calibri" w:hAnsi="Calibri" w:eastAsia="Calibri"/>
          <w:b w:val="0"/>
          <w:color w:val="000000"/>
        </w:rPr>
        <w:t>Appendix A. Document intake and update form</w:t>
      </w:r>
    </w:p>
    <w:p>
      <w:pPr>
        <w:pStyle w:val="Heading2"/>
      </w:pPr>
      <w:r>
        <w:rPr>
          <w:rFonts w:ascii="Calibri" w:hAnsi="Calibri" w:eastAsia="Calibri"/>
          <w:b w:val="0"/>
          <w:color w:val="000000"/>
        </w:rPr>
        <w:t>Upload or paste these items as they become available</w:t>
      </w:r>
    </w:p>
    <w:p>
      <w:pPr>
        <w:pStyle w:val="ListNumber"/>
      </w:pPr>
      <w:r>
        <w:rPr>
          <w:rFonts w:ascii="Calibri" w:hAnsi="Calibri" w:eastAsia="Calibri"/>
          <w:b w:val="0"/>
          <w:color w:val="000000"/>
        </w:rPr>
        <w:t>CBA, appendices, wage schedules, side letters, MOUs, amendments, and signature pages.</w:t>
      </w:r>
    </w:p>
    <w:p>
      <w:pPr>
        <w:pStyle w:val="ListNumber"/>
      </w:pPr>
      <w:r>
        <w:rPr>
          <w:rFonts w:ascii="Calibri" w:hAnsi="Calibri" w:eastAsia="Calibri"/>
          <w:b w:val="0"/>
          <w:color w:val="000000"/>
        </w:rPr>
        <w:t>Local 835 bylaws, IUOE constitution, unit rules, meeting rules, ratification rules, and strike rules.</w:t>
      </w:r>
    </w:p>
    <w:p>
      <w:pPr>
        <w:pStyle w:val="ListNumber"/>
      </w:pPr>
      <w:r>
        <w:rPr>
          <w:rFonts w:ascii="Calibri" w:hAnsi="Calibri" w:eastAsia="Calibri"/>
          <w:b w:val="0"/>
          <w:color w:val="000000"/>
        </w:rPr>
        <w:t>Written extension, ground rules, opening notices, FMCS notices, emails, texts, or notes concerning July 1 and August 31.</w:t>
      </w:r>
    </w:p>
    <w:p>
      <w:pPr>
        <w:pStyle w:val="ListNumber"/>
      </w:pPr>
      <w:r>
        <w:rPr>
          <w:rFonts w:ascii="Calibri" w:hAnsi="Calibri" w:eastAsia="Calibri"/>
          <w:b w:val="0"/>
          <w:color w:val="000000"/>
        </w:rPr>
        <w:t>Employer and union proposals, counterproposals, package proposals, costing sheets, and tentative agreements.</w:t>
      </w:r>
    </w:p>
    <w:p>
      <w:pPr>
        <w:pStyle w:val="ListNumber"/>
      </w:pPr>
      <w:r>
        <w:rPr>
          <w:rFonts w:ascii="Calibri" w:hAnsi="Calibri" w:eastAsia="Calibri"/>
          <w:b w:val="0"/>
          <w:color w:val="000000"/>
        </w:rPr>
        <w:t>Staffing rosters, schedules, vacancy reports, postings, overtime lists, work-order backlog, and contractor usage.</w:t>
      </w:r>
    </w:p>
    <w:p>
      <w:pPr>
        <w:pStyle w:val="ListNumber"/>
      </w:pPr>
      <w:r>
        <w:rPr>
          <w:rFonts w:ascii="Calibri" w:hAnsi="Calibri" w:eastAsia="Calibri"/>
          <w:b w:val="0"/>
          <w:color w:val="000000"/>
        </w:rPr>
        <w:t>Layoff proposals, notices, lists, selection criteria, business rationale, and impact analyses.</w:t>
      </w:r>
    </w:p>
    <w:p>
      <w:pPr>
        <w:pStyle w:val="ListNumber"/>
      </w:pPr>
      <w:r>
        <w:rPr>
          <w:rFonts w:ascii="Calibri" w:hAnsi="Calibri" w:eastAsia="Calibri"/>
          <w:b w:val="0"/>
          <w:color w:val="000000"/>
        </w:rPr>
        <w:t>Relevant U.S. Facilities-City contract, RFP, scopes, amendments, change orders, service levels, staffing assumptions, invoices, and renewal/termination notices.</w:t>
      </w:r>
    </w:p>
    <w:p>
      <w:pPr>
        <w:pStyle w:val="ListNumber"/>
      </w:pPr>
      <w:r>
        <w:rPr>
          <w:rFonts w:ascii="Calibri" w:hAnsi="Calibri" w:eastAsia="Calibri"/>
          <w:b w:val="0"/>
          <w:color w:val="000000"/>
        </w:rPr>
        <w:t>Grievances, settlements, arbitration awards, unfair-labor-practice papers, and correspondence about staffing or layoffs.</w:t>
      </w:r>
    </w:p>
    <w:p>
      <w:pPr>
        <w:pStyle w:val="ListNumber"/>
      </w:pPr>
      <w:r>
        <w:rPr>
          <w:rFonts w:ascii="Calibri" w:hAnsi="Calibri" w:eastAsia="Calibri"/>
          <w:b w:val="0"/>
          <w:color w:val="000000"/>
        </w:rPr>
        <w:t>Bargaining updates, meeting notices, minutes, steward communications, and member messages.</w:t>
      </w:r>
    </w:p>
    <w:p>
      <w:pPr>
        <w:pStyle w:val="Heading2"/>
      </w:pPr>
      <w:r>
        <w:rPr>
          <w:rFonts w:ascii="Calibri" w:hAnsi="Calibri" w:eastAsia="Calibri"/>
          <w:b w:val="0"/>
          <w:color w:val="000000"/>
        </w:rPr>
        <w:t>Intake record</w:t>
      </w:r>
    </w:p>
    <w:tbl>
      <w:tblPr>
        <w:tblStyle w:val="TableGrid"/>
        <w:tblW w:type="dxa" w:w="9360"/>
        <w:tblLayout w:type="fixed"/>
        <w:tblLook w:firstColumn="1" w:firstRow="1" w:lastColumn="0" w:lastRow="0" w:noHBand="0" w:noVBand="1" w:val="04A0"/>
        <w:jc w:val="left"/>
        <w:tblBorders>
          <w:top w:val="single" w:sz="4" w:space="0" w:color="B8C2CE"/>
          <w:left w:val="single" w:sz="4" w:space="0" w:color="B8C2CE"/>
          <w:bottom w:val="single" w:sz="4" w:space="0" w:color="B8C2CE"/>
          <w:right w:val="single" w:sz="4" w:space="0" w:color="B8C2CE"/>
          <w:insideH w:val="single" w:sz="4" w:space="0" w:color="B8C2CE"/>
          <w:insideV w:val="single" w:sz="4" w:space="0" w:color="B8C2CE"/>
        </w:tblBorders>
        <w:tblInd w:w="120" w:type="dxa"/>
      </w:tblPr>
      <w:tblGrid>
        <w:gridCol w:w="2400"/>
        <w:gridCol w:w="6960"/>
      </w:tblGrid>
      <w:tr>
        <w:trPr>
          <w:cantSplit/>
          <w:tblHeader w:val="true"/>
        </w:trPr>
        <w:tc>
          <w:tcPr>
            <w:tcW w:type="dxa" w:w="240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Field</w:t>
            </w:r>
          </w:p>
        </w:tc>
        <w:tc>
          <w:tcPr>
            <w:tcW w:type="dxa" w:w="6960"/>
            <w:shd w:fill="E8EEF5" w:val="clear"/>
            <w:tcMar>
              <w:top w:w="100" w:type="dxa"/>
              <w:start w:w="120" w:type="dxa"/>
              <w:bottom w:w="100" w:type="dxa"/>
              <w:end w:w="120" w:type="dxa"/>
            </w:tcMar>
            <w:vAlign w:val="center"/>
          </w:tcPr>
          <w:p>
            <w:pPr>
              <w:spacing w:before="0" w:after="0" w:line="252" w:lineRule="auto"/>
              <w:jc w:val="center"/>
            </w:pPr>
            <w:r>
              <w:rPr>
                <w:b/>
              </w:rPr>
            </w:r>
            <w:r>
              <w:rPr>
                <w:rFonts w:ascii="Calibri" w:hAnsi="Calibri" w:eastAsia="Calibri"/>
                <w:b/>
                <w:color w:val="0B2545"/>
                <w:sz w:val="17"/>
              </w:rPr>
              <w:t>Entry</w:t>
            </w:r>
          </w:p>
        </w:tc>
      </w:tr>
      <w:tr>
        <w:trPr>
          <w:cantSplit/>
        </w:trPr>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File or message title</w:t>
            </w:r>
          </w:p>
        </w:tc>
        <w:tc>
          <w:tcPr>
            <w:tcW w:type="dxa" w:w="6960"/>
            <w:tcMar>
              <w:top w:w="100" w:type="dxa"/>
              <w:start w:w="120" w:type="dxa"/>
              <w:bottom w:w="100" w:type="dxa"/>
              <w:end w:w="120" w:type="dxa"/>
            </w:tcMar>
            <w:vAlign w:val="center"/>
          </w:tcPr>
          <w:p>
            <w:pPr>
              <w:spacing w:before="0" w:after="0" w:line="252" w:lineRule="auto"/>
              <w:jc w:val="left"/>
            </w:pPr>
            <w:r/>
          </w:p>
        </w:tc>
      </w:tr>
      <w:tr>
        <w:trPr>
          <w:cantSplit/>
        </w:trPr>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Date created/sent</w:t>
            </w:r>
          </w:p>
        </w:tc>
        <w:tc>
          <w:tcPr>
            <w:tcW w:type="dxa" w:w="6960"/>
            <w:tcMar>
              <w:top w:w="100" w:type="dxa"/>
              <w:start w:w="120" w:type="dxa"/>
              <w:bottom w:w="100" w:type="dxa"/>
              <w:end w:w="120" w:type="dxa"/>
            </w:tcMar>
            <w:vAlign w:val="center"/>
          </w:tcPr>
          <w:p>
            <w:pPr>
              <w:spacing w:before="0" w:after="0" w:line="252" w:lineRule="auto"/>
              <w:jc w:val="left"/>
            </w:pPr>
            <w:r/>
          </w:p>
        </w:tc>
      </w:tr>
      <w:tr>
        <w:trPr>
          <w:cantSplit/>
        </w:trPr>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Date received</w:t>
            </w:r>
          </w:p>
        </w:tc>
        <w:tc>
          <w:tcPr>
            <w:tcW w:type="dxa" w:w="6960"/>
            <w:tcMar>
              <w:top w:w="100" w:type="dxa"/>
              <w:start w:w="120" w:type="dxa"/>
              <w:bottom w:w="100" w:type="dxa"/>
              <w:end w:w="120" w:type="dxa"/>
            </w:tcMar>
            <w:vAlign w:val="center"/>
          </w:tcPr>
          <w:p>
            <w:pPr>
              <w:spacing w:before="0" w:after="0" w:line="252" w:lineRule="auto"/>
              <w:jc w:val="left"/>
            </w:pPr>
            <w:r/>
          </w:p>
        </w:tc>
      </w:tr>
      <w:tr>
        <w:trPr>
          <w:cantSplit/>
        </w:trPr>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Source / custodian</w:t>
            </w:r>
          </w:p>
        </w:tc>
        <w:tc>
          <w:tcPr>
            <w:tcW w:type="dxa" w:w="6960"/>
            <w:tcMar>
              <w:top w:w="100" w:type="dxa"/>
              <w:start w:w="120" w:type="dxa"/>
              <w:bottom w:w="100" w:type="dxa"/>
              <w:end w:w="120" w:type="dxa"/>
            </w:tcMar>
            <w:vAlign w:val="center"/>
          </w:tcPr>
          <w:p>
            <w:pPr>
              <w:spacing w:before="0" w:after="0" w:line="252" w:lineRule="auto"/>
              <w:jc w:val="left"/>
            </w:pPr>
            <w:r/>
          </w:p>
        </w:tc>
      </w:tr>
      <w:tr>
        <w:trPr>
          <w:cantSplit/>
        </w:trPr>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Firsthand or forwarded?</w:t>
            </w:r>
          </w:p>
        </w:tc>
        <w:tc>
          <w:tcPr>
            <w:tcW w:type="dxa" w:w="6960"/>
            <w:tcMar>
              <w:top w:w="100" w:type="dxa"/>
              <w:start w:w="120" w:type="dxa"/>
              <w:bottom w:w="100" w:type="dxa"/>
              <w:end w:w="120" w:type="dxa"/>
            </w:tcMar>
            <w:vAlign w:val="center"/>
          </w:tcPr>
          <w:p>
            <w:pPr>
              <w:spacing w:before="0" w:after="0" w:line="252" w:lineRule="auto"/>
              <w:jc w:val="left"/>
            </w:pPr>
            <w:r/>
          </w:p>
        </w:tc>
      </w:tr>
      <w:tr>
        <w:trPr>
          <w:cantSplit/>
        </w:trPr>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Complete or partial?</w:t>
            </w:r>
          </w:p>
        </w:tc>
        <w:tc>
          <w:tcPr>
            <w:tcW w:type="dxa" w:w="6960"/>
            <w:tcMar>
              <w:top w:w="100" w:type="dxa"/>
              <w:start w:w="120" w:type="dxa"/>
              <w:bottom w:w="100" w:type="dxa"/>
              <w:end w:w="120" w:type="dxa"/>
            </w:tcMar>
            <w:vAlign w:val="center"/>
          </w:tcPr>
          <w:p>
            <w:pPr>
              <w:spacing w:before="0" w:after="0" w:line="252" w:lineRule="auto"/>
              <w:jc w:val="left"/>
            </w:pPr>
            <w:r/>
          </w:p>
        </w:tc>
      </w:tr>
      <w:tr>
        <w:trPr>
          <w:cantSplit/>
        </w:trPr>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Security / privacy concern</w:t>
            </w:r>
          </w:p>
        </w:tc>
        <w:tc>
          <w:tcPr>
            <w:tcW w:type="dxa" w:w="6960"/>
            <w:tcMar>
              <w:top w:w="100" w:type="dxa"/>
              <w:start w:w="120" w:type="dxa"/>
              <w:bottom w:w="100" w:type="dxa"/>
              <w:end w:w="120" w:type="dxa"/>
            </w:tcMar>
            <w:vAlign w:val="center"/>
          </w:tcPr>
          <w:p>
            <w:pPr>
              <w:spacing w:before="0" w:after="0" w:line="252" w:lineRule="auto"/>
              <w:jc w:val="left"/>
            </w:pPr>
            <w:r/>
          </w:p>
        </w:tc>
      </w:tr>
      <w:tr>
        <w:trPr>
          <w:cantSplit/>
        </w:trPr>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Key claim supported</w:t>
            </w:r>
          </w:p>
        </w:tc>
        <w:tc>
          <w:tcPr>
            <w:tcW w:type="dxa" w:w="6960"/>
            <w:tcMar>
              <w:top w:w="100" w:type="dxa"/>
              <w:start w:w="120" w:type="dxa"/>
              <w:bottom w:w="100" w:type="dxa"/>
              <w:end w:w="120" w:type="dxa"/>
            </w:tcMar>
            <w:vAlign w:val="center"/>
          </w:tcPr>
          <w:p>
            <w:pPr>
              <w:spacing w:before="0" w:after="0" w:line="252" w:lineRule="auto"/>
              <w:jc w:val="left"/>
            </w:pPr>
            <w:r/>
          </w:p>
        </w:tc>
      </w:tr>
      <w:tr>
        <w:trPr>
          <w:cantSplit/>
        </w:trPr>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Page / article / message location</w:t>
            </w:r>
          </w:p>
        </w:tc>
        <w:tc>
          <w:tcPr>
            <w:tcW w:type="dxa" w:w="6960"/>
            <w:tcMar>
              <w:top w:w="100" w:type="dxa"/>
              <w:start w:w="120" w:type="dxa"/>
              <w:bottom w:w="100" w:type="dxa"/>
              <w:end w:w="120" w:type="dxa"/>
            </w:tcMar>
            <w:vAlign w:val="center"/>
          </w:tcPr>
          <w:p>
            <w:pPr>
              <w:spacing w:before="0" w:after="0" w:line="252" w:lineRule="auto"/>
              <w:jc w:val="left"/>
            </w:pPr>
            <w:r/>
          </w:p>
        </w:tc>
      </w:tr>
      <w:tr>
        <w:trPr>
          <w:cantSplit/>
        </w:trPr>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Conflicting evidence</w:t>
            </w:r>
          </w:p>
        </w:tc>
        <w:tc>
          <w:tcPr>
            <w:tcW w:type="dxa" w:w="6960"/>
            <w:tcMar>
              <w:top w:w="100" w:type="dxa"/>
              <w:start w:w="120" w:type="dxa"/>
              <w:bottom w:w="100" w:type="dxa"/>
              <w:end w:w="120" w:type="dxa"/>
            </w:tcMar>
            <w:vAlign w:val="center"/>
          </w:tcPr>
          <w:p>
            <w:pPr>
              <w:spacing w:before="0" w:after="0" w:line="252" w:lineRule="auto"/>
              <w:jc w:val="left"/>
            </w:pPr>
            <w:r/>
          </w:p>
        </w:tc>
      </w:tr>
      <w:tr>
        <w:trPr>
          <w:cantSplit/>
        </w:trPr>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Follow-up question</w:t>
            </w:r>
          </w:p>
        </w:tc>
        <w:tc>
          <w:tcPr>
            <w:tcW w:type="dxa" w:w="6960"/>
            <w:tcMar>
              <w:top w:w="100" w:type="dxa"/>
              <w:start w:w="120" w:type="dxa"/>
              <w:bottom w:w="100" w:type="dxa"/>
              <w:end w:w="120" w:type="dxa"/>
            </w:tcMar>
            <w:vAlign w:val="center"/>
          </w:tcPr>
          <w:p>
            <w:pPr>
              <w:spacing w:before="0" w:after="0" w:line="252" w:lineRule="auto"/>
              <w:jc w:val="left"/>
            </w:pPr>
            <w:r/>
          </w:p>
        </w:tc>
      </w:tr>
      <w:tr>
        <w:trPr>
          <w:cantSplit/>
        </w:trPr>
        <w:tc>
          <w:tcPr>
            <w:tcW w:type="dxa" w:w="2400"/>
            <w:tcMar>
              <w:top w:w="100" w:type="dxa"/>
              <w:start w:w="120" w:type="dxa"/>
              <w:bottom w:w="100" w:type="dxa"/>
              <w:end w:w="120" w:type="dxa"/>
            </w:tcMar>
            <w:vAlign w:val="center"/>
          </w:tcPr>
          <w:p>
            <w:pPr>
              <w:spacing w:before="0" w:after="0" w:line="252" w:lineRule="auto"/>
              <w:jc w:val="left"/>
            </w:pPr>
            <w:r/>
            <w:r>
              <w:rPr>
                <w:rFonts w:ascii="Calibri" w:hAnsi="Calibri" w:eastAsia="Calibri"/>
                <w:b w:val="0"/>
                <w:color w:val="000000"/>
                <w:sz w:val="17"/>
              </w:rPr>
              <w:t>Evidence-log ID</w:t>
            </w:r>
          </w:p>
        </w:tc>
        <w:tc>
          <w:tcPr>
            <w:tcW w:type="dxa" w:w="6960"/>
            <w:tcMar>
              <w:top w:w="100" w:type="dxa"/>
              <w:start w:w="120" w:type="dxa"/>
              <w:bottom w:w="100" w:type="dxa"/>
              <w:end w:w="120" w:type="dxa"/>
            </w:tcMar>
            <w:vAlign w:val="center"/>
          </w:tcPr>
          <w:p>
            <w:pPr>
              <w:spacing w:before="0" w:after="0" w:line="252" w:lineRule="auto"/>
              <w:jc w:val="left"/>
            </w:pPr>
            <w:r/>
          </w:p>
        </w:tc>
      </w:tr>
    </w:tbl>
    <w:p>
      <w:pPr>
        <w:spacing w:before="0" w:after="40"/>
      </w:pPr>
    </w:p>
    <w:p>
      <w:pPr>
        <w:pStyle w:val="Heading2"/>
      </w:pPr>
      <w:r>
        <w:rPr>
          <w:rFonts w:ascii="Calibri" w:hAnsi="Calibri" w:eastAsia="Calibri"/>
          <w:b w:val="0"/>
          <w:color w:val="000000"/>
        </w:rPr>
        <w:t>Update discipline</w:t>
      </w:r>
    </w:p>
    <w:p>
      <w:pPr>
        <w:pStyle w:val="ListBullet"/>
      </w:pPr>
      <w:r>
        <w:rPr>
          <w:rFonts w:ascii="Calibri" w:hAnsi="Calibri" w:eastAsia="Calibri"/>
          <w:b w:val="0"/>
          <w:color w:val="000000"/>
        </w:rPr>
        <w:t>Add new facts only with a source-status tag.</w:t>
      </w:r>
    </w:p>
    <w:p>
      <w:pPr>
        <w:pStyle w:val="ListBullet"/>
      </w:pPr>
      <w:r>
        <w:rPr>
          <w:rFonts w:ascii="Calibri" w:hAnsi="Calibri" w:eastAsia="Calibri"/>
          <w:b w:val="0"/>
          <w:color w:val="000000"/>
        </w:rPr>
        <w:t xml:space="preserve">Change </w:t>
      </w:r>
      <w:r>
        <w:rPr>
          <w:rFonts w:ascii="Calibri" w:hAnsi="Calibri" w:eastAsia="Calibri"/>
          <w:b/>
          <w:color w:val="000000"/>
        </w:rPr>
        <w:t>R</w:t>
      </w:r>
      <w:r>
        <w:rPr>
          <w:rFonts w:ascii="Calibri" w:hAnsi="Calibri" w:eastAsia="Calibri"/>
          <w:b w:val="0"/>
          <w:color w:val="000000"/>
        </w:rPr>
        <w:t xml:space="preserve"> to </w:t>
      </w:r>
      <w:r>
        <w:rPr>
          <w:rFonts w:ascii="Calibri" w:hAnsi="Calibri" w:eastAsia="Calibri"/>
          <w:b/>
          <w:color w:val="000000"/>
        </w:rPr>
        <w:t>V</w:t>
      </w:r>
      <w:r>
        <w:rPr>
          <w:rFonts w:ascii="Calibri" w:hAnsi="Calibri" w:eastAsia="Calibri"/>
          <w:b w:val="0"/>
          <w:color w:val="000000"/>
        </w:rPr>
        <w:t xml:space="preserve"> only after reviewing the actual source.</w:t>
      </w:r>
    </w:p>
    <w:p>
      <w:pPr>
        <w:pStyle w:val="ListBullet"/>
      </w:pPr>
      <w:r>
        <w:rPr>
          <w:rFonts w:ascii="Calibri" w:hAnsi="Calibri" w:eastAsia="Calibri"/>
          <w:b w:val="0"/>
          <w:color w:val="000000"/>
        </w:rPr>
        <w:t>If sources conflict, keep both and mark the conflict; do not choose silently.</w:t>
      </w:r>
    </w:p>
    <w:p>
      <w:pPr>
        <w:pStyle w:val="ListBullet"/>
      </w:pPr>
      <w:r>
        <w:rPr>
          <w:rFonts w:ascii="Calibri" w:hAnsi="Calibri" w:eastAsia="Calibri"/>
          <w:b w:val="0"/>
          <w:color w:val="000000"/>
        </w:rPr>
        <w:t>Preserve the prior version before changing petition language or legal summaries.</w:t>
      </w:r>
    </w:p>
    <w:p>
      <w:pPr>
        <w:pStyle w:val="ListBullet"/>
      </w:pPr>
      <w:r>
        <w:rPr>
          <w:rFonts w:ascii="Calibri" w:hAnsi="Calibri" w:eastAsia="Calibri"/>
          <w:b w:val="0"/>
          <w:color w:val="000000"/>
        </w:rPr>
        <w:t>Record the packet version and update date after each material change.</w:t>
      </w:r>
    </w:p>
    <w:p>
      <w:pPr>
        <w:pStyle w:val="Heading1"/>
      </w:pPr>
      <w:r>
        <w:rPr>
          <w:rFonts w:ascii="Calibri" w:hAnsi="Calibri" w:eastAsia="Calibri"/>
          <w:b w:val="0"/>
          <w:color w:val="000000"/>
        </w:rPr>
        <w:t>Appendix B. Authoritative sources reviewed</w:t>
      </w:r>
    </w:p>
    <w:p>
      <w:r>
        <w:rPr>
          <w:rFonts w:ascii="Calibri" w:hAnsi="Calibri" w:eastAsia="Calibri"/>
          <w:b w:val="0"/>
          <w:color w:val="000000"/>
        </w:rPr>
        <w:t>Accessed July 27, 2026.</w:t>
      </w:r>
    </w:p>
    <w:p>
      <w:pPr>
        <w:pStyle w:val="ListNumber"/>
      </w:pPr>
      <w:r>
        <w:rPr>
          <w:rFonts w:ascii="Calibri" w:hAnsi="Calibri" w:eastAsia="Calibri"/>
          <w:b w:val="0"/>
          <w:color w:val="000000"/>
        </w:rPr>
        <w:t>National Labor Relations Board, "Collective bargaining rights": https://www.nlrb.gov/about-nlrb/rights-we-protect/the-law/employees/collective-bargaining-rights</w:t>
      </w:r>
    </w:p>
    <w:p>
      <w:pPr>
        <w:pStyle w:val="ListNumber"/>
      </w:pPr>
      <w:r>
        <w:rPr>
          <w:rFonts w:ascii="Calibri" w:hAnsi="Calibri" w:eastAsia="Calibri"/>
          <w:b w:val="0"/>
          <w:color w:val="000000"/>
        </w:rPr>
        <w:t>National Labor Relations Board, "Basic Guide to the National Labor Relations Act," especially pp. 23-24: https://www.nlrb.gov/sites/default/files/attachments/basic-page/node-3024/basicguide.pdf</w:t>
      </w:r>
    </w:p>
    <w:p>
      <w:pPr>
        <w:pStyle w:val="ListNumber"/>
      </w:pPr>
      <w:r>
        <w:rPr>
          <w:rFonts w:ascii="Calibri" w:hAnsi="Calibri" w:eastAsia="Calibri"/>
          <w:b w:val="0"/>
          <w:color w:val="000000"/>
        </w:rPr>
        <w:t>National Labor Relations Board, "Right to strike and picket": https://www.nlrb.gov/about-nlrb/rights-we-protect/the-law/employees/right-to-strike-and-picket</w:t>
      </w:r>
    </w:p>
    <w:p>
      <w:pPr>
        <w:pStyle w:val="ListNumber"/>
      </w:pPr>
      <w:r>
        <w:rPr>
          <w:rFonts w:ascii="Calibri" w:hAnsi="Calibri" w:eastAsia="Calibri"/>
          <w:b w:val="0"/>
          <w:color w:val="000000"/>
        </w:rPr>
        <w:t>National Labor Relations Board, "Right to fair representation": https://www.nlrb.gov/about-nlrb/rights-we-protect/the-law/employees/right-to-fair-representation</w:t>
      </w:r>
    </w:p>
    <w:p>
      <w:pPr>
        <w:pStyle w:val="ListNumber"/>
      </w:pPr>
      <w:r>
        <w:rPr>
          <w:rFonts w:ascii="Calibri" w:hAnsi="Calibri" w:eastAsia="Calibri"/>
          <w:b w:val="0"/>
          <w:color w:val="000000"/>
        </w:rPr>
        <w:t>National Labor Relations Board, "Concerted Activity": https://www.nlrb.gov/about-nlrb/rights-we-protect/the-law/employees/concerted-activity</w:t>
      </w:r>
    </w:p>
    <w:p>
      <w:pPr>
        <w:pStyle w:val="ListNumber"/>
      </w:pPr>
      <w:r>
        <w:rPr>
          <w:rFonts w:ascii="Calibri" w:hAnsi="Calibri" w:eastAsia="Calibri"/>
          <w:b w:val="0"/>
          <w:color w:val="000000"/>
        </w:rPr>
        <w:t>National Labor Relations Board, National Labor Relations Act, section 10(b): https://www.nlrb.gov/guidance/key-reference-materials/national-labor-relations-act</w:t>
      </w:r>
    </w:p>
    <w:p>
      <w:pPr>
        <w:pStyle w:val="ListNumber"/>
      </w:pPr>
      <w:r>
        <w:rPr>
          <w:rFonts w:ascii="Calibri" w:hAnsi="Calibri" w:eastAsia="Calibri"/>
          <w:b w:val="0"/>
          <w:color w:val="000000"/>
        </w:rPr>
        <w:t>U.S. Department of Labor, OLMS, "Frequently Asked Questions About Union Member Rights Under the LMRDA and CSRA": https://www.dol.gov/agencies/olms/compliance-assistance/faqs</w:t>
      </w:r>
    </w:p>
    <w:p>
      <w:pPr>
        <w:pStyle w:val="ListNumber"/>
      </w:pPr>
      <w:r>
        <w:rPr>
          <w:rFonts w:ascii="Calibri" w:hAnsi="Calibri" w:eastAsia="Calibri"/>
          <w:b w:val="0"/>
          <w:color w:val="000000"/>
        </w:rPr>
        <w:t>U.S. Department of Labor, OLMS, "Rights and Responsibilities Under the LMRDA and CSRA": https://www.dol.gov/agencies/olms/compliance-assistance/rights-and-responsibilities</w:t>
      </w:r>
    </w:p>
    <w:p>
      <w:pPr>
        <w:pStyle w:val="ListNumber"/>
      </w:pPr>
      <w:r>
        <w:rPr>
          <w:rFonts w:ascii="Calibri" w:hAnsi="Calibri" w:eastAsia="Calibri"/>
          <w:b w:val="0"/>
          <w:color w:val="000000"/>
        </w:rPr>
        <w:t>U.S. Department of Labor, Labor-Management Reporting and Disclosure Act, including sections 101 and 104: https://www.dol.gov/agencies/olms/laws/labor-management-reporting-and-disclosure-act</w:t>
      </w:r>
    </w:p>
    <w:p>
      <w:pPr>
        <w:pStyle w:val="ListNumber"/>
      </w:pPr>
      <w:r>
        <w:rPr>
          <w:rFonts w:ascii="Calibri" w:hAnsi="Calibri" w:eastAsia="Calibri"/>
          <w:b w:val="0"/>
          <w:color w:val="000000"/>
        </w:rPr>
        <w:t>Philadelphia Department of Prisons, Eighth Monitor's Report, filed March 30, 2026, especially pp. 93-94: https://www.phila.gov/media/20260409163657/pdp-monitors-report-8.pdf</w:t>
      </w:r>
    </w:p>
    <w:p>
      <w:pPr>
        <w:pStyle w:val="ListNumber"/>
      </w:pPr>
      <w:r>
        <w:rPr>
          <w:rFonts w:ascii="Calibri" w:hAnsi="Calibri" w:eastAsia="Calibri"/>
          <w:b w:val="0"/>
          <w:color w:val="000000"/>
        </w:rPr>
        <w:t>Philadelphia Department of Prisons, Seventh Monitor's Report, filed September 30, 2025, especially pp. 101-102: https://www.phila.gov/media/20260409163656/pdp-monitors-report-7.pdf</w:t>
      </w:r>
    </w:p>
    <w:p>
      <w:pPr>
        <w:pStyle w:val="ListNumber"/>
      </w:pPr>
      <w:r>
        <w:rPr>
          <w:rFonts w:ascii="Calibri" w:hAnsi="Calibri" w:eastAsia="Calibri"/>
          <w:b w:val="0"/>
          <w:color w:val="000000"/>
        </w:rPr>
        <w:t>National Labor Relations Board, Region 4 - Philadelphia: https://www.nlrb.gov/about-nlrb/who-we-are/regional-offices/region-04-philadelphia</w:t>
      </w:r>
    </w:p>
    <w:p>
      <w:pPr>
        <w:spacing w:before="100" w:after="160" w:line="269" w:lineRule="auto"/>
        <w:shd w:fill="F4F6F9"/>
        <w:pBdr>
          <w:left w:val="single" w:sz="18" w:space="8" w:color="2E74B5"/>
        </w:pBdr>
        <w:ind w:left="180" w:right="120"/>
      </w:pPr>
      <w:r>
        <w:rPr>
          <w:rFonts w:ascii="Calibri" w:hAnsi="Calibri" w:eastAsia="Calibri"/>
          <w:b/>
          <w:color w:val="0B2545"/>
          <w:sz w:val="19"/>
        </w:rPr>
        <w:t>Public-source limitation:</w:t>
      </w:r>
      <w:r>
        <w:rPr>
          <w:rFonts w:ascii="Calibri" w:hAnsi="Calibri" w:eastAsia="Calibri"/>
          <w:b w:val="0"/>
          <w:color w:val="0B2545"/>
          <w:sz w:val="19"/>
        </w:rPr>
        <w:t xml:space="preserve"> The public monitor reports confirm context about U.S. Facilities work at PDP facilities. They do not verify the private bargaining claims in this packet. The legal sources provide general information, not an opinion on these facts.</w:t>
      </w:r>
    </w:p>
    <w:sectPr>
      <w:headerReference w:type="default" r:id="rId9"/>
      <w:footerReference w:type="default" r:id="rId10"/>
      <w:pgSz w:w="12240" w:h="15840"/>
      <w:pgMar w:top="1181" w:right="1440" w:bottom="1080"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B6573"/>
        <w:sz w:val="17"/>
      </w:rPr>
      <w:t xml:space="preserve">Member working packet  |  July 27, 2026  |  Page </w:t>
    </w:r>
    <w:r>
      <w:rPr>
        <w:rFonts w:ascii="Calibri" w:hAnsi="Calibri" w:eastAsia="Calibri"/>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3" w:color="C8D1DC"/>
      </w:pBdr>
    </w:pPr>
    <w:r>
      <w:rPr>
        <w:rFonts w:ascii="Calibri" w:hAnsi="Calibri" w:eastAsia="Calibri"/>
        <w:b/>
        <w:color w:val="9B1C1C"/>
        <w:sz w:val="17"/>
      </w:rPr>
      <w:t>PRIVATE WORKING DRAFT</w:t>
    </w:r>
    <w:r>
      <w:rPr>
        <w:rFonts w:ascii="Calibri" w:hAnsi="Calibri" w:eastAsia="Calibri"/>
        <w:b/>
        <w:color w:val="5B6573"/>
        <w:sz w:val="17"/>
      </w:rPr>
      <w:t xml:space="preserve">   |   IUOE LOCAL 835 / U.S. FACILITIES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10" w:line="283"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IUOE Local 835 Private Working Packet</dc:title>
  <dc:subject>Bargaining meeting preparation</dc:subject>
  <dc:creator/>
  <cp:keywords>collective bargaining, staffing, member petition</cp:keywords>
  <dc:description>generated by python-docx</dc:description>
  <cp:lastModifiedBy/>
  <cp:revision>1</cp:revision>
  <dcterms:created xsi:type="dcterms:W3CDTF">2013-12-23T23:15:00Z</dcterms:created>
  <dcterms:modified xsi:type="dcterms:W3CDTF">2013-12-23T23:15:00Z</dcterms:modified>
  <cp:category/>
</cp:coreProperties>
</file>