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E3682A" w14:textId="4267D3C8" w:rsidR="00E76409" w:rsidRPr="00E76409" w:rsidRDefault="00E76409" w:rsidP="00011B3A">
      <w:pPr>
        <w:jc w:val="both"/>
        <w:rPr>
          <w:rFonts w:ascii="Arial" w:hAnsi="Arial" w:cs="Arial"/>
          <w:b/>
          <w:bCs/>
          <w:sz w:val="24"/>
          <w:szCs w:val="24"/>
        </w:rPr>
      </w:pPr>
      <w:r w:rsidRPr="00E76409">
        <w:rPr>
          <w:rFonts w:ascii="Arial" w:hAnsi="Arial" w:cs="Arial"/>
          <w:b/>
          <w:bCs/>
          <w:sz w:val="24"/>
          <w:szCs w:val="24"/>
        </w:rPr>
        <w:t xml:space="preserve">1) </w:t>
      </w:r>
      <w:r>
        <w:rPr>
          <w:rFonts w:ascii="Arial" w:hAnsi="Arial" w:cs="Arial"/>
          <w:b/>
          <w:bCs/>
          <w:sz w:val="24"/>
          <w:szCs w:val="24"/>
        </w:rPr>
        <w:t>(5 pontos)</w:t>
      </w:r>
    </w:p>
    <w:p w14:paraId="6377F5B9" w14:textId="70EF3F74" w:rsidR="00011B3A" w:rsidRDefault="00384CD3" w:rsidP="0054595C">
      <w:pPr>
        <w:spacing w:after="480" w:line="240" w:lineRule="auto"/>
        <w:jc w:val="both"/>
        <w:rPr>
          <w:rFonts w:ascii="Arial" w:hAnsi="Arial" w:cs="Arial"/>
          <w:sz w:val="24"/>
          <w:szCs w:val="24"/>
        </w:rPr>
      </w:pPr>
      <w:r>
        <w:rPr>
          <w:rFonts w:ascii="Arial" w:hAnsi="Arial" w:cs="Arial"/>
          <w:sz w:val="24"/>
          <w:szCs w:val="24"/>
        </w:rPr>
        <w:t xml:space="preserve">Em sua opinião, existiram mais semelhanças ou diferenças entre os chamados “ciclos” do açúcar e do café no tocante a: i. a mobilização de fatores de produção para sua implantação e operação; </w:t>
      </w:r>
      <w:proofErr w:type="spellStart"/>
      <w:r>
        <w:rPr>
          <w:rFonts w:ascii="Arial" w:hAnsi="Arial" w:cs="Arial"/>
          <w:sz w:val="24"/>
          <w:szCs w:val="24"/>
        </w:rPr>
        <w:t>ii</w:t>
      </w:r>
      <w:proofErr w:type="spellEnd"/>
      <w:r>
        <w:rPr>
          <w:rFonts w:ascii="Arial" w:hAnsi="Arial" w:cs="Arial"/>
          <w:sz w:val="24"/>
          <w:szCs w:val="24"/>
        </w:rPr>
        <w:t xml:space="preserve">. </w:t>
      </w:r>
      <w:proofErr w:type="gramStart"/>
      <w:r>
        <w:rPr>
          <w:rFonts w:ascii="Arial" w:hAnsi="Arial" w:cs="Arial"/>
          <w:sz w:val="24"/>
          <w:szCs w:val="24"/>
        </w:rPr>
        <w:t>sua</w:t>
      </w:r>
      <w:proofErr w:type="gramEnd"/>
      <w:r>
        <w:rPr>
          <w:rFonts w:ascii="Arial" w:hAnsi="Arial" w:cs="Arial"/>
          <w:sz w:val="24"/>
          <w:szCs w:val="24"/>
        </w:rPr>
        <w:t xml:space="preserve"> articulação com as demais regiões do território brasileiro; e </w:t>
      </w:r>
      <w:proofErr w:type="spellStart"/>
      <w:r>
        <w:rPr>
          <w:rFonts w:ascii="Arial" w:hAnsi="Arial" w:cs="Arial"/>
          <w:sz w:val="24"/>
          <w:szCs w:val="24"/>
        </w:rPr>
        <w:t>iii</w:t>
      </w:r>
      <w:proofErr w:type="spellEnd"/>
      <w:r>
        <w:rPr>
          <w:rFonts w:ascii="Arial" w:hAnsi="Arial" w:cs="Arial"/>
          <w:sz w:val="24"/>
          <w:szCs w:val="24"/>
        </w:rPr>
        <w:t xml:space="preserve">. </w:t>
      </w:r>
      <w:proofErr w:type="gramStart"/>
      <w:r>
        <w:rPr>
          <w:rFonts w:ascii="Arial" w:hAnsi="Arial" w:cs="Arial"/>
          <w:sz w:val="24"/>
          <w:szCs w:val="24"/>
        </w:rPr>
        <w:t>sua</w:t>
      </w:r>
      <w:proofErr w:type="gramEnd"/>
      <w:r>
        <w:rPr>
          <w:rFonts w:ascii="Arial" w:hAnsi="Arial" w:cs="Arial"/>
          <w:sz w:val="24"/>
          <w:szCs w:val="24"/>
        </w:rPr>
        <w:t xml:space="preserve"> integração à economia internacional?  </w:t>
      </w:r>
      <w:r w:rsidR="00011B3A" w:rsidRPr="00384CD3">
        <w:rPr>
          <w:rFonts w:ascii="Arial" w:hAnsi="Arial" w:cs="Arial"/>
          <w:sz w:val="24"/>
          <w:szCs w:val="24"/>
          <w:u w:val="single"/>
        </w:rPr>
        <w:t>Justifique</w:t>
      </w:r>
      <w:r w:rsidR="00011B3A">
        <w:rPr>
          <w:rFonts w:ascii="Arial" w:hAnsi="Arial" w:cs="Arial"/>
          <w:sz w:val="24"/>
          <w:szCs w:val="24"/>
        </w:rPr>
        <w:t xml:space="preserve"> a sua resposta.</w:t>
      </w:r>
    </w:p>
    <w:p w14:paraId="62FAA420" w14:textId="45669FD5" w:rsidR="00C11C75" w:rsidRDefault="00C11C75" w:rsidP="0054595C">
      <w:pPr>
        <w:spacing w:after="480" w:line="240" w:lineRule="auto"/>
        <w:jc w:val="both"/>
        <w:rPr>
          <w:rFonts w:asciiTheme="majorHAnsi" w:hAnsiTheme="majorHAnsi" w:cstheme="majorHAnsi"/>
          <w:sz w:val="24"/>
          <w:szCs w:val="24"/>
        </w:rPr>
      </w:pPr>
      <w:r>
        <w:rPr>
          <w:rFonts w:asciiTheme="majorHAnsi" w:hAnsiTheme="majorHAnsi" w:cstheme="majorHAnsi"/>
          <w:sz w:val="24"/>
          <w:szCs w:val="24"/>
        </w:rPr>
        <w:t>Os ciclos do café e do açúcar foram relativamente similares em muitos aspectos</w:t>
      </w:r>
      <w:r w:rsidR="001E6C02">
        <w:rPr>
          <w:rFonts w:asciiTheme="majorHAnsi" w:hAnsiTheme="majorHAnsi" w:cstheme="majorHAnsi"/>
          <w:sz w:val="24"/>
          <w:szCs w:val="24"/>
        </w:rPr>
        <w:t>. O primeiro e mais claro é o uso extensivo do trabalho de africanos escravizados em grandes latifúndios para a produção tanto do café como do açúcar. A implementação dessa produção</w:t>
      </w:r>
      <w:r w:rsidR="003D4AF4">
        <w:rPr>
          <w:rFonts w:asciiTheme="majorHAnsi" w:hAnsiTheme="majorHAnsi" w:cstheme="majorHAnsi"/>
          <w:sz w:val="24"/>
          <w:szCs w:val="24"/>
        </w:rPr>
        <w:t xml:space="preserve"> já era mais divergente entre os dois ciclos, visto que o ciclo do café se inicia em um período onde já exista um sistema bancário relativamente moderno dentro do Brasil, possibilitando que produtores conseguissem crédito para suas operações muito mais facilmente do que durante a era colonial. Este crédito poderia ser utilizado tanto para insumos da produção cafeeira como para a compra de escravos, ou ferramentas que pudessem aumentar a produtividade na lavou</w:t>
      </w:r>
      <w:r w:rsidR="0051233E">
        <w:rPr>
          <w:rFonts w:asciiTheme="majorHAnsi" w:hAnsiTheme="majorHAnsi" w:cstheme="majorHAnsi"/>
          <w:sz w:val="24"/>
          <w:szCs w:val="24"/>
        </w:rPr>
        <w:t>r</w:t>
      </w:r>
      <w:r w:rsidR="003D4AF4">
        <w:rPr>
          <w:rFonts w:asciiTheme="majorHAnsi" w:hAnsiTheme="majorHAnsi" w:cstheme="majorHAnsi"/>
          <w:sz w:val="24"/>
          <w:szCs w:val="24"/>
        </w:rPr>
        <w:t>a</w:t>
      </w:r>
      <w:r w:rsidR="0051233E">
        <w:rPr>
          <w:rFonts w:asciiTheme="majorHAnsi" w:hAnsiTheme="majorHAnsi" w:cstheme="majorHAnsi"/>
          <w:sz w:val="24"/>
          <w:szCs w:val="24"/>
        </w:rPr>
        <w:t>, e assim conseguia aumentar a produtividade total das plantações</w:t>
      </w:r>
      <w:r w:rsidR="003D4AF4">
        <w:rPr>
          <w:rFonts w:asciiTheme="majorHAnsi" w:hAnsiTheme="majorHAnsi" w:cstheme="majorHAnsi"/>
          <w:sz w:val="24"/>
          <w:szCs w:val="24"/>
        </w:rPr>
        <w:t>.</w:t>
      </w:r>
      <w:r w:rsidR="0051233E">
        <w:rPr>
          <w:rFonts w:asciiTheme="majorHAnsi" w:hAnsiTheme="majorHAnsi" w:cstheme="majorHAnsi"/>
          <w:sz w:val="24"/>
          <w:szCs w:val="24"/>
        </w:rPr>
        <w:t xml:space="preserve"> </w:t>
      </w:r>
      <w:r w:rsidR="003D4AF4">
        <w:rPr>
          <w:rFonts w:asciiTheme="majorHAnsi" w:hAnsiTheme="majorHAnsi" w:cstheme="majorHAnsi"/>
          <w:sz w:val="24"/>
          <w:szCs w:val="24"/>
        </w:rPr>
        <w:t>É importante lembrar que o ciclo do café não terminou junto da escravidão, e ainda era o produto dominante quanto a exportações brasileiras durante toda a primeira república. Portanto, a produção cafeeira eventualmente se divergiu consideravelmente da produção açucareira ao substituir a mão de obra escrava pela mão de obra livre</w:t>
      </w:r>
      <w:r w:rsidR="0051233E">
        <w:rPr>
          <w:rFonts w:asciiTheme="majorHAnsi" w:hAnsiTheme="majorHAnsi" w:cstheme="majorHAnsi"/>
          <w:sz w:val="24"/>
          <w:szCs w:val="24"/>
        </w:rPr>
        <w:t xml:space="preserve">. Esforços para introduzir a mão de obra livre nos cafezais se iniciaram ainda no início do século XIX, mas foram consideravelmente infrutíferos, com imigrantes infelizes com a baixa qualidade de vida oferecida no seu novo país, e donos de terra infelizes com os maiores custos advindos da mão de obra livre. A tentativa de trocar a mão de obra escrava para a livre se fortaleceu nas última décadas do reinado de Pedro II, quando ficava cada vez mais claro que a instituição da escravidão estava com seus dias contados. Com o governo brasileiro eventualmente pagando pela viagem de qualquer europeu que desejasse se mudar para o país, a mão de obra imigrante se tornou abundante e relativamente barata, provendo uma transição </w:t>
      </w:r>
      <w:r w:rsidR="005175EB">
        <w:rPr>
          <w:rFonts w:asciiTheme="majorHAnsi" w:hAnsiTheme="majorHAnsi" w:cstheme="majorHAnsi"/>
          <w:sz w:val="24"/>
          <w:szCs w:val="24"/>
        </w:rPr>
        <w:t>relativamente calma para os produtores de café.</w:t>
      </w:r>
    </w:p>
    <w:p w14:paraId="0D0E8C6B" w14:textId="2CBD4665" w:rsidR="005175EB" w:rsidRDefault="005175EB" w:rsidP="0054595C">
      <w:pPr>
        <w:spacing w:after="480" w:line="240" w:lineRule="auto"/>
        <w:jc w:val="both"/>
        <w:rPr>
          <w:rFonts w:asciiTheme="majorHAnsi" w:hAnsiTheme="majorHAnsi" w:cstheme="majorHAnsi"/>
          <w:sz w:val="24"/>
          <w:szCs w:val="24"/>
        </w:rPr>
      </w:pPr>
      <w:r>
        <w:rPr>
          <w:rFonts w:asciiTheme="majorHAnsi" w:hAnsiTheme="majorHAnsi" w:cstheme="majorHAnsi"/>
          <w:sz w:val="24"/>
          <w:szCs w:val="24"/>
        </w:rPr>
        <w:t>Ambos ciclos também apresentavam uma articulação com as demais regiões brasileiras relativamente similar. As grandes plantações de café e de açúcar não produziam comida de forma a dar subsistência aos escravos, trabalhadores livres e donos das terras. Os latifúndios eram dependentes de uma forte rede de produção de comida, tanto vegetal como carne, para alimentar seus trabalhadores. Assim, a produção, tanto de café como de açúcar, pôde ser altamente especializada e produtiva.</w:t>
      </w:r>
      <w:r w:rsidR="00664AB9">
        <w:rPr>
          <w:rFonts w:asciiTheme="majorHAnsi" w:hAnsiTheme="majorHAnsi" w:cstheme="majorHAnsi"/>
          <w:sz w:val="24"/>
          <w:szCs w:val="24"/>
        </w:rPr>
        <w:t xml:space="preserve"> Os latifúndios e outras regiões do país eram ligados por rotas comerciais, tipicamente utilizando a carga de mulas. As mesmas mulas eram responsáveis por escoar a produção das fazendas até os portos onde o café e o açúcar seriam vendidos, gerando custos que afetavam fortemente a lucratividade dos fazendeiros. Isso mudaria durante os últimos anos do século XIX com a construção de ferrovias, muitas feitas com o objetivo explícito de escoar o café do interior do país para os portos, mas que acabaram sendo utilizadas para um variedade de atividades econômicas.</w:t>
      </w:r>
    </w:p>
    <w:p w14:paraId="74425493" w14:textId="764FD004" w:rsidR="00664AB9" w:rsidRPr="00C11C75" w:rsidRDefault="00636F10" w:rsidP="0054595C">
      <w:pPr>
        <w:spacing w:after="480" w:line="240" w:lineRule="auto"/>
        <w:jc w:val="both"/>
        <w:rPr>
          <w:rFonts w:asciiTheme="majorHAnsi" w:hAnsiTheme="majorHAnsi" w:cstheme="majorHAnsi"/>
          <w:sz w:val="24"/>
          <w:szCs w:val="24"/>
        </w:rPr>
      </w:pPr>
      <w:r>
        <w:rPr>
          <w:rFonts w:asciiTheme="majorHAnsi" w:hAnsiTheme="majorHAnsi" w:cstheme="majorHAnsi"/>
          <w:sz w:val="24"/>
          <w:szCs w:val="24"/>
        </w:rPr>
        <w:lastRenderedPageBreak/>
        <w:t>A mistura de divergências e convergências</w:t>
      </w:r>
      <w:r w:rsidR="00664AB9">
        <w:rPr>
          <w:rFonts w:asciiTheme="majorHAnsi" w:hAnsiTheme="majorHAnsi" w:cstheme="majorHAnsi"/>
          <w:sz w:val="24"/>
          <w:szCs w:val="24"/>
        </w:rPr>
        <w:t xml:space="preserve"> entre o ciclo do café e</w:t>
      </w:r>
      <w:r>
        <w:rPr>
          <w:rFonts w:asciiTheme="majorHAnsi" w:hAnsiTheme="majorHAnsi" w:cstheme="majorHAnsi"/>
          <w:sz w:val="24"/>
          <w:szCs w:val="24"/>
        </w:rPr>
        <w:t xml:space="preserve"> o</w:t>
      </w:r>
      <w:r w:rsidR="00664AB9">
        <w:rPr>
          <w:rFonts w:asciiTheme="majorHAnsi" w:hAnsiTheme="majorHAnsi" w:cstheme="majorHAnsi"/>
          <w:sz w:val="24"/>
          <w:szCs w:val="24"/>
        </w:rPr>
        <w:t xml:space="preserve"> do açúcar </w:t>
      </w:r>
      <w:r>
        <w:rPr>
          <w:rFonts w:asciiTheme="majorHAnsi" w:hAnsiTheme="majorHAnsi" w:cstheme="majorHAnsi"/>
          <w:sz w:val="24"/>
          <w:szCs w:val="24"/>
        </w:rPr>
        <w:t>continua quanto à</w:t>
      </w:r>
      <w:r w:rsidR="00664AB9">
        <w:rPr>
          <w:rFonts w:asciiTheme="majorHAnsi" w:hAnsiTheme="majorHAnsi" w:cstheme="majorHAnsi"/>
          <w:sz w:val="24"/>
          <w:szCs w:val="24"/>
        </w:rPr>
        <w:t xml:space="preserve"> sua integração à economia internacional. O açúcar era levado à Europa como um mero produto de uma colônia, e ali era utilizado como um produto de luxo.</w:t>
      </w:r>
      <w:r>
        <w:rPr>
          <w:rFonts w:asciiTheme="majorHAnsi" w:hAnsiTheme="majorHAnsi" w:cstheme="majorHAnsi"/>
          <w:sz w:val="24"/>
          <w:szCs w:val="24"/>
        </w:rPr>
        <w:t xml:space="preserve"> O café tinha uma trajetória similar, com a exceção de que o maior comprador deixava de ser a Europa e se tornava os Estados Unidos da América. Porém, agora o café vinha de um país independente, e a venda de seu produto era utilizada para tornar nações mais amigáveis aos interesses brasileiros. O café era a arma de soft </w:t>
      </w:r>
      <w:proofErr w:type="spellStart"/>
      <w:r>
        <w:rPr>
          <w:rFonts w:asciiTheme="majorHAnsi" w:hAnsiTheme="majorHAnsi" w:cstheme="majorHAnsi"/>
          <w:sz w:val="24"/>
          <w:szCs w:val="24"/>
        </w:rPr>
        <w:t>power</w:t>
      </w:r>
      <w:proofErr w:type="spellEnd"/>
      <w:r>
        <w:rPr>
          <w:rFonts w:asciiTheme="majorHAnsi" w:hAnsiTheme="majorHAnsi" w:cstheme="majorHAnsi"/>
          <w:sz w:val="24"/>
          <w:szCs w:val="24"/>
        </w:rPr>
        <w:t xml:space="preserve"> mais importante do Brasil durante inúmeras décadas, e a forma em que nosso país conseguia o interesse de potências mundiais, que por fim atraia tanto investimentos internacionais como imigrantes para povoar nosso território.</w:t>
      </w:r>
      <w:bookmarkStart w:id="0" w:name="_GoBack"/>
      <w:bookmarkEnd w:id="0"/>
    </w:p>
    <w:p w14:paraId="6FB2E821" w14:textId="77692C6A" w:rsidR="00E76409" w:rsidRPr="00E76409" w:rsidRDefault="00E76409" w:rsidP="00011B3A">
      <w:pPr>
        <w:jc w:val="both"/>
        <w:rPr>
          <w:rFonts w:ascii="Arial" w:hAnsi="Arial" w:cs="Arial"/>
          <w:b/>
          <w:bCs/>
          <w:sz w:val="24"/>
          <w:szCs w:val="24"/>
        </w:rPr>
      </w:pPr>
      <w:r w:rsidRPr="00E76409">
        <w:rPr>
          <w:rFonts w:ascii="Arial" w:hAnsi="Arial" w:cs="Arial"/>
          <w:b/>
          <w:bCs/>
          <w:sz w:val="24"/>
          <w:szCs w:val="24"/>
        </w:rPr>
        <w:t>2)</w:t>
      </w:r>
      <w:r>
        <w:rPr>
          <w:rFonts w:ascii="Arial" w:hAnsi="Arial" w:cs="Arial"/>
          <w:sz w:val="24"/>
          <w:szCs w:val="24"/>
        </w:rPr>
        <w:t xml:space="preserve"> </w:t>
      </w:r>
      <w:r>
        <w:rPr>
          <w:rFonts w:ascii="Arial" w:hAnsi="Arial" w:cs="Arial"/>
          <w:b/>
          <w:bCs/>
          <w:sz w:val="24"/>
          <w:szCs w:val="24"/>
        </w:rPr>
        <w:t>(5 pontos)</w:t>
      </w:r>
    </w:p>
    <w:p w14:paraId="022CA200" w14:textId="67CABF94" w:rsidR="0044158A" w:rsidRDefault="00D90D13" w:rsidP="0054595C">
      <w:pPr>
        <w:spacing w:after="360" w:line="240" w:lineRule="auto"/>
        <w:jc w:val="both"/>
        <w:rPr>
          <w:rFonts w:ascii="Arial" w:hAnsi="Arial" w:cs="Arial"/>
          <w:sz w:val="24"/>
          <w:szCs w:val="24"/>
        </w:rPr>
      </w:pPr>
      <w:r>
        <w:rPr>
          <w:rFonts w:ascii="Arial" w:hAnsi="Arial" w:cs="Arial"/>
          <w:sz w:val="24"/>
          <w:szCs w:val="24"/>
        </w:rPr>
        <w:t>Em sua opinião, as noções de “sentido da colonização” e do “antigo sistema colonial” propostas, respectivamente, por Caio Prado Jr. e Fernando Novaes</w:t>
      </w:r>
      <w:r w:rsidR="0044158A">
        <w:rPr>
          <w:rFonts w:ascii="Arial" w:hAnsi="Arial" w:cs="Arial"/>
          <w:sz w:val="24"/>
          <w:szCs w:val="24"/>
        </w:rPr>
        <w:t xml:space="preserve"> </w:t>
      </w:r>
      <w:r>
        <w:rPr>
          <w:rFonts w:ascii="Arial" w:hAnsi="Arial" w:cs="Arial"/>
          <w:sz w:val="24"/>
          <w:szCs w:val="24"/>
        </w:rPr>
        <w:t xml:space="preserve">são mais adequadas para apreendermos a lógica da implantação e desenvolvimento das atividades econômicas na América Portuguesa em que século: 16, 17 ou 18?  </w:t>
      </w:r>
      <w:r w:rsidR="0044158A" w:rsidRPr="00011B3A">
        <w:rPr>
          <w:rFonts w:ascii="Arial" w:hAnsi="Arial" w:cs="Arial"/>
          <w:sz w:val="24"/>
          <w:szCs w:val="24"/>
          <w:u w:val="single"/>
        </w:rPr>
        <w:t>Justifique</w:t>
      </w:r>
      <w:r w:rsidR="0044158A">
        <w:rPr>
          <w:rFonts w:ascii="Arial" w:hAnsi="Arial" w:cs="Arial"/>
          <w:sz w:val="24"/>
          <w:szCs w:val="24"/>
        </w:rPr>
        <w:t xml:space="preserve"> a sua resposta.</w:t>
      </w:r>
    </w:p>
    <w:p w14:paraId="2AF70081" w14:textId="3C3156DC" w:rsidR="004B5764" w:rsidRDefault="002F063B"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Entre os mais de três séculos em que o Brasil foi uma colônia portuguesa, as relações entre colônia e metrópole variaram radicalmente. No século XVI, a América portuguesa tinha relevância pífia se comparada com as riquezas obtidas na Índia. Por décadas a atividade europeia na colônia foi relegada a breves viagens</w:t>
      </w:r>
      <w:r w:rsidR="00664D8C">
        <w:rPr>
          <w:rFonts w:asciiTheme="majorHAnsi" w:hAnsiTheme="majorHAnsi" w:cstheme="majorHAnsi"/>
          <w:sz w:val="24"/>
          <w:szCs w:val="24"/>
        </w:rPr>
        <w:t xml:space="preserve"> comerciais, algumas missões jesuítas, e uma pequena fatia de aventureiros que de fato desejavam se fixar no novo mundo. </w:t>
      </w:r>
      <w:r w:rsidR="004B5764">
        <w:rPr>
          <w:rFonts w:asciiTheme="majorHAnsi" w:hAnsiTheme="majorHAnsi" w:cstheme="majorHAnsi"/>
          <w:sz w:val="24"/>
          <w:szCs w:val="24"/>
        </w:rPr>
        <w:t>Não havia entre os colonos uma perspectiva única do que esperar do novo mundo</w:t>
      </w:r>
      <w:r w:rsidR="001C1D1D">
        <w:rPr>
          <w:rFonts w:asciiTheme="majorHAnsi" w:hAnsiTheme="majorHAnsi" w:cstheme="majorHAnsi"/>
          <w:sz w:val="24"/>
          <w:szCs w:val="24"/>
        </w:rPr>
        <w:t>. Muitos ainda sonhavam encontrar quantidades inimagináveis de ouro, alguns procuravam meios de chegar no Império Inca, que não seria completamente conquistado pelos espanhóis até meados do século XVI, e outros estavam contentes em viver em um “paraíso tropical”, junto aos indígenas e longe das regras da conservadora sociedade portuguesa. Quaisquer sejam os motivos pessoais para cada colono atracar no novo mundo, estes não eram universais.</w:t>
      </w:r>
    </w:p>
    <w:p w14:paraId="0C31D3C9" w14:textId="77777777" w:rsidR="00137E75" w:rsidRDefault="00664D8C"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Ainda no século XVI temos a fundação dos primeiros engenhos de açúcar no Brasil, ma</w:t>
      </w:r>
      <w:r w:rsidR="004B5764">
        <w:rPr>
          <w:rFonts w:asciiTheme="majorHAnsi" w:hAnsiTheme="majorHAnsi" w:cstheme="majorHAnsi"/>
          <w:sz w:val="24"/>
          <w:szCs w:val="24"/>
        </w:rPr>
        <w:t>s é apenas no início do próximo século que ficaria óbvio que essa seria a grande atividade econômica da colônia. E, mais especificamente, que o lucro vindo do Brasil seria mais importante</w:t>
      </w:r>
      <w:r w:rsidR="001C1D1D">
        <w:rPr>
          <w:rFonts w:asciiTheme="majorHAnsi" w:hAnsiTheme="majorHAnsi" w:cstheme="majorHAnsi"/>
          <w:sz w:val="24"/>
          <w:szCs w:val="24"/>
        </w:rPr>
        <w:t xml:space="preserve"> para o estado portuguê</w:t>
      </w:r>
      <w:r w:rsidR="004B5764">
        <w:rPr>
          <w:rFonts w:asciiTheme="majorHAnsi" w:hAnsiTheme="majorHAnsi" w:cstheme="majorHAnsi"/>
          <w:sz w:val="24"/>
          <w:szCs w:val="24"/>
        </w:rPr>
        <w:t xml:space="preserve">s do que aquele vindo da Índia, com a colônia em </w:t>
      </w:r>
      <w:proofErr w:type="spellStart"/>
      <w:r w:rsidR="004B5764">
        <w:rPr>
          <w:rFonts w:asciiTheme="majorHAnsi" w:hAnsiTheme="majorHAnsi" w:cstheme="majorHAnsi"/>
          <w:sz w:val="24"/>
          <w:szCs w:val="24"/>
        </w:rPr>
        <w:t>Goa</w:t>
      </w:r>
      <w:proofErr w:type="spellEnd"/>
      <w:r w:rsidR="004B5764">
        <w:rPr>
          <w:rFonts w:asciiTheme="majorHAnsi" w:hAnsiTheme="majorHAnsi" w:cstheme="majorHAnsi"/>
          <w:sz w:val="24"/>
          <w:szCs w:val="24"/>
        </w:rPr>
        <w:t xml:space="preserve"> passando por sérios problemas financeiros, e requerendo largas quantidades de dinheiro para sua defesa. </w:t>
      </w:r>
      <w:r w:rsidR="001C1D1D">
        <w:rPr>
          <w:rFonts w:asciiTheme="majorHAnsi" w:hAnsiTheme="majorHAnsi" w:cstheme="majorHAnsi"/>
          <w:sz w:val="24"/>
          <w:szCs w:val="24"/>
        </w:rPr>
        <w:t xml:space="preserve"> </w:t>
      </w:r>
    </w:p>
    <w:p w14:paraId="6F0A3E06" w14:textId="77777777" w:rsidR="00E03223" w:rsidRDefault="001C1D1D"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Agora sim, a ideia de Caio Prado Jr. do “sentido de colonização” passa a ter uma aplicação razoável</w:t>
      </w:r>
      <w:r w:rsidR="00137E75">
        <w:rPr>
          <w:rFonts w:asciiTheme="majorHAnsi" w:hAnsiTheme="majorHAnsi" w:cstheme="majorHAnsi"/>
          <w:sz w:val="24"/>
          <w:szCs w:val="24"/>
        </w:rPr>
        <w:t xml:space="preserve">. O Brasil tinha uma atividade econômica altamente lucrativa no cultivo latifundiário de açúcar utilizando mão de obra escravizada africana, e toda a sociedade colonial se curvaria para sustentar esta atividade. Evidências mostram alguma mobilidade social durante este período, com muitos comerciantes se tornando altamente sucedidos. Após conseguir muita riqueza com o comércio, estes homens compravam terras e se tornavam senhores de engenho. Isso acontecia mesmo em períodos onde a produção de açúcar apresentava lucros em declínio, pois o real valor de um engenho de açúcar não </w:t>
      </w:r>
      <w:r w:rsidR="00137E75">
        <w:rPr>
          <w:rFonts w:asciiTheme="majorHAnsi" w:hAnsiTheme="majorHAnsi" w:cstheme="majorHAnsi"/>
          <w:sz w:val="24"/>
          <w:szCs w:val="24"/>
        </w:rPr>
        <w:lastRenderedPageBreak/>
        <w:t>era seu potencial produtivo, mas sua posição no topo da hierarquia da sociedade. O “sentido de colonização”</w:t>
      </w:r>
      <w:r w:rsidR="00E03223">
        <w:rPr>
          <w:rFonts w:asciiTheme="majorHAnsi" w:hAnsiTheme="majorHAnsi" w:cstheme="majorHAnsi"/>
          <w:sz w:val="24"/>
          <w:szCs w:val="24"/>
        </w:rPr>
        <w:t xml:space="preserve"> era sem dúvida a produção de açúcar, mesmo quando esta não era a atividade mais lucrativa que poderia ser desenvolvida, mesmo quando o futuro da produção açucareira era colocado em cheque pela concorrência estrangeira, a sociedade continuava a se voltar para o açúcar. </w:t>
      </w:r>
    </w:p>
    <w:p w14:paraId="38EA2B41" w14:textId="4F4754A2" w:rsidR="00011B3A" w:rsidRDefault="00E03223"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No século XVIII, a corrida do ouro nas Minas Gerais destronou este sistema, porém, o conceito de “sentido de colonização” ainda pode ser aplicado para este novo século</w:t>
      </w:r>
      <w:r w:rsidR="000956D3">
        <w:rPr>
          <w:rFonts w:asciiTheme="majorHAnsi" w:hAnsiTheme="majorHAnsi" w:cstheme="majorHAnsi"/>
          <w:sz w:val="24"/>
          <w:szCs w:val="24"/>
        </w:rPr>
        <w:t>, com grande parte da sociedade agora voltada para a extração de ouro no interior do sudeste e parte do centro oeste, enquanto um grande contingente da população continuava no nordeste, com a produção de açúcar ainda altamente prestigiosa.</w:t>
      </w:r>
    </w:p>
    <w:p w14:paraId="0DDEF22F" w14:textId="367D5B73" w:rsidR="000956D3" w:rsidRDefault="000956D3"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A ideia de Fernando Novaes do “antigo sistema colonial” é muito mais fraca que a de Caio Prado Jr., especialmente se considerarmos todo o período colonial. Esta ideia, dependente de uma relação monopolista entre a colônia e a metrópole, é colocada em choque com os diversos períodos onde esta relação monopolística simplesmente não foi implementada de fato</w:t>
      </w:r>
      <w:r w:rsidR="00A11F38">
        <w:rPr>
          <w:rFonts w:asciiTheme="majorHAnsi" w:hAnsiTheme="majorHAnsi" w:cstheme="majorHAnsi"/>
          <w:sz w:val="24"/>
          <w:szCs w:val="24"/>
        </w:rPr>
        <w:t xml:space="preserve">, especificamente durante o período anterior a união Ibérica e imediatamente a seguindo. O regime de frotas, presente entre meados do século do século XVII e XVIII, foi a tentativa mais duradoura da coroa portuguesa de limitar a atuação de estrangeiros no comércio brasileiro – o que não significa que ela foi constantemente bem sucedida.  Portugal nunca conseguiu implementar o sistema colonial nos níveis de desigualdade que o reino desejava, muitas vezes tendo que lidar com concorrência de outras nações europeias, e nunca conseguindo fixar preço a despeito da discordância dos produtores de açúcar: a negociação de preços era comum. A obtenção de “superlucros” pela metrópole portuguesa também é altamente questionável, </w:t>
      </w:r>
      <w:r w:rsidR="00C11C75">
        <w:rPr>
          <w:rFonts w:asciiTheme="majorHAnsi" w:hAnsiTheme="majorHAnsi" w:cstheme="majorHAnsi"/>
          <w:sz w:val="24"/>
          <w:szCs w:val="24"/>
        </w:rPr>
        <w:t>o que fica claro quando entendemos o mercado de açúcar como ao menos parcialmente competitivo. Evidências históricas mostram que os lucros advindos do comércio de açúcar eram relativamente baixos se levados em conta os custos envolvidos no transporte.</w:t>
      </w:r>
    </w:p>
    <w:p w14:paraId="5C6C015E" w14:textId="3D3630CB" w:rsidR="00C11C75" w:rsidRPr="00E03223" w:rsidRDefault="00C11C75" w:rsidP="002F063B">
      <w:pPr>
        <w:spacing w:after="360" w:line="240" w:lineRule="auto"/>
        <w:jc w:val="both"/>
        <w:rPr>
          <w:rFonts w:asciiTheme="majorHAnsi" w:hAnsiTheme="majorHAnsi" w:cstheme="majorHAnsi"/>
          <w:sz w:val="24"/>
          <w:szCs w:val="24"/>
        </w:rPr>
      </w:pPr>
      <w:r>
        <w:rPr>
          <w:rFonts w:asciiTheme="majorHAnsi" w:hAnsiTheme="majorHAnsi" w:cstheme="majorHAnsi"/>
          <w:sz w:val="24"/>
          <w:szCs w:val="24"/>
        </w:rPr>
        <w:t>A teoria Fernando Novaes é, portanto, frágil. Porém, ela caracteriza bem como Portugal desejaria que fosse sua relação com sua maior colônia, especialmente no período de atuação do regime de frotas, entre os meados dos séculos XVII e XVIII.</w:t>
      </w:r>
    </w:p>
    <w:sectPr w:rsidR="00C11C75" w:rsidRPr="00E032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B3A"/>
    <w:rsid w:val="00011B3A"/>
    <w:rsid w:val="000956D3"/>
    <w:rsid w:val="00137E75"/>
    <w:rsid w:val="001C1D1D"/>
    <w:rsid w:val="001E6C02"/>
    <w:rsid w:val="002F063B"/>
    <w:rsid w:val="00384CD3"/>
    <w:rsid w:val="003D4AF4"/>
    <w:rsid w:val="0044158A"/>
    <w:rsid w:val="004B5764"/>
    <w:rsid w:val="0051233E"/>
    <w:rsid w:val="005175EB"/>
    <w:rsid w:val="0054595C"/>
    <w:rsid w:val="00636F10"/>
    <w:rsid w:val="00664AB9"/>
    <w:rsid w:val="00664D8C"/>
    <w:rsid w:val="008D1230"/>
    <w:rsid w:val="00A11F38"/>
    <w:rsid w:val="00AB178A"/>
    <w:rsid w:val="00B252AB"/>
    <w:rsid w:val="00C029F7"/>
    <w:rsid w:val="00C11C75"/>
    <w:rsid w:val="00D76E18"/>
    <w:rsid w:val="00D90D13"/>
    <w:rsid w:val="00E03223"/>
    <w:rsid w:val="00E76409"/>
    <w:rsid w:val="00F2177E"/>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828E"/>
  <w15:chartTrackingRefBased/>
  <w15:docId w15:val="{5D97C306-6C46-421A-90C2-AFA9E461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rsid w:val="00E76409"/>
    <w:pPr>
      <w:spacing w:after="0" w:line="240" w:lineRule="auto"/>
      <w:jc w:val="center"/>
    </w:pPr>
    <w:rPr>
      <w:rFonts w:ascii="Times New Roman" w:eastAsia="Times New Roman" w:hAnsi="Times New Roman" w:cs="Times New Roman"/>
      <w:b/>
      <w:bCs/>
      <w:sz w:val="24"/>
      <w:szCs w:val="24"/>
    </w:rPr>
  </w:style>
  <w:style w:type="character" w:customStyle="1" w:styleId="TtuloChar">
    <w:name w:val="Título Char"/>
    <w:basedOn w:val="Fontepargpadro"/>
    <w:link w:val="Ttulo"/>
    <w:rsid w:val="00E76409"/>
    <w:rPr>
      <w:rFonts w:ascii="Times New Roman" w:eastAsia="Times New Roman" w:hAnsi="Times New Roman" w:cs="Times New Roman"/>
      <w:b/>
      <w:bCs/>
      <w:sz w:val="24"/>
      <w:szCs w:val="24"/>
    </w:rPr>
  </w:style>
  <w:style w:type="paragraph" w:styleId="Subttulo">
    <w:name w:val="Subtitle"/>
    <w:basedOn w:val="Normal"/>
    <w:link w:val="SubttuloChar"/>
    <w:qFormat/>
    <w:rsid w:val="00E76409"/>
    <w:pPr>
      <w:spacing w:after="0" w:line="240" w:lineRule="auto"/>
      <w:jc w:val="both"/>
    </w:pPr>
    <w:rPr>
      <w:rFonts w:ascii="Times New Roman" w:eastAsia="Times New Roman" w:hAnsi="Times New Roman" w:cs="Times New Roman"/>
      <w:b/>
      <w:bCs/>
      <w:sz w:val="24"/>
      <w:szCs w:val="24"/>
    </w:rPr>
  </w:style>
  <w:style w:type="character" w:customStyle="1" w:styleId="SubttuloChar">
    <w:name w:val="Subtítulo Char"/>
    <w:basedOn w:val="Fontepargpadro"/>
    <w:link w:val="Subttulo"/>
    <w:rsid w:val="00E76409"/>
    <w:rPr>
      <w:rFonts w:ascii="Times New Roman" w:eastAsia="Times New Roman" w:hAnsi="Times New Roman" w:cs="Times New Roman"/>
      <w:b/>
      <w:bCs/>
      <w:sz w:val="24"/>
      <w:szCs w:val="24"/>
    </w:rPr>
  </w:style>
  <w:style w:type="paragraph" w:styleId="PargrafodaLista">
    <w:name w:val="List Paragraph"/>
    <w:basedOn w:val="Normal"/>
    <w:uiPriority w:val="34"/>
    <w:qFormat/>
    <w:rsid w:val="00E764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5F695E-7409-469E-B648-FCB96FE01BF5}">
  <we:reference id="wa103087929" version="1.2.0.0" store="pt-BR"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Pages>
  <Words>1388</Words>
  <Characters>7496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Villela</dc:creator>
  <cp:keywords/>
  <dc:description/>
  <cp:lastModifiedBy>User</cp:lastModifiedBy>
  <cp:revision>2</cp:revision>
  <dcterms:created xsi:type="dcterms:W3CDTF">2021-04-06T14:49:00Z</dcterms:created>
  <dcterms:modified xsi:type="dcterms:W3CDTF">2021-04-06T14:49:00Z</dcterms:modified>
</cp:coreProperties>
</file>