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Manifestação PL Artesanato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de lei para fomentar o artesanato tem potencial de gerar impactos econômicos significativos e duradouros, sobretudo em territórios marcados por desigualdades socioeconômicas. A primeira consequência econômica esperada é a geração de emprego e renda em comunidades de baixa renda, especialmente entre mulheres e trabalhadores informais. Em segundo lugar, há a valorização e preservação da cultura local como ativo econômico. O artesanato não apenas gera renda, mas também transforma expressões culturais em produtos valorizados dentro e fora do território. O apoio a selos de certificação e à promoção de identidade regional, como previsto na proposta de lei, contribui para aumentar o valor agregado dos produtos e sua aceitação em mercados diferenciados, inclusive internacionais. 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Outro ponto de destaque, é o fortalecimento da economia local e a circulação de riqueza dentro do próprio território. Essas iniciativas estão alinhadas à ideia de “economia circular de base local” promovida por experiências internacionais, como o “Preston Model” no Reino Unido. Por fim, esse arcabouço tem potencial de promover a redução da vulnerabilidade financeira de famílias por meio do estímulo ao cooperativismo e ao crédito solidário. Medidas que facilitam o acesso a financiamento e capacitação técnica fortalecem a autonomia dos trabalhadores e reduzem sua dependência de políticas assistenciais de curto prazo.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