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2843" w14:textId="374AB926" w:rsidR="00781BAA" w:rsidRPr="00F70DF0" w:rsidRDefault="00781BAA" w:rsidP="00C57BED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F70DF0">
        <w:rPr>
          <w:rFonts w:ascii="Calibri" w:hAnsi="Calibri" w:cs="Calibri"/>
          <w:sz w:val="24"/>
          <w:szCs w:val="24"/>
        </w:rPr>
        <w:t>Em atenção ao Ofício CVL nº 2</w:t>
      </w:r>
      <w:r w:rsidR="00F70DF0">
        <w:rPr>
          <w:rFonts w:ascii="Calibri" w:hAnsi="Calibri" w:cs="Calibri"/>
          <w:sz w:val="24"/>
          <w:szCs w:val="24"/>
        </w:rPr>
        <w:t>.</w:t>
      </w:r>
      <w:r w:rsidRPr="00F70DF0">
        <w:rPr>
          <w:rFonts w:ascii="Calibri" w:hAnsi="Calibri" w:cs="Calibri"/>
          <w:sz w:val="24"/>
          <w:szCs w:val="24"/>
        </w:rPr>
        <w:t>229/2026, referente ao PL nº 2</w:t>
      </w:r>
      <w:r w:rsidR="00F70DF0">
        <w:rPr>
          <w:rFonts w:ascii="Calibri" w:hAnsi="Calibri" w:cs="Calibri"/>
          <w:sz w:val="24"/>
          <w:szCs w:val="24"/>
        </w:rPr>
        <w:t>.</w:t>
      </w:r>
      <w:r w:rsidRPr="00F70DF0">
        <w:rPr>
          <w:rFonts w:ascii="Calibri" w:hAnsi="Calibri" w:cs="Calibri"/>
          <w:sz w:val="24"/>
          <w:szCs w:val="24"/>
        </w:rPr>
        <w:t xml:space="preserve">040/2026, de autoria do Vereador Flávio Valle, que institui o Selo de Prevenção e Combate ao Antissemitismo no âmbito do Município do Rio de Janeiro, esta Subsecretaria posiciona-se em sentido </w:t>
      </w:r>
      <w:r w:rsidR="00DB2C18" w:rsidRPr="00F70DF0">
        <w:rPr>
          <w:rFonts w:ascii="Calibri" w:hAnsi="Calibri" w:cs="Calibri"/>
          <w:sz w:val="24"/>
          <w:szCs w:val="24"/>
        </w:rPr>
        <w:t>favorável</w:t>
      </w:r>
      <w:r w:rsidRPr="00F70DF0">
        <w:rPr>
          <w:rFonts w:ascii="Calibri" w:hAnsi="Calibri" w:cs="Calibri"/>
          <w:sz w:val="24"/>
          <w:szCs w:val="24"/>
        </w:rPr>
        <w:t xml:space="preserve"> à proposta.</w:t>
      </w:r>
    </w:p>
    <w:p w14:paraId="138D5AB9" w14:textId="48ADAD2A" w:rsidR="00781BAA" w:rsidRPr="00F70DF0" w:rsidRDefault="00781BAA" w:rsidP="00C57BED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F70DF0">
        <w:rPr>
          <w:rFonts w:ascii="Calibri" w:hAnsi="Calibri" w:cs="Calibri"/>
          <w:sz w:val="24"/>
          <w:szCs w:val="24"/>
        </w:rPr>
        <w:t>O PL nº 2</w:t>
      </w:r>
      <w:r w:rsidR="00F70DF0">
        <w:rPr>
          <w:rFonts w:ascii="Calibri" w:hAnsi="Calibri" w:cs="Calibri"/>
          <w:sz w:val="24"/>
          <w:szCs w:val="24"/>
        </w:rPr>
        <w:t>.</w:t>
      </w:r>
      <w:r w:rsidRPr="00F70DF0">
        <w:rPr>
          <w:rFonts w:ascii="Calibri" w:hAnsi="Calibri" w:cs="Calibri"/>
          <w:sz w:val="24"/>
          <w:szCs w:val="24"/>
        </w:rPr>
        <w:t xml:space="preserve">040/2026 cria mecanismo voluntário de certificação pelo qual o Poder Executivo reconhece, anualmente no mês de novembro, estabelecimentos públicos e privados que implementem ao menos uma das seguintes medidas: promoção de ambiente livre de discriminação e intolerância religiosa; adoção de códigos de conduta internos; capacitação de funcionários com referência à definição operacional da </w:t>
      </w:r>
      <w:proofErr w:type="spellStart"/>
      <w:r w:rsidRPr="00F70DF0">
        <w:rPr>
          <w:rFonts w:ascii="Calibri" w:hAnsi="Calibri" w:cs="Calibri"/>
          <w:i/>
          <w:iCs/>
          <w:sz w:val="24"/>
          <w:szCs w:val="24"/>
        </w:rPr>
        <w:t>International</w:t>
      </w:r>
      <w:proofErr w:type="spellEnd"/>
      <w:r w:rsidRPr="00F70DF0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i/>
          <w:iCs/>
          <w:sz w:val="24"/>
          <w:szCs w:val="24"/>
        </w:rPr>
        <w:t>Holocaust</w:t>
      </w:r>
      <w:proofErr w:type="spellEnd"/>
      <w:r w:rsidRPr="00F70DF0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i/>
          <w:iCs/>
          <w:sz w:val="24"/>
          <w:szCs w:val="24"/>
        </w:rPr>
        <w:t>Remembrance</w:t>
      </w:r>
      <w:proofErr w:type="spellEnd"/>
      <w:r w:rsidRPr="00F70DF0">
        <w:rPr>
          <w:rFonts w:ascii="Calibri" w:hAnsi="Calibri" w:cs="Calibri"/>
          <w:i/>
          <w:iCs/>
          <w:sz w:val="24"/>
          <w:szCs w:val="24"/>
        </w:rPr>
        <w:t xml:space="preserve"> Alliance </w:t>
      </w:r>
      <w:r w:rsidRPr="00F70DF0">
        <w:rPr>
          <w:rFonts w:ascii="Calibri" w:hAnsi="Calibri" w:cs="Calibri"/>
          <w:sz w:val="24"/>
          <w:szCs w:val="24"/>
        </w:rPr>
        <w:t>(IHRA); implementação de canais de denúncia; e realização de campanhas educativas. O Selo tem validade de dois anos, é renovável e pode ser revogado em caso de descumprimento, o que confere ao instrumento rigor e credibilidade. A adoção da definição IHRA como parâmetro normativo é tecnicamente precisa: aprovada por 35 países, ela delimita com clareza os comportamentos enquadráveis, oferecendo segurança jurídica tanto ao certificador quanto ao estabelecimento certificado (IHRA. "</w:t>
      </w:r>
      <w:proofErr w:type="spellStart"/>
      <w:r w:rsidRPr="00F70DF0">
        <w:rPr>
          <w:rFonts w:ascii="Calibri" w:hAnsi="Calibri" w:cs="Calibri"/>
          <w:sz w:val="24"/>
          <w:szCs w:val="24"/>
        </w:rPr>
        <w:t>Working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sz w:val="24"/>
          <w:szCs w:val="24"/>
        </w:rPr>
        <w:t>Definition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sz w:val="24"/>
          <w:szCs w:val="24"/>
        </w:rPr>
        <w:t>of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sz w:val="24"/>
          <w:szCs w:val="24"/>
        </w:rPr>
        <w:t>Antisemitism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", </w:t>
      </w:r>
      <w:proofErr w:type="spellStart"/>
      <w:r w:rsidRPr="00F70DF0">
        <w:rPr>
          <w:rFonts w:ascii="Calibri" w:hAnsi="Calibri" w:cs="Calibri"/>
          <w:sz w:val="24"/>
          <w:szCs w:val="24"/>
        </w:rPr>
        <w:t>International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sz w:val="24"/>
          <w:szCs w:val="24"/>
        </w:rPr>
        <w:t>Holocaust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hAnsi="Calibri" w:cs="Calibri"/>
          <w:sz w:val="24"/>
          <w:szCs w:val="24"/>
        </w:rPr>
        <w:t>Remembrance</w:t>
      </w:r>
      <w:proofErr w:type="spellEnd"/>
      <w:r w:rsidRPr="00F70DF0">
        <w:rPr>
          <w:rFonts w:ascii="Calibri" w:hAnsi="Calibri" w:cs="Calibri"/>
          <w:sz w:val="24"/>
          <w:szCs w:val="24"/>
        </w:rPr>
        <w:t xml:space="preserve"> Alliance, 2016).</w:t>
      </w:r>
    </w:p>
    <w:p w14:paraId="61C49B3D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>O antissemitismo — hostilidade, preconceito ou discriminação contra judeus — é um dos fenômenos de ódio mais antigos e persistentes da história humana. Embora suas raízes remontem à Antiguidade, foi no século XIX e início do século XX que ele adquiriu caráter ideológico sistematizado, com a produção de pseudociências raciais que pretendiam justificar biologicamente a suposta inferioridade do povo judeu, aliadas a teorias conspiratórias que atribuíam a esse grupo responsabilidade por crises econômicas, revoluções e conflitos políticos.</w:t>
      </w:r>
    </w:p>
    <w:p w14:paraId="4E844B46" w14:textId="334ED5B2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proofErr w:type="gramStart"/>
      <w:r w:rsidRPr="00F70DF0">
        <w:rPr>
          <w:rFonts w:ascii="Calibri" w:eastAsia="Arial" w:hAnsi="Calibri" w:cs="Calibri"/>
          <w:sz w:val="24"/>
          <w:szCs w:val="24"/>
          <w:lang w:val="en-US"/>
        </w:rPr>
        <w:t>A</w:t>
      </w:r>
      <w:proofErr w:type="gramEnd"/>
      <w:r w:rsidRPr="00F70DF0">
        <w:rPr>
          <w:rFonts w:ascii="Calibri" w:eastAsia="Arial" w:hAnsi="Calibri" w:cs="Calibri"/>
          <w:sz w:val="24"/>
          <w:szCs w:val="24"/>
          <w:lang w:val="en-US"/>
        </w:rPr>
        <w:t xml:space="preserve"> </w:t>
      </w:r>
      <w:proofErr w:type="spellStart"/>
      <w:r w:rsidRPr="00F70DF0">
        <w:rPr>
          <w:rFonts w:ascii="Calibri" w:eastAsia="Arial" w:hAnsi="Calibri" w:cs="Calibri"/>
          <w:sz w:val="24"/>
          <w:szCs w:val="24"/>
          <w:lang w:val="en-US"/>
        </w:rPr>
        <w:t>obra</w:t>
      </w:r>
      <w:proofErr w:type="spellEnd"/>
      <w:r w:rsidRPr="00F70DF0">
        <w:rPr>
          <w:rFonts w:ascii="Calibri" w:eastAsia="Arial" w:hAnsi="Calibri" w:cs="Calibri"/>
          <w:sz w:val="24"/>
          <w:szCs w:val="24"/>
          <w:lang w:val="en-US"/>
        </w:rPr>
        <w:t xml:space="preserve"> de </w:t>
      </w:r>
      <w:proofErr w:type="spellStart"/>
      <w:r w:rsidRPr="00F70DF0">
        <w:rPr>
          <w:rFonts w:ascii="Calibri" w:eastAsia="Arial" w:hAnsi="Calibri" w:cs="Calibri"/>
          <w:sz w:val="24"/>
          <w:szCs w:val="24"/>
          <w:lang w:val="en-US"/>
        </w:rPr>
        <w:t>referência</w:t>
      </w:r>
      <w:proofErr w:type="spellEnd"/>
      <w:r w:rsidRPr="00F70DF0">
        <w:rPr>
          <w:rFonts w:ascii="Calibri" w:eastAsia="Arial" w:hAnsi="Calibri" w:cs="Calibri"/>
          <w:sz w:val="24"/>
          <w:szCs w:val="24"/>
          <w:lang w:val="en-US"/>
        </w:rPr>
        <w:t xml:space="preserve"> de Raul Hilberg, </w:t>
      </w:r>
      <w:r w:rsidRPr="00F70DF0">
        <w:rPr>
          <w:rFonts w:ascii="Calibri" w:eastAsia="Arial" w:hAnsi="Calibri" w:cs="Calibri"/>
          <w:i/>
          <w:iCs/>
          <w:sz w:val="24"/>
          <w:szCs w:val="24"/>
          <w:lang w:val="en-US"/>
        </w:rPr>
        <w:t>The Destruction of the European Jews</w:t>
      </w:r>
      <w:r w:rsidRPr="00F70DF0">
        <w:rPr>
          <w:rFonts w:ascii="Calibri" w:eastAsia="Arial" w:hAnsi="Calibri" w:cs="Calibri"/>
          <w:sz w:val="24"/>
          <w:szCs w:val="24"/>
          <w:lang w:val="en-US"/>
        </w:rPr>
        <w:t xml:space="preserve"> (HILBERG, Raul. The Destruction of the European Jews. 3rd ed. </w:t>
      </w:r>
      <w:r w:rsidRPr="00F70DF0">
        <w:rPr>
          <w:rFonts w:ascii="Calibri" w:eastAsia="Arial" w:hAnsi="Calibri" w:cs="Calibri"/>
          <w:sz w:val="24"/>
          <w:szCs w:val="24"/>
        </w:rPr>
        <w:t xml:space="preserve">New Haven: Yale </w:t>
      </w:r>
      <w:proofErr w:type="spellStart"/>
      <w:r w:rsidRPr="00F70DF0">
        <w:rPr>
          <w:rFonts w:ascii="Calibri" w:eastAsia="Arial" w:hAnsi="Calibri" w:cs="Calibri"/>
          <w:sz w:val="24"/>
          <w:szCs w:val="24"/>
        </w:rPr>
        <w:t>University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 Press, 2003), demonstrou como o antissemitismo não emergiu de forma súbita com o nazismo, mas foi resultado de processos históricos de exclusão, estigmatização e violência acumulados ao longo de séculos. Hilberg documentou como a perseguição aos judeus passou por estágios progressivos — discriminação legal, expropriação, concentração e, </w:t>
      </w:r>
      <w:r w:rsidRPr="00F70DF0">
        <w:rPr>
          <w:rFonts w:ascii="Calibri" w:eastAsia="Arial" w:hAnsi="Calibri" w:cs="Calibri"/>
          <w:sz w:val="24"/>
          <w:szCs w:val="24"/>
        </w:rPr>
        <w:lastRenderedPageBreak/>
        <w:t>finalmente, extermínio — evidenciando que o genocídio foi o resultado de uma lógica burocrática e social construída sobre fundamentos antissemitas preexistentes.</w:t>
      </w:r>
    </w:p>
    <w:p w14:paraId="4448ADA5" w14:textId="08580749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 xml:space="preserve">Hannah Arendt, em </w:t>
      </w:r>
      <w:r w:rsidRPr="00F70DF0">
        <w:rPr>
          <w:rFonts w:ascii="Calibri" w:eastAsia="Arial" w:hAnsi="Calibri" w:cs="Calibri"/>
          <w:i/>
          <w:iCs/>
          <w:sz w:val="24"/>
          <w:szCs w:val="24"/>
        </w:rPr>
        <w:t>Origens do Totalitarismo</w:t>
      </w:r>
      <w:r w:rsidRPr="00F70DF0">
        <w:rPr>
          <w:rFonts w:ascii="Calibri" w:eastAsia="Arial" w:hAnsi="Calibri" w:cs="Calibri"/>
          <w:sz w:val="24"/>
          <w:szCs w:val="24"/>
        </w:rPr>
        <w:t xml:space="preserve"> (ARENDT, Hannah. Origens do Totalitarismo. Tradução de Roberto Raposo. São Paulo: Companhia das Letras, 1989), situou o antissemitismo moderno como componente estrutural do projeto totalitário, indissociável do imperialismo e do racismo. Para Arendt, o antissemitismo europeu do século XX não era mero preconceito residual, mas ideologia política que transformou o judeu em inimigo absoluto de uma ordem racial pretensamente universal.</w:t>
      </w:r>
    </w:p>
    <w:p w14:paraId="660F87EF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>O Holocausto — designação consagrada para o genocídio perpetrado pelo regime nazista entre 1933 e 1945 — representou o assassinato sistemático de aproximadamente seis milhões de judeus, correspondendo a cerca de dois terços da população judaica europeia. Além dos judeus, o regime exterminou outras centenas de milhares de pessoas pertencentes a grupos considerados indesejáveis: ciganos, pessoas com deficiência, homossexuais, prisioneiros de guerra soviéticos e opositores políticos.</w:t>
      </w:r>
    </w:p>
    <w:p w14:paraId="0B333B29" w14:textId="4DC6F9E4" w:rsidR="00DB2C18" w:rsidRPr="00F70DF0" w:rsidRDefault="00C57BED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  <w:lang w:val="en-US"/>
        </w:rPr>
      </w:pPr>
      <w:r w:rsidRPr="00F70DF0">
        <w:rPr>
          <w:rFonts w:ascii="Calibri" w:eastAsia="Arial" w:hAnsi="Calibri" w:cs="Calibri"/>
          <w:sz w:val="24"/>
          <w:szCs w:val="24"/>
        </w:rPr>
        <w:t xml:space="preserve">O </w:t>
      </w:r>
      <w:proofErr w:type="spellStart"/>
      <w:r w:rsidR="00DB2C18" w:rsidRPr="00F70DF0">
        <w:rPr>
          <w:rFonts w:ascii="Calibri" w:eastAsia="Arial" w:hAnsi="Calibri" w:cs="Calibri"/>
          <w:sz w:val="24"/>
          <w:szCs w:val="24"/>
        </w:rPr>
        <w:t>Yad</w:t>
      </w:r>
      <w:proofErr w:type="spellEnd"/>
      <w:r w:rsidR="00DB2C18" w:rsidRPr="00F70DF0">
        <w:rPr>
          <w:rFonts w:ascii="Calibri" w:eastAsia="Arial" w:hAnsi="Calibri" w:cs="Calibri"/>
          <w:sz w:val="24"/>
          <w:szCs w:val="24"/>
        </w:rPr>
        <w:t xml:space="preserve"> Vashem, o Memorial Mundial do Holocausto localizado em Jerusalém, documentou nomes de mais de 4,8 milhões das vítimas judias e mantém o maior arquivo sobre o Holocausto no mundo. Sua pesquisa demonstrou a extensão geográfica do genocídio — que abrangeu desde a França até os territórios soviéticos — e a participação de colaboradores locais nos processos de perseguição. </w:t>
      </w:r>
      <w:r w:rsidR="00DB2C18" w:rsidRPr="00F70DF0">
        <w:rPr>
          <w:rFonts w:ascii="Calibri" w:eastAsia="Arial" w:hAnsi="Calibri" w:cs="Calibri"/>
          <w:sz w:val="24"/>
          <w:szCs w:val="24"/>
          <w:lang w:val="en-US"/>
        </w:rPr>
        <w:t xml:space="preserve">(Yad Vashem. </w:t>
      </w:r>
      <w:r w:rsidR="00DB2C18" w:rsidRPr="00F70DF0">
        <w:rPr>
          <w:rFonts w:ascii="Calibri" w:eastAsia="Arial" w:hAnsi="Calibri" w:cs="Calibri"/>
          <w:i/>
          <w:iCs/>
          <w:sz w:val="24"/>
          <w:szCs w:val="24"/>
          <w:lang w:val="en-US"/>
        </w:rPr>
        <w:t>The Central Database of Shoah Victims' Names</w:t>
      </w:r>
      <w:r w:rsidR="00DB2C18" w:rsidRPr="00F70DF0">
        <w:rPr>
          <w:rFonts w:ascii="Calibri" w:eastAsia="Arial" w:hAnsi="Calibri" w:cs="Calibri"/>
          <w:sz w:val="24"/>
          <w:szCs w:val="24"/>
          <w:lang w:val="en-US"/>
        </w:rPr>
        <w:t>, Yad Vashem, 2024.)</w:t>
      </w:r>
    </w:p>
    <w:p w14:paraId="7324F5F6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 xml:space="preserve">Ao contrário do que se poderia supor, o antissemitismo não é fenômeno histórico superado. O </w:t>
      </w:r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Global 100: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Antisemitism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Index</w:t>
      </w:r>
      <w:r w:rsidRPr="00F70DF0">
        <w:rPr>
          <w:rFonts w:ascii="Calibri" w:eastAsia="Arial" w:hAnsi="Calibri" w:cs="Calibri"/>
          <w:sz w:val="24"/>
          <w:szCs w:val="24"/>
        </w:rPr>
        <w:t xml:space="preserve"> da </w:t>
      </w:r>
      <w:proofErr w:type="spellStart"/>
      <w:r w:rsidRPr="00F70DF0">
        <w:rPr>
          <w:rFonts w:ascii="Calibri" w:eastAsia="Arial" w:hAnsi="Calibri" w:cs="Calibri"/>
          <w:sz w:val="24"/>
          <w:szCs w:val="24"/>
        </w:rPr>
        <w:t>Anti-Defamation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 League (ADL), edição de 2023, revelou que aproximadamente 24% da população mundial adulta — cerca de 1,09 bilhão de pessoas — nutre atitudes antissemitas. Na América Latina, o índice alcança 23%, com variações significativas por país. A pesquisa avalia adesão a 11 estereótipos antissemitas clássicos, incluindo acusações de dupla lealdade, controle financeiro e excessiva influência política. (ADL. </w:t>
      </w:r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Global 100: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Antisemitism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Index</w:t>
      </w:r>
      <w:r w:rsidRPr="00F70DF0">
        <w:rPr>
          <w:rFonts w:ascii="Calibri" w:eastAsia="Arial" w:hAnsi="Calibri" w:cs="Calibri"/>
          <w:sz w:val="24"/>
          <w:szCs w:val="24"/>
        </w:rPr>
        <w:t xml:space="preserve">, </w:t>
      </w:r>
      <w:proofErr w:type="spellStart"/>
      <w:r w:rsidRPr="00F70DF0">
        <w:rPr>
          <w:rFonts w:ascii="Calibri" w:eastAsia="Arial" w:hAnsi="Calibri" w:cs="Calibri"/>
          <w:sz w:val="24"/>
          <w:szCs w:val="24"/>
        </w:rPr>
        <w:t>Anti-Defamation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 League, 2023.)</w:t>
      </w:r>
    </w:p>
    <w:p w14:paraId="291220E8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 xml:space="preserve">A adoção da definição operacional da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International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Holocaust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Remembrance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Alliance</w:t>
      </w:r>
      <w:r w:rsidRPr="00F70DF0">
        <w:rPr>
          <w:rFonts w:ascii="Calibri" w:eastAsia="Arial" w:hAnsi="Calibri" w:cs="Calibri"/>
          <w:sz w:val="24"/>
          <w:szCs w:val="24"/>
        </w:rPr>
        <w:t xml:space="preserve"> (IHRA) como parâmetro normativo do Selo é tecnicamente precisa e internacionalmente respaldada. Aprovada em 2016 por 35 países membros, a definição delimita com clareza </w:t>
      </w:r>
      <w:r w:rsidRPr="00F70DF0">
        <w:rPr>
          <w:rFonts w:ascii="Calibri" w:eastAsia="Arial" w:hAnsi="Calibri" w:cs="Calibri"/>
          <w:sz w:val="24"/>
          <w:szCs w:val="24"/>
        </w:rPr>
        <w:lastRenderedPageBreak/>
        <w:t>os comportamentos enquadráveis como antissemitismo, oferecendo segurança jurídica tanto ao certificador quanto ao estabelecimento certificado.</w:t>
      </w:r>
    </w:p>
    <w:p w14:paraId="37852B64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 xml:space="preserve">A definição da IHRA estabelece que </w:t>
      </w:r>
      <w:r w:rsidRPr="00F70DF0">
        <w:rPr>
          <w:rFonts w:ascii="Calibri" w:eastAsia="Arial" w:hAnsi="Calibri" w:cs="Calibri"/>
          <w:i/>
          <w:iCs/>
          <w:sz w:val="24"/>
          <w:szCs w:val="24"/>
        </w:rPr>
        <w:t>"antissemitismo é uma certa percepção dos judeus, que pode ser expressa como ódio a judeus. Manifestações retóricas e físicas do antissemitismo são dirigidas a judeus ou não judeus e/ou suas propriedades, a instituições comunitárias judaicas e instalações religiosas."</w:t>
      </w:r>
      <w:r w:rsidRPr="00F70DF0">
        <w:rPr>
          <w:rFonts w:ascii="Calibri" w:eastAsia="Arial" w:hAnsi="Calibri" w:cs="Calibri"/>
          <w:sz w:val="24"/>
          <w:szCs w:val="24"/>
        </w:rPr>
        <w:t xml:space="preserve"> (IHRA.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Working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Definition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of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Antisemitism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, </w:t>
      </w:r>
      <w:proofErr w:type="spellStart"/>
      <w:r w:rsidRPr="00F70DF0">
        <w:rPr>
          <w:rFonts w:ascii="Calibri" w:eastAsia="Arial" w:hAnsi="Calibri" w:cs="Calibri"/>
          <w:sz w:val="24"/>
          <w:szCs w:val="24"/>
        </w:rPr>
        <w:t>International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sz w:val="24"/>
          <w:szCs w:val="24"/>
        </w:rPr>
        <w:t>Holocaust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sz w:val="24"/>
          <w:szCs w:val="24"/>
        </w:rPr>
        <w:t>Remembrance</w:t>
      </w:r>
      <w:proofErr w:type="spellEnd"/>
      <w:r w:rsidRPr="00F70DF0">
        <w:rPr>
          <w:rFonts w:ascii="Calibri" w:eastAsia="Arial" w:hAnsi="Calibri" w:cs="Calibri"/>
          <w:sz w:val="24"/>
          <w:szCs w:val="24"/>
        </w:rPr>
        <w:t xml:space="preserve"> Alliance, 2016.)</w:t>
      </w:r>
    </w:p>
    <w:p w14:paraId="0ADE5D45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>A definição foi adotada por instituições como o Parlamento Europeu, o governo alemão, o governo britânico, a Liga Árabe e dezenas de universidades e empresas ao redor do mundo, tornando-se o padrão global mais amplamente reconhecido para identificação e combate ao antissemitismo.</w:t>
      </w:r>
    </w:p>
    <w:p w14:paraId="73565783" w14:textId="77777777" w:rsidR="00DB2C18" w:rsidRPr="00F70DF0" w:rsidRDefault="00DB2C18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>O Brasil é signatário da Convenção Internacional sobre a Eliminação de Todas as Formas de Discriminação Racial (CERD/ONU), da Declaração e Programa de Ação de Durban (2001) e dos Objetivos de Desenvolvimento Sustentável da Agenda 2030, especialmente o ODS 16 (paz, justiça e instituições eficazes) e o ODS 10 (redução das desigualdades). A criação do Selo está alinhada a esses compromissos, traduzindo-os em instrumento de política pública local concreta e verificável.</w:t>
      </w:r>
    </w:p>
    <w:p w14:paraId="1C905325" w14:textId="77777777" w:rsidR="00C57BED" w:rsidRPr="00F70DF0" w:rsidRDefault="00C57BED" w:rsidP="00C57BED">
      <w:pPr>
        <w:spacing w:after="0" w:line="360" w:lineRule="auto"/>
        <w:jc w:val="both"/>
        <w:rPr>
          <w:rFonts w:ascii="Calibri" w:eastAsia="Arial" w:hAnsi="Calibri" w:cs="Calibri"/>
          <w:sz w:val="24"/>
          <w:szCs w:val="24"/>
        </w:rPr>
      </w:pPr>
      <w:r w:rsidRPr="00F70DF0">
        <w:rPr>
          <w:rFonts w:ascii="Calibri" w:eastAsia="Arial" w:hAnsi="Calibri" w:cs="Calibri"/>
          <w:sz w:val="24"/>
          <w:szCs w:val="24"/>
        </w:rPr>
        <w:t xml:space="preserve">A educação sobre o Holocausto e o antissemitismo é reconhecida internacionalmente como ferramenta essencial de prevenção. O estudo seminal de James Waller,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Becoming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Evil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: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How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Ordinary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People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Commit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Genocide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</w:t>
      </w:r>
      <w:proofErr w:type="spellStart"/>
      <w:r w:rsidRPr="00F70DF0">
        <w:rPr>
          <w:rFonts w:ascii="Calibri" w:eastAsia="Arial" w:hAnsi="Calibri" w:cs="Calibri"/>
          <w:i/>
          <w:iCs/>
          <w:sz w:val="24"/>
          <w:szCs w:val="24"/>
        </w:rPr>
        <w:t>and</w:t>
      </w:r>
      <w:proofErr w:type="spellEnd"/>
      <w:r w:rsidRPr="00F70DF0">
        <w:rPr>
          <w:rFonts w:ascii="Calibri" w:eastAsia="Arial" w:hAnsi="Calibri" w:cs="Calibri"/>
          <w:i/>
          <w:iCs/>
          <w:sz w:val="24"/>
          <w:szCs w:val="24"/>
        </w:rPr>
        <w:t xml:space="preserve"> Mass Killing</w:t>
      </w:r>
      <w:r w:rsidRPr="00F70DF0">
        <w:rPr>
          <w:rFonts w:ascii="Calibri" w:eastAsia="Arial" w:hAnsi="Calibri" w:cs="Calibri"/>
          <w:sz w:val="24"/>
          <w:szCs w:val="24"/>
        </w:rPr>
        <w:t xml:space="preserve"> (2002), demonstrou que genocídios não são obra de monstros excepcionais, mas resultado de processos sociais de desumanização que se desenvolvem em ambientes de indiferença e omissão institucional. A prevenção, portanto, exige intervenção ativa e sistemática.</w:t>
      </w:r>
    </w:p>
    <w:p w14:paraId="30DE3084" w14:textId="724BCE1C" w:rsidR="00781BAA" w:rsidRPr="00F70DF0" w:rsidRDefault="00C57BED" w:rsidP="00C57BED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F70DF0">
        <w:rPr>
          <w:rFonts w:ascii="Calibri" w:hAnsi="Calibri" w:cs="Calibri"/>
          <w:sz w:val="24"/>
          <w:szCs w:val="24"/>
        </w:rPr>
        <w:t>Por fim, o</w:t>
      </w:r>
      <w:r w:rsidR="00781BAA" w:rsidRPr="00F70DF0">
        <w:rPr>
          <w:rFonts w:ascii="Calibri" w:hAnsi="Calibri" w:cs="Calibri"/>
          <w:sz w:val="24"/>
          <w:szCs w:val="24"/>
        </w:rPr>
        <w:t xml:space="preserve"> combate ao antissemitismo e à intolerância religiosa é componente reconhecido de ambientes de negócios saudáveis e de economias abertas à diversidade. A </w:t>
      </w:r>
      <w:proofErr w:type="spellStart"/>
      <w:r w:rsidR="00781BAA" w:rsidRPr="00F70DF0">
        <w:rPr>
          <w:rFonts w:ascii="Calibri" w:hAnsi="Calibri" w:cs="Calibri"/>
          <w:i/>
          <w:iCs/>
          <w:sz w:val="24"/>
          <w:szCs w:val="24"/>
        </w:rPr>
        <w:t>Anti-Defamation</w:t>
      </w:r>
      <w:proofErr w:type="spellEnd"/>
      <w:r w:rsidR="00781BAA" w:rsidRPr="00F70DF0">
        <w:rPr>
          <w:rFonts w:ascii="Calibri" w:hAnsi="Calibri" w:cs="Calibri"/>
          <w:i/>
          <w:iCs/>
          <w:sz w:val="24"/>
          <w:szCs w:val="24"/>
        </w:rPr>
        <w:t xml:space="preserve"> League</w:t>
      </w:r>
      <w:r w:rsidR="00781BAA" w:rsidRPr="00F70DF0">
        <w:rPr>
          <w:rFonts w:ascii="Calibri" w:hAnsi="Calibri" w:cs="Calibri"/>
          <w:sz w:val="24"/>
          <w:szCs w:val="24"/>
        </w:rPr>
        <w:t xml:space="preserve"> documenta correlação entre índices elevados de antissemitismo e deterioração do clima de investimento e confiança institucional em diversas economias (ADL. "Global 100: </w:t>
      </w:r>
      <w:proofErr w:type="spellStart"/>
      <w:r w:rsidR="00781BAA" w:rsidRPr="00F70DF0">
        <w:rPr>
          <w:rFonts w:ascii="Calibri" w:hAnsi="Calibri" w:cs="Calibri"/>
          <w:sz w:val="24"/>
          <w:szCs w:val="24"/>
        </w:rPr>
        <w:t>Antisemitism</w:t>
      </w:r>
      <w:proofErr w:type="spellEnd"/>
      <w:r w:rsidR="00781BAA" w:rsidRPr="00F70DF0">
        <w:rPr>
          <w:rFonts w:ascii="Calibri" w:hAnsi="Calibri" w:cs="Calibri"/>
          <w:sz w:val="24"/>
          <w:szCs w:val="24"/>
        </w:rPr>
        <w:t xml:space="preserve"> Index", </w:t>
      </w:r>
      <w:proofErr w:type="spellStart"/>
      <w:r w:rsidR="00781BAA" w:rsidRPr="00F70DF0">
        <w:rPr>
          <w:rFonts w:ascii="Calibri" w:hAnsi="Calibri" w:cs="Calibri"/>
          <w:sz w:val="24"/>
          <w:szCs w:val="24"/>
        </w:rPr>
        <w:t>Anti-Defamation</w:t>
      </w:r>
      <w:proofErr w:type="spellEnd"/>
      <w:r w:rsidR="00781BAA" w:rsidRPr="00F70DF0">
        <w:rPr>
          <w:rFonts w:ascii="Calibri" w:hAnsi="Calibri" w:cs="Calibri"/>
          <w:sz w:val="24"/>
          <w:szCs w:val="24"/>
        </w:rPr>
        <w:t xml:space="preserve"> League, 2023). A UNESCO reafirma que a diversidade religiosa nas cidades é ativo de competitividade e coesão social, com efeitos mensuráveis sobre atração de talentos e </w:t>
      </w:r>
      <w:r w:rsidR="00781BAA" w:rsidRPr="00F70DF0">
        <w:rPr>
          <w:rFonts w:ascii="Calibri" w:hAnsi="Calibri" w:cs="Calibri"/>
          <w:sz w:val="24"/>
          <w:szCs w:val="24"/>
        </w:rPr>
        <w:lastRenderedPageBreak/>
        <w:t>sustentabilidade dos territórios (UNESCO. "</w:t>
      </w:r>
      <w:proofErr w:type="spellStart"/>
      <w:r w:rsidR="00781BAA" w:rsidRPr="00F70DF0">
        <w:rPr>
          <w:rFonts w:ascii="Calibri" w:hAnsi="Calibri" w:cs="Calibri"/>
          <w:sz w:val="24"/>
          <w:szCs w:val="24"/>
        </w:rPr>
        <w:t>Investing</w:t>
      </w:r>
      <w:proofErr w:type="spellEnd"/>
      <w:r w:rsidR="00781BAA" w:rsidRPr="00F70DF0">
        <w:rPr>
          <w:rFonts w:ascii="Calibri" w:hAnsi="Calibri" w:cs="Calibri"/>
          <w:sz w:val="24"/>
          <w:szCs w:val="24"/>
        </w:rPr>
        <w:t xml:space="preserve"> in Cultural </w:t>
      </w:r>
      <w:proofErr w:type="spellStart"/>
      <w:r w:rsidR="00781BAA" w:rsidRPr="00F70DF0">
        <w:rPr>
          <w:rFonts w:ascii="Calibri" w:hAnsi="Calibri" w:cs="Calibri"/>
          <w:sz w:val="24"/>
          <w:szCs w:val="24"/>
        </w:rPr>
        <w:t>Diversity</w:t>
      </w:r>
      <w:proofErr w:type="spellEnd"/>
      <w:r w:rsidR="00781BAA" w:rsidRPr="00F70D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81BAA" w:rsidRPr="00F70DF0">
        <w:rPr>
          <w:rFonts w:ascii="Calibri" w:hAnsi="Calibri" w:cs="Calibri"/>
          <w:sz w:val="24"/>
          <w:szCs w:val="24"/>
        </w:rPr>
        <w:t>and</w:t>
      </w:r>
      <w:proofErr w:type="spellEnd"/>
      <w:r w:rsidR="00781BAA" w:rsidRPr="00F70DF0">
        <w:rPr>
          <w:rFonts w:ascii="Calibri" w:hAnsi="Calibri" w:cs="Calibri"/>
          <w:sz w:val="24"/>
          <w:szCs w:val="24"/>
        </w:rPr>
        <w:t xml:space="preserve"> Intercultural Dialogue", UNESCO, 2009).</w:t>
      </w:r>
    </w:p>
    <w:p w14:paraId="7F7157D5" w14:textId="02763C78" w:rsidR="00AB03C3" w:rsidRPr="00F70DF0" w:rsidRDefault="00781BAA" w:rsidP="00C57BED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F70DF0">
        <w:rPr>
          <w:rFonts w:ascii="Calibri" w:hAnsi="Calibri" w:cs="Calibri"/>
          <w:sz w:val="24"/>
          <w:szCs w:val="24"/>
        </w:rPr>
        <w:t xml:space="preserve">Nesse sentido, </w:t>
      </w:r>
      <w:r w:rsidR="00F70DF0">
        <w:rPr>
          <w:rFonts w:ascii="Calibri" w:hAnsi="Calibri" w:cs="Calibri"/>
          <w:sz w:val="24"/>
          <w:szCs w:val="24"/>
        </w:rPr>
        <w:t>e</w:t>
      </w:r>
      <w:r w:rsidRPr="00F70DF0">
        <w:rPr>
          <w:rFonts w:ascii="Calibri" w:hAnsi="Calibri" w:cs="Calibri"/>
          <w:sz w:val="24"/>
          <w:szCs w:val="24"/>
        </w:rPr>
        <w:t xml:space="preserve">sta Subsecretaria posiciona-se em sentido </w:t>
      </w:r>
      <w:r w:rsidR="00C57BED" w:rsidRPr="00F70DF0">
        <w:rPr>
          <w:rFonts w:ascii="Calibri" w:hAnsi="Calibri" w:cs="Calibri"/>
          <w:sz w:val="24"/>
          <w:szCs w:val="24"/>
        </w:rPr>
        <w:t>favorável</w:t>
      </w:r>
      <w:r w:rsidRPr="00F70DF0">
        <w:rPr>
          <w:rFonts w:ascii="Calibri" w:hAnsi="Calibri" w:cs="Calibri"/>
          <w:sz w:val="24"/>
          <w:szCs w:val="24"/>
        </w:rPr>
        <w:t xml:space="preserve"> ao PL nº 2</w:t>
      </w:r>
      <w:r w:rsidR="00F70DF0">
        <w:rPr>
          <w:rFonts w:ascii="Calibri" w:hAnsi="Calibri" w:cs="Calibri"/>
          <w:sz w:val="24"/>
          <w:szCs w:val="24"/>
        </w:rPr>
        <w:t>.</w:t>
      </w:r>
      <w:r w:rsidRPr="00F70DF0">
        <w:rPr>
          <w:rFonts w:ascii="Calibri" w:hAnsi="Calibri" w:cs="Calibri"/>
          <w:sz w:val="24"/>
          <w:szCs w:val="24"/>
        </w:rPr>
        <w:t>040/2026.</w:t>
      </w:r>
    </w:p>
    <w:sectPr w:rsidR="00AB03C3" w:rsidRPr="00F70DF0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C48A" w14:textId="77777777" w:rsidR="00574E6A" w:rsidRDefault="00574E6A" w:rsidP="00F70DF0">
      <w:pPr>
        <w:spacing w:after="0" w:line="240" w:lineRule="auto"/>
      </w:pPr>
      <w:r>
        <w:separator/>
      </w:r>
    </w:p>
  </w:endnote>
  <w:endnote w:type="continuationSeparator" w:id="0">
    <w:p w14:paraId="6C62F929" w14:textId="77777777" w:rsidR="00574E6A" w:rsidRDefault="00574E6A" w:rsidP="00F70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1204843"/>
      <w:docPartObj>
        <w:docPartGallery w:val="Page Numbers (Bottom of Page)"/>
        <w:docPartUnique/>
      </w:docPartObj>
    </w:sdtPr>
    <w:sdtContent>
      <w:p w14:paraId="4D696423" w14:textId="5619EFC1" w:rsidR="00F70DF0" w:rsidRDefault="00F70DF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10C10D" w14:textId="77777777" w:rsidR="00F70DF0" w:rsidRDefault="00F70D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7825D" w14:textId="77777777" w:rsidR="00574E6A" w:rsidRDefault="00574E6A" w:rsidP="00F70DF0">
      <w:pPr>
        <w:spacing w:after="0" w:line="240" w:lineRule="auto"/>
      </w:pPr>
      <w:r>
        <w:separator/>
      </w:r>
    </w:p>
  </w:footnote>
  <w:footnote w:type="continuationSeparator" w:id="0">
    <w:p w14:paraId="20DE3073" w14:textId="77777777" w:rsidR="00574E6A" w:rsidRDefault="00574E6A" w:rsidP="00F70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15B2" w14:textId="3321A4D7" w:rsidR="00F70DF0" w:rsidRDefault="00F70DF0" w:rsidP="00F70DF0">
    <w:pPr>
      <w:pStyle w:val="Cabealho"/>
      <w:tabs>
        <w:tab w:val="left" w:pos="7740"/>
      </w:tabs>
    </w:pPr>
    <w:r>
      <w:tab/>
    </w:r>
    <w:r>
      <w:rPr>
        <w:noProof/>
      </w:rPr>
      <w:drawing>
        <wp:inline distT="0" distB="0" distL="0" distR="0" wp14:anchorId="6E97CFBC" wp14:editId="5109535C">
          <wp:extent cx="2187871" cy="360000"/>
          <wp:effectExtent l="0" t="0" r="0" b="0"/>
          <wp:docPr id="1877188393" name="image8.png" descr="Placa azul com letras brancas em fundo pr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Placa azul com letras brancas em fundo pr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7871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</w:p>
  <w:p w14:paraId="009A1D5A" w14:textId="77777777" w:rsidR="00F70DF0" w:rsidRDefault="00F70DF0" w:rsidP="00F70DF0">
    <w:pPr>
      <w:pStyle w:val="Cabealho"/>
      <w:tabs>
        <w:tab w:val="left" w:pos="7740"/>
      </w:tabs>
    </w:pPr>
  </w:p>
  <w:p w14:paraId="0B61334E" w14:textId="77777777" w:rsidR="00F70DF0" w:rsidRDefault="00F70D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A"/>
    <w:rsid w:val="001E7852"/>
    <w:rsid w:val="004943CE"/>
    <w:rsid w:val="00574E6A"/>
    <w:rsid w:val="00781BAA"/>
    <w:rsid w:val="00AB03C3"/>
    <w:rsid w:val="00C57BED"/>
    <w:rsid w:val="00DB2C18"/>
    <w:rsid w:val="00F7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770E"/>
  <w15:chartTrackingRefBased/>
  <w15:docId w15:val="{C22CD569-4F2C-4DF8-8384-882A4FEF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B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B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B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B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BA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0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0DF0"/>
  </w:style>
  <w:style w:type="paragraph" w:styleId="Rodap">
    <w:name w:val="footer"/>
    <w:basedOn w:val="Normal"/>
    <w:link w:val="RodapChar"/>
    <w:uiPriority w:val="99"/>
    <w:unhideWhenUsed/>
    <w:rsid w:val="00F70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0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Branco</dc:creator>
  <cp:keywords/>
  <dc:description/>
  <cp:lastModifiedBy>Marcel Balassiano</cp:lastModifiedBy>
  <cp:revision>2</cp:revision>
  <dcterms:created xsi:type="dcterms:W3CDTF">2026-06-22T15:35:00Z</dcterms:created>
  <dcterms:modified xsi:type="dcterms:W3CDTF">2026-06-22T15:35:00Z</dcterms:modified>
</cp:coreProperties>
</file>