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drawing>
          <wp:inline>
            <wp:extent cx="2400300" cy="394953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uras/logo_prefeitur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4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Valor monetário do patrimônio recuperado pela Força Municipal</w:t>
      </w:r>
      <w:r>
        <w:br/>
      </w:r>
      <w:r>
        <w:t xml:space="preserve">Um modelo probabilístico com distribuição de modelos e preços de mercado</w:t>
      </w:r>
      <w:r>
        <w:br/>
      </w:r>
      <w:r>
        <w:t xml:space="preserve">(Rio de Janeiro — primeiros 100 dias, 15/03 a 23/06 de 2026)</w:t>
      </w:r>
    </w:p>
    <w:p>
      <w:pPr>
        <w:pStyle w:val="Author"/>
      </w:pPr>
      <w:r>
        <w:t xml:space="preserve">Prefeitura do Rio — Secretaria Municipal de Desenvolvimento Econômico &amp; COMPSTAT RIO</w:t>
      </w:r>
    </w:p>
    <w:p>
      <w:pPr>
        <w:pStyle w:val="Date"/>
      </w:pPr>
      <w:r>
        <w:t xml:space="preserve">2026-06-27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Nos primeiros 100 dias de atuação da Força Municipal (SEGUR/Prefeitura do Rio — 15 de</w:t>
      </w:r>
      <w:r>
        <w:t xml:space="preserve"> </w:t>
      </w:r>
      <w:r>
        <w:t xml:space="preserve">março a 23 de junho de 2026) foram recuperados, entre outros itens,</w:t>
      </w:r>
      <w:r>
        <w:t xml:space="preserve"> </w:t>
      </w:r>
      <w:r>
        <w:rPr>
          <w:b/>
          <w:bCs/>
        </w:rPr>
        <w:t xml:space="preserve">133 celulares e 15</w:t>
      </w:r>
      <w:r>
        <w:rPr>
          <w:b/>
          <w:bCs/>
        </w:rPr>
        <w:t xml:space="preserve"> </w:t>
      </w:r>
      <w:r>
        <w:rPr>
          <w:b/>
          <w:bCs/>
        </w:rPr>
        <w:t xml:space="preserve">cordões</w:t>
      </w:r>
      <w:r>
        <w:t xml:space="preserve">. O valor monetário desses dois itens é avaliado tratando cada unidade como uma</w:t>
      </w:r>
      <w:r>
        <w:t xml:space="preserve"> </w:t>
      </w:r>
      <w:r>
        <w:rPr>
          <w:i/>
          <w:iCs/>
        </w:rPr>
        <w:t xml:space="preserve">variável aleatória</w:t>
      </w:r>
      <w:r>
        <w:t xml:space="preserve">: sorteia-se o modelo segundo a distribuição real do que é roubado na</w:t>
      </w:r>
      <w:r>
        <w:t xml:space="preserve"> </w:t>
      </w:r>
      <w:r>
        <w:t xml:space="preserve">cidade (ponderada por frequência) e o preço a partir de uma amostra de preços de mercado, em duas</w:t>
      </w:r>
      <w:r>
        <w:t xml:space="preserve"> </w:t>
      </w:r>
      <w:r>
        <w:t xml:space="preserve">bases —</w:t>
      </w:r>
      <w:r>
        <w:t xml:space="preserve"> </w:t>
      </w:r>
      <w:r>
        <w:rPr>
          <w:b/>
          <w:bCs/>
        </w:rPr>
        <w:t xml:space="preserve">revenda</w:t>
      </w:r>
      <w:r>
        <w:t xml:space="preserve"> </w:t>
      </w:r>
      <w:r>
        <w:t xml:space="preserve">(usado) e</w:t>
      </w:r>
      <w:r>
        <w:t xml:space="preserve"> </w:t>
      </w:r>
      <w:r>
        <w:rPr>
          <w:b/>
          <w:bCs/>
        </w:rPr>
        <w:t xml:space="preserve">reposição</w:t>
      </w:r>
      <w:r>
        <w:t xml:space="preserve"> </w:t>
      </w:r>
      <w:r>
        <w:t xml:space="preserve">(novo). Por simulação de Monte Carlo, o</w:t>
      </w:r>
      <w:r>
        <w:t xml:space="preserve"> </w:t>
      </w:r>
      <w:r>
        <w:t xml:space="preserve">valor esperado do conjunto é de</w:t>
      </w:r>
      <w:r>
        <w:t xml:space="preserve"> </w:t>
      </w:r>
      <w:r>
        <w:rPr>
          <w:b/>
          <w:bCs/>
        </w:rPr>
        <w:t xml:space="preserve">R$ 168 mil</w:t>
      </w:r>
      <w:r>
        <w:t xml:space="preserve"> </w:t>
      </w:r>
      <w:r>
        <w:t xml:space="preserve">a preços de revenda (banda de 90%:</w:t>
      </w:r>
      <w:r>
        <w:t xml:space="preserve"> </w:t>
      </w:r>
      <w:r>
        <w:t xml:space="preserve">R$ 150–R$ 187 mil) e</w:t>
      </w:r>
      <w:r>
        <w:t xml:space="preserve"> </w:t>
      </w:r>
      <w:r>
        <w:rPr>
          <w:b/>
          <w:bCs/>
        </w:rPr>
        <w:t xml:space="preserve">R$ 275 mil</w:t>
      </w:r>
      <w:r>
        <w:t xml:space="preserve"> </w:t>
      </w:r>
      <w:r>
        <w:t xml:space="preserve">a preços de reposição</w:t>
      </w:r>
      <w:r>
        <w:t xml:space="preserve"> </w:t>
      </w:r>
      <w:r>
        <w:t xml:space="preserve">(R$ 244–R$ 309 mil); o envelope extremo vai de R$ 12 mil a R$ 1</w:t>
      </w:r>
      <w:r>
        <w:t xml:space="preserve">,</w:t>
      </w:r>
      <w:r>
        <w:t xml:space="preserve">14 milhão.</w:t>
      </w:r>
      <w:r>
        <w:t xml:space="preserve"> </w:t>
      </w:r>
      <w:r>
        <w:t xml:space="preserve">Os celulares concentram cerca de 96% do valor. Todas as cifras têm fonte pública (preços</w:t>
      </w:r>
      <w:r>
        <w:t xml:space="preserve"> </w:t>
      </w:r>
      <w:r>
        <w:t xml:space="preserve">coletados em 16/06/2026).</w:t>
      </w:r>
    </w:p>
    <w:bookmarkStart w:id="12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segurança pública é, também, uma questão econômica: a violência impõe custos elevados ao</w:t>
      </w:r>
      <w:r>
        <w:t xml:space="preserve"> </w:t>
      </w:r>
      <w:r>
        <w:t xml:space="preserve">desenvolvimento — estimados em torno de 5,9% do PIB no Brasil — e foi para enfrentá-la nas ruas</w:t>
      </w:r>
      <w:r>
        <w:t xml:space="preserve"> </w:t>
      </w:r>
      <w:r>
        <w:t xml:space="preserve">que a Prefeitura do Rio criou a Divisão de Elite da Guarda Municipal — Força Municipal. A</w:t>
      </w:r>
      <w:r>
        <w:t xml:space="preserve"> </w:t>
      </w:r>
      <w:r>
        <w:t xml:space="preserve">Seção </w:t>
      </w:r>
      <w:hyperlink w:anchor="sec:economi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situa essa relação na literatura econômica e a Seção </w:t>
      </w:r>
      <w:hyperlink w:anchor="sec:instituciona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descreve o arranjo institucional; este relatório então</w:t>
      </w:r>
      <w:r>
        <w:t xml:space="preserve"> </w:t>
      </w:r>
      <w:r>
        <w:rPr>
          <w:b/>
          <w:bCs/>
        </w:rPr>
        <w:t xml:space="preserve">quantifica o valor monetário do</w:t>
      </w:r>
      <w:r>
        <w:rPr>
          <w:b/>
          <w:bCs/>
        </w:rPr>
        <w:t xml:space="preserve"> </w:t>
      </w:r>
      <w:r>
        <w:rPr>
          <w:b/>
          <w:bCs/>
        </w:rPr>
        <w:t xml:space="preserve">patrimônio recuperado</w:t>
      </w:r>
      <w:r>
        <w:t xml:space="preserve"> </w:t>
      </w:r>
      <w:r>
        <w:t xml:space="preserve">pela Força.</w:t>
      </w:r>
    </w:p>
    <w:p>
      <w:pPr>
        <w:pStyle w:val="BodyText"/>
      </w:pPr>
      <w:r>
        <w:t xml:space="preserve">Nos primeiros 100 dias de atuação, a Força Municipal (Secretaria Especial de Segurança Urbana —</w:t>
      </w:r>
      <w:r>
        <w:t xml:space="preserve"> </w:t>
      </w:r>
      <w:r>
        <w:t xml:space="preserve">SEGUR, Prefeitura do Rio de Janeiro) reportou a recuperação de 133 celulares e 15 cordões, entre</w:t>
      </w:r>
      <w:r>
        <w:t xml:space="preserve"> </w:t>
      </w:r>
      <w:r>
        <w:t xml:space="preserve">outros itens. Quanto vale, em reais, esse patrimônio?</w:t>
      </w:r>
    </w:p>
    <w:p>
      <w:pPr>
        <w:pStyle w:val="BodyText"/>
      </w:pPr>
      <w:r>
        <w:t xml:space="preserve">A resposta não é um número único. Um celular recuperado pode ser um aparelho de entrada usado de</w:t>
      </w:r>
      <w:r>
        <w:t xml:space="preserve"> </w:t>
      </w:r>
      <w:r>
        <w:t xml:space="preserve">algumas centenas de reais ou um</w:t>
      </w:r>
      <w:r>
        <w:t xml:space="preserve"> </w:t>
      </w:r>
      <w:r>
        <w:rPr>
          <w:i/>
          <w:iCs/>
        </w:rPr>
        <w:t xml:space="preserve">flagship</w:t>
      </w:r>
      <w:r>
        <w:t xml:space="preserve"> </w:t>
      </w:r>
      <w:r>
        <w:t xml:space="preserve">novo de mais de dez mil; um cordão pode ser uma</w:t>
      </w:r>
      <w:r>
        <w:t xml:space="preserve"> </w:t>
      </w:r>
      <w:r>
        <w:t xml:space="preserve">semijoia folheada ou uma peça de ouro. O valor de cada item recuperado é, portanto, uma</w:t>
      </w:r>
      <w:r>
        <w:t xml:space="preserve"> </w:t>
      </w:r>
      <w:r>
        <w:rPr>
          <w:i/>
          <w:iCs/>
        </w:rPr>
        <w:t xml:space="preserve">distribuição</w:t>
      </w:r>
      <w:r>
        <w:t xml:space="preserve"> </w:t>
      </w:r>
      <w:r>
        <w:t xml:space="preserve">de quantias plausíveis — a probabilidade de que ele valha cada montante —</w:t>
      </w:r>
      <w:r>
        <w:t xml:space="preserve"> </w:t>
      </w:r>
      <w:r>
        <w:t xml:space="preserve">e não apenas uma média.</w:t>
      </w:r>
    </w:p>
    <w:p>
      <w:pPr>
        <w:pStyle w:val="BodyText"/>
      </w:pPr>
      <w:r>
        <w:t xml:space="preserve">Esse valor é uma variável aleatória, cuja distribuição se constrói a partir (i) da composição real</w:t>
      </w:r>
      <w:r>
        <w:t xml:space="preserve"> </w:t>
      </w:r>
      <w:r>
        <w:t xml:space="preserve">do que é roubado na cidade e (ii) de preços de mercado coletados por modelo, em duas bases —</w:t>
      </w:r>
      <w:r>
        <w:t xml:space="preserve"> </w:t>
      </w:r>
      <w:r>
        <w:t xml:space="preserve">revenda (usado) e reposição (novo). Por</w:t>
      </w:r>
      <w:r>
        <w:t xml:space="preserve"> </w:t>
      </w:r>
      <w:r>
        <w:rPr>
          <w:i/>
          <w:iCs/>
        </w:rPr>
        <w:t xml:space="preserve">revenda</w:t>
      </w:r>
      <w:r>
        <w:t xml:space="preserve"> </w:t>
      </w:r>
      <w:r>
        <w:t xml:space="preserve">entende-se a compra do bem</w:t>
      </w:r>
      <w:r>
        <w:t xml:space="preserve"> </w:t>
      </w:r>
      <w:r>
        <w:rPr>
          <w:i/>
          <w:iCs/>
        </w:rPr>
        <w:t xml:space="preserve">usado</w:t>
      </w:r>
      <w:r>
        <w:t xml:space="preserve"> </w:t>
      </w:r>
      <w:r>
        <w:t xml:space="preserve">(quanto ele valeria se revendido); por</w:t>
      </w:r>
      <w:r>
        <w:t xml:space="preserve"> </w:t>
      </w:r>
      <w:r>
        <w:rPr>
          <w:i/>
          <w:iCs/>
        </w:rPr>
        <w:t xml:space="preserve">reposição</w:t>
      </w:r>
      <w:r>
        <w:t xml:space="preserve">, a compra do equivalente</w:t>
      </w:r>
      <w:r>
        <w:t xml:space="preserve"> </w:t>
      </w:r>
      <w:r>
        <w:rPr>
          <w:i/>
          <w:iCs/>
        </w:rPr>
        <w:t xml:space="preserve">novo</w:t>
      </w:r>
      <w:r>
        <w:t xml:space="preserve"> </w:t>
      </w:r>
      <w:r>
        <w:t xml:space="preserve">(o</w:t>
      </w:r>
      <w:r>
        <w:t xml:space="preserve"> </w:t>
      </w:r>
      <w:r>
        <w:t xml:space="preserve">custo de repô-lo). Cada categoria tem, assim, uma distribuição de probabilidade de valor, e o</w:t>
      </w:r>
      <w:r>
        <w:t xml:space="preserve"> </w:t>
      </w:r>
      <w:r>
        <w:t xml:space="preserve">conjunto, uma estimativa com intervalo de confiança — tudo referenciado a fontes públicas.</w:t>
      </w:r>
    </w:p>
    <w:bookmarkEnd w:id="12"/>
    <w:bookmarkStart w:id="13" w:name="sec:economia"/>
    <w:p>
      <w:pPr>
        <w:pStyle w:val="Heading1"/>
      </w:pPr>
      <w:r>
        <w:t xml:space="preserve">Segurança pública e desenvolvimento econômico</w:t>
      </w:r>
    </w:p>
    <w:p>
      <w:pPr>
        <w:pStyle w:val="FirstParagraph"/>
      </w:pPr>
      <w:r>
        <w:t xml:space="preserve">A relação entre desenvolvimento econômico e segurança pública constitui um dos temas centrais da</w:t>
      </w:r>
      <w:r>
        <w:t xml:space="preserve"> </w:t>
      </w:r>
      <w:r>
        <w:t xml:space="preserve">Economia do Crime, campo consolidado na literatura internacional desde os trabalhos clássicos de</w:t>
      </w:r>
      <w:r>
        <w:t xml:space="preserve"> </w:t>
      </w:r>
      <w:r>
        <w:t xml:space="preserve">Willem Bonger no início do século XX. Bonger já argumentava que o crime é profundamente condicionado</w:t>
      </w:r>
      <w:r>
        <w:t xml:space="preserve"> </w:t>
      </w:r>
      <w:r>
        <w:t xml:space="preserve">por fatores socioeconômicos, especialmente desigualdade e condições materiais de vida, tese que</w:t>
      </w:r>
      <w:r>
        <w:t xml:space="preserve"> </w:t>
      </w:r>
      <w:r>
        <w:t xml:space="preserve">permanece amplamente corroborada por estudos empíricos contemporâneos. Essa abordagem foi</w:t>
      </w:r>
      <w:r>
        <w:t xml:space="preserve"> </w:t>
      </w:r>
      <w:r>
        <w:t xml:space="preserve">posteriormente refinada por modelos econômicos baseados na racionalidade individual, nos quais o</w:t>
      </w:r>
      <w:r>
        <w:t xml:space="preserve"> </w:t>
      </w:r>
      <w:r>
        <w:t xml:space="preserve">crime é tratado como uma escolha sob restrições, influenciada por incentivos, oportunidades e riscos.</w:t>
      </w:r>
    </w:p>
    <w:p>
      <w:pPr>
        <w:pStyle w:val="BodyText"/>
      </w:pPr>
      <w:r>
        <w:t xml:space="preserve">Na literatura econômica moderna, há amplo consenso de que variáveis como renda, desigualdade,</w:t>
      </w:r>
      <w:r>
        <w:t xml:space="preserve"> </w:t>
      </w:r>
      <w:r>
        <w:t xml:space="preserve">desemprego e educação exercem influência significativa sobre as taxas de criminalidade. Um dos</w:t>
      </w:r>
      <w:r>
        <w:t xml:space="preserve"> </w:t>
      </w:r>
      <w:r>
        <w:t xml:space="preserve">trabalhos mais influentes dessa literatura é o de Pablo Fajnzylber, Daniel Lederman e Norman Loayza,</w:t>
      </w:r>
      <w:r>
        <w:t xml:space="preserve"> </w:t>
      </w:r>
      <w:r>
        <w:t xml:space="preserve">publicado no</w:t>
      </w:r>
      <w:r>
        <w:t xml:space="preserve"> </w:t>
      </w:r>
      <w:r>
        <w:rPr>
          <w:i/>
          <w:iCs/>
        </w:rPr>
        <w:t xml:space="preserve">Journal of Law and Economics</w:t>
      </w:r>
      <w:r>
        <w:t xml:space="preserve"> </w:t>
      </w:r>
      <w:r>
        <w:t xml:space="preserve">(2002). Nesse estudo, os autores analisam dados de</w:t>
      </w:r>
      <w:r>
        <w:t xml:space="preserve"> </w:t>
      </w:r>
      <w:r>
        <w:t xml:space="preserve">diversos países e também painéis ao longo do tempo para testar a relação entre desigualdade de renda</w:t>
      </w:r>
      <w:r>
        <w:t xml:space="preserve"> </w:t>
      </w:r>
      <w:r>
        <w:t xml:space="preserve">e criminalidade. O argumento central é que a desigualdade — medida principalmente pelo índice de</w:t>
      </w:r>
      <w:r>
        <w:t xml:space="preserve"> </w:t>
      </w:r>
      <w:r>
        <w:t xml:space="preserve">Gini — exerce um efeito causal positivo sobre taxas de homicídio e roubo, mesmo após controlar por</w:t>
      </w:r>
      <w:r>
        <w:t xml:space="preserve"> </w:t>
      </w:r>
      <w:r>
        <w:t xml:space="preserve">renda média, educação e urbanização. A principal contribuição do artigo está em mostrar que não se</w:t>
      </w:r>
      <w:r>
        <w:t xml:space="preserve"> </w:t>
      </w:r>
      <w:r>
        <w:t xml:space="preserve">trata apenas de pobreza absoluta, mas da disparidade relativa entre indivíduos que aumenta</w:t>
      </w:r>
      <w:r>
        <w:t xml:space="preserve"> </w:t>
      </w:r>
      <w:r>
        <w:t xml:space="preserve">incentivos ao crime, seja por frustração econômica, menor custo de oportunidade ou enfraquecimento</w:t>
      </w:r>
      <w:r>
        <w:t xml:space="preserve"> </w:t>
      </w:r>
      <w:r>
        <w:t xml:space="preserve">da coesão social.</w:t>
      </w:r>
    </w:p>
    <w:p>
      <w:pPr>
        <w:pStyle w:val="BodyText"/>
      </w:pPr>
      <w:r>
        <w:t xml:space="preserve">Além da desigualdade, a literatura destaca o papel das oportunidades econômicas. Modelos teóricos</w:t>
      </w:r>
      <w:r>
        <w:t xml:space="preserve"> </w:t>
      </w:r>
      <w:r>
        <w:t xml:space="preserve">indicam que, em contextos de baixo crescimento e alta informalidade, o retorno esperado de</w:t>
      </w:r>
      <w:r>
        <w:t xml:space="preserve"> </w:t>
      </w:r>
      <w:r>
        <w:t xml:space="preserve">atividades ilegais pode superar o das atividades legais, incentivando o crime. Estudos empíricos no</w:t>
      </w:r>
      <w:r>
        <w:t xml:space="preserve"> </w:t>
      </w:r>
      <w:r>
        <w:t xml:space="preserve">Brasil mostram que os</w:t>
      </w:r>
      <w:r>
        <w:t xml:space="preserve"> </w:t>
      </w:r>
      <w:r>
        <w:t xml:space="preserve">“retornos do crime”</w:t>
      </w:r>
      <w:r>
        <w:t xml:space="preserve"> </w:t>
      </w:r>
      <w:r>
        <w:t xml:space="preserve">e a ausência de oportunidades formais são fatores</w:t>
      </w:r>
      <w:r>
        <w:t xml:space="preserve"> </w:t>
      </w:r>
      <w:r>
        <w:t xml:space="preserve">relevantes para o aumento da criminalidade. Um estudo particularmente relevante para esse argumento</w:t>
      </w:r>
      <w:r>
        <w:t xml:space="preserve"> </w:t>
      </w:r>
      <w:r>
        <w:t xml:space="preserve">é o de Daniel Ricardo de Castro Cerqueira, publicado pelo Instituto de Pesquisa Econômica Aplicada</w:t>
      </w:r>
      <w:r>
        <w:t xml:space="preserve"> </w:t>
      </w:r>
      <w:r>
        <w:t xml:space="preserve">(2019). Este trabalho desenvolve e testa empiricamente um modelo no qual indivíduos decidem entre</w:t>
      </w:r>
      <w:r>
        <w:t xml:space="preserve"> </w:t>
      </w:r>
      <w:r>
        <w:t xml:space="preserve">atividades legais e ilegais com base no retorno esperado de cada uma. Utilizando dados brasileiros,</w:t>
      </w:r>
      <w:r>
        <w:t xml:space="preserve"> </w:t>
      </w:r>
      <w:r>
        <w:t xml:space="preserve">Cerqueira mostra que a baixa remuneração no mercado formal, combinada com alta informalidade e baixa</w:t>
      </w:r>
      <w:r>
        <w:t xml:space="preserve"> </w:t>
      </w:r>
      <w:r>
        <w:t xml:space="preserve">probabilidade de punição, eleva o atrativo econômico do crime, especialmente entre jovens homens com</w:t>
      </w:r>
      <w:r>
        <w:t xml:space="preserve"> </w:t>
      </w:r>
      <w:r>
        <w:t xml:space="preserve">baixa escolaridade. O estudo também evidencia forte persistência temporal da criminalidade — ou</w:t>
      </w:r>
      <w:r>
        <w:t xml:space="preserve"> </w:t>
      </w:r>
      <w:r>
        <w:t xml:space="preserve">seja, regiões com altos níveis de crime tendem a permanecer violentas ao longo do tempo — e</w:t>
      </w:r>
      <w:r>
        <w:t xml:space="preserve"> </w:t>
      </w:r>
      <w:r>
        <w:t xml:space="preserve">efeitos espaciais, nos quais o crime se difunde entre áreas vizinhas. A principal contribuição do</w:t>
      </w:r>
      <w:r>
        <w:t xml:space="preserve"> </w:t>
      </w:r>
      <w:r>
        <w:t xml:space="preserve">trabalho é demonstrar que o crime responde a incentivos econômicos de forma sistemática, reforçando</w:t>
      </w:r>
      <w:r>
        <w:t xml:space="preserve"> </w:t>
      </w:r>
      <w:r>
        <w:t xml:space="preserve">a interpretação de que políticas de geração de emprego, aumento da renda e melhoria das instituições</w:t>
      </w:r>
      <w:r>
        <w:t xml:space="preserve"> </w:t>
      </w:r>
      <w:r>
        <w:t xml:space="preserve">de justiça podem alterar significativamente o</w:t>
      </w:r>
      <w:r>
        <w:t xml:space="preserve"> </w:t>
      </w:r>
      <w:r>
        <w:t xml:space="preserve">“cálculo econômico”</w:t>
      </w:r>
      <w:r>
        <w:t xml:space="preserve"> </w:t>
      </w:r>
      <w:r>
        <w:t xml:space="preserve">que sustenta a atividade</w:t>
      </w:r>
      <w:r>
        <w:t xml:space="preserve"> </w:t>
      </w:r>
      <w:r>
        <w:t xml:space="preserve">criminosa.</w:t>
      </w:r>
    </w:p>
    <w:p>
      <w:pPr>
        <w:pStyle w:val="BodyText"/>
      </w:pPr>
      <w:r>
        <w:t xml:space="preserve">Por outro lado, a literatura empírica demonstra de forma consistente que a violência impõe custos</w:t>
      </w:r>
      <w:r>
        <w:t xml:space="preserve"> </w:t>
      </w:r>
      <w:r>
        <w:t xml:space="preserve">econômicos significativos e mensuráveis. Um estudo do Banco Interamericano de Desenvolvimento estima</w:t>
      </w:r>
      <w:r>
        <w:t xml:space="preserve"> </w:t>
      </w:r>
      <w:r>
        <w:t xml:space="preserve">que o custo do crime na América Latina e Caribe alcança, em média, cerca de 3,5% do PIB regional,</w:t>
      </w:r>
      <w:r>
        <w:t xml:space="preserve"> </w:t>
      </w:r>
      <w:r>
        <w:t xml:space="preserve">considerando gastos públicos, privados e perdas de produtividade. No caso do Brasil, o Fórum</w:t>
      </w:r>
      <w:r>
        <w:t xml:space="preserve"> </w:t>
      </w:r>
      <w:r>
        <w:t xml:space="preserve">Brasileiro de Segurança Pública aponta que a violência chegou a custar aproximadamente 5,9% do PIB</w:t>
      </w:r>
      <w:r>
        <w:t xml:space="preserve"> </w:t>
      </w:r>
      <w:r>
        <w:t xml:space="preserve">em 2017, incluindo despesas com segurança, sistema prisional e perdas econômicas indiretas. Além</w:t>
      </w:r>
      <w:r>
        <w:t xml:space="preserve"> </w:t>
      </w:r>
      <w:r>
        <w:t xml:space="preserve">disso, evidências do Banco Mundial indicam que empresas em ambientes de alta criminalidade enfrentam</w:t>
      </w:r>
      <w:r>
        <w:t xml:space="preserve"> </w:t>
      </w:r>
      <w:r>
        <w:t xml:space="preserve">maior incerteza, elevam gastos com segurança privada e reduzem investimentos produtivos, o que</w:t>
      </w:r>
      <w:r>
        <w:t xml:space="preserve"> </w:t>
      </w:r>
      <w:r>
        <w:t xml:space="preserve">compromete a eficiência e a inovação. Esse conjunto de evidências reforça a ideia de que a violência</w:t>
      </w:r>
      <w:r>
        <w:t xml:space="preserve"> </w:t>
      </w:r>
      <w:r>
        <w:t xml:space="preserve">atua como um</w:t>
      </w:r>
      <w:r>
        <w:t xml:space="preserve"> </w:t>
      </w:r>
      <w:r>
        <w:t xml:space="preserve">“imposto invisível”</w:t>
      </w:r>
      <w:r>
        <w:t xml:space="preserve">, reduzindo a competitividade econômica e limitando o crescimento</w:t>
      </w:r>
      <w:r>
        <w:t xml:space="preserve"> </w:t>
      </w:r>
      <w:r>
        <w:t xml:space="preserve">de longo prazo.</w:t>
      </w:r>
    </w:p>
    <w:p>
      <w:pPr>
        <w:pStyle w:val="BodyText"/>
      </w:pPr>
      <w:r>
        <w:t xml:space="preserve">No plano internacional, os dados reforçam essa associação entre desenvolvimento, desigualdade e</w:t>
      </w:r>
      <w:r>
        <w:t xml:space="preserve"> </w:t>
      </w:r>
      <w:r>
        <w:t xml:space="preserve">criminalidade. Países como Alemanha e Japão apresentam taxas de homicídio extremamente baixas —</w:t>
      </w:r>
      <w:r>
        <w:t xml:space="preserve"> </w:t>
      </w:r>
      <w:r>
        <w:t xml:space="preserve">cerca de 0,8 e 0,2 por 100 mil habitantes, respectivamente, segundo o</w:t>
      </w:r>
      <w:r>
        <w:t xml:space="preserve"> </w:t>
      </w:r>
      <w:r>
        <w:rPr>
          <w:i/>
          <w:iCs/>
        </w:rPr>
        <w:t xml:space="preserve">United Nations Office on</w:t>
      </w:r>
      <w:r>
        <w:rPr>
          <w:i/>
          <w:iCs/>
        </w:rPr>
        <w:t xml:space="preserve"> </w:t>
      </w:r>
      <w:r>
        <w:rPr>
          <w:i/>
          <w:iCs/>
        </w:rPr>
        <w:t xml:space="preserve">Drugs and Crime</w:t>
      </w:r>
      <w:r>
        <w:t xml:space="preserve"> </w:t>
      </w:r>
      <w:r>
        <w:t xml:space="preserve">— ao mesmo tempo em que exibem níveis relativamente baixos de desigualdade</w:t>
      </w:r>
      <w:r>
        <w:t xml:space="preserve"> </w:t>
      </w:r>
      <w:r>
        <w:t xml:space="preserve">(coeficiente de Gini em torno de 0,31 na Alemanha e 0,33 no Japão, conforme dados do Banco Mundial).</w:t>
      </w:r>
      <w:r>
        <w:t xml:space="preserve"> </w:t>
      </w:r>
      <w:r>
        <w:t xml:space="preserve">Em contraste, os Estados Unidos, embora tenham alta renda</w:t>
      </w:r>
      <w:r>
        <w:t xml:space="preserve"> </w:t>
      </w:r>
      <w:r>
        <w:rPr>
          <w:i/>
          <w:iCs/>
        </w:rPr>
        <w:t xml:space="preserve">per capita</w:t>
      </w:r>
      <w:r>
        <w:t xml:space="preserve">, apresentam maior</w:t>
      </w:r>
      <w:r>
        <w:t xml:space="preserve"> </w:t>
      </w:r>
      <w:r>
        <w:t xml:space="preserve">desigualdade (Gini próximo de 0,41) e uma taxa de homicídios significativamente superior, cerca de 6</w:t>
      </w:r>
      <w:r>
        <w:t xml:space="preserve"> </w:t>
      </w:r>
      <w:r>
        <w:t xml:space="preserve">a 7 por 100 mil habitantes, com forte concentração espacial em áreas urbanas segregadas. Estudos</w:t>
      </w:r>
      <w:r>
        <w:t xml:space="preserve"> </w:t>
      </w:r>
      <w:r>
        <w:t xml:space="preserve">como o de Richard Wilkinson e Kate Pickett, publicado na</w:t>
      </w:r>
      <w:r>
        <w:t xml:space="preserve"> </w:t>
      </w:r>
      <w:r>
        <w:rPr>
          <w:i/>
          <w:iCs/>
        </w:rPr>
        <w:t xml:space="preserve">Social Science &amp; Medicine</w:t>
      </w:r>
      <w:r>
        <w:t xml:space="preserve">,</w:t>
      </w:r>
      <w:r>
        <w:t xml:space="preserve"> </w:t>
      </w:r>
      <w:r>
        <w:t xml:space="preserve">demonstram que sociedades mais desiguais tendem a apresentar maiores níveis de violência, mesmo</w:t>
      </w:r>
      <w:r>
        <w:t xml:space="preserve"> </w:t>
      </w:r>
      <w:r>
        <w:t xml:space="preserve">controlando para renda média, sugerindo que a distribuição de renda — e não apenas o nível de</w:t>
      </w:r>
      <w:r>
        <w:t xml:space="preserve"> </w:t>
      </w:r>
      <w:r>
        <w:t xml:space="preserve">riqueza — é um fator central para explicar diferenças internacionais nos níveis de criminalidade.</w:t>
      </w:r>
    </w:p>
    <w:p>
      <w:pPr>
        <w:pStyle w:val="BodyText"/>
      </w:pPr>
      <w:r>
        <w:t xml:space="preserve">Além disso, o impacto econômico da violência no Brasil é expressivo e bem documentado. Segundo o</w:t>
      </w:r>
      <w:r>
        <w:t xml:space="preserve"> </w:t>
      </w:r>
      <w:r>
        <w:t xml:space="preserve">Fórum Brasileiro de Segurança Pública, os custos da violência no país atingiram aproximadamente</w:t>
      </w:r>
      <w:r>
        <w:t xml:space="preserve"> </w:t>
      </w:r>
      <w:r>
        <w:t xml:space="preserve">R$ 373 bilhões em 2017, o equivalente a cerca de 5,9% do PIB nacional. Esse valor inclui não</w:t>
      </w:r>
      <w:r>
        <w:t xml:space="preserve"> </w:t>
      </w:r>
      <w:r>
        <w:t xml:space="preserve">apenas gastos públicos com segurança e sistema prisional, mas também perdas associadas à redução da</w:t>
      </w:r>
      <w:r>
        <w:t xml:space="preserve"> </w:t>
      </w:r>
      <w:r>
        <w:t xml:space="preserve">produtividade, mortalidade precoce e retração de investimentos. Um estudo de Laura Jaitman, publicado</w:t>
      </w:r>
      <w:r>
        <w:t xml:space="preserve"> </w:t>
      </w:r>
      <w:r>
        <w:t xml:space="preserve">pelo Banco Interamericano de Desenvolvimento, estima que a criminalidade reduz a produtividade das</w:t>
      </w:r>
      <w:r>
        <w:t xml:space="preserve"> </w:t>
      </w:r>
      <w:r>
        <w:t xml:space="preserve">empresas latino-americanas em até 9% e impõe custos significativos ao ambiente de negócios,</w:t>
      </w:r>
      <w:r>
        <w:t xml:space="preserve"> </w:t>
      </w:r>
      <w:r>
        <w:t xml:space="preserve">sobretudo em setores intensivos em capital. Em conjunto, essas evidências quantitativas demonstram</w:t>
      </w:r>
      <w:r>
        <w:t xml:space="preserve"> </w:t>
      </w:r>
      <w:r>
        <w:t xml:space="preserve">que a violência não apenas reflete desigualdades estruturais, mas também atua como um entrave direto</w:t>
      </w:r>
      <w:r>
        <w:t xml:space="preserve"> </w:t>
      </w:r>
      <w:r>
        <w:t xml:space="preserve">ao desenvolvimento econômico, afetando decisões de investimento, eficiência produtiva e crescimento</w:t>
      </w:r>
      <w:r>
        <w:t xml:space="preserve"> </w:t>
      </w:r>
      <w:r>
        <w:t xml:space="preserve">de longo prazo.</w:t>
      </w:r>
    </w:p>
    <w:p>
      <w:pPr>
        <w:pStyle w:val="BodyText"/>
      </w:pPr>
      <w:r>
        <w:t xml:space="preserve">O caso do Rio de Janeiro ilustra de forma particularmente clara a interação entre desigualdade,</w:t>
      </w:r>
      <w:r>
        <w:t xml:space="preserve"> </w:t>
      </w:r>
      <w:r>
        <w:t xml:space="preserve">dinâmica urbana e violência. Dados do Instituto de Segurança Pública indicam que o estado do Rio</w:t>
      </w:r>
      <w:r>
        <w:t xml:space="preserve"> </w:t>
      </w:r>
      <w:r>
        <w:t xml:space="preserve">registrou taxas de homicídio em torno de 20 a 25 por 100 mil habitantes na última década, com forte</w:t>
      </w:r>
      <w:r>
        <w:t xml:space="preserve"> </w:t>
      </w:r>
      <w:r>
        <w:t xml:space="preserve">concentração espacial em áreas periféricas e favelas. Estudos sobre o estado de São Paulo, como o</w:t>
      </w:r>
      <w:r>
        <w:t xml:space="preserve"> </w:t>
      </w:r>
      <w:r>
        <w:t xml:space="preserve">de João Manoel Pinho de Mello e Alexandre Schneider (</w:t>
      </w:r>
      <w:r>
        <w:rPr>
          <w:i/>
          <w:iCs/>
        </w:rPr>
        <w:t xml:space="preserve">São Paulo em Perspectiva</w:t>
      </w:r>
      <w:r>
        <w:t xml:space="preserve">, 2007),</w:t>
      </w:r>
      <w:r>
        <w:t xml:space="preserve"> </w:t>
      </w:r>
      <w:r>
        <w:t xml:space="preserve">evidenciam ainda o peso da dinâmica demográfica — sobretudo da parcela de jovens do sexo</w:t>
      </w:r>
      <w:r>
        <w:t xml:space="preserve"> </w:t>
      </w:r>
      <w:r>
        <w:t xml:space="preserve">masculino — sobre a evolução dos homicídios. Em conjunto, desigualdade intraurbana, segregação</w:t>
      </w:r>
      <w:r>
        <w:t xml:space="preserve"> </w:t>
      </w:r>
      <w:r>
        <w:t xml:space="preserve">espacial e estrutura etária ajudam a explicar por que a violência letal se concentra nas áreas de</w:t>
      </w:r>
      <w:r>
        <w:t xml:space="preserve"> </w:t>
      </w:r>
      <w:r>
        <w:t xml:space="preserve">maior disparidade socioeconômica.</w:t>
      </w:r>
    </w:p>
    <w:p>
      <w:pPr>
        <w:pStyle w:val="BodyText"/>
      </w:pPr>
      <w:r>
        <w:t xml:space="preserve">Por fim, a revisão da literatura aponta para a necessidade de abordagens integradas. Políticas</w:t>
      </w:r>
      <w:r>
        <w:t xml:space="preserve"> </w:t>
      </w:r>
      <w:r>
        <w:t xml:space="preserve">exclusivamente repressivas tendem a ter eficácia limitada se não forem acompanhadas por medidas</w:t>
      </w:r>
      <w:r>
        <w:t xml:space="preserve"> </w:t>
      </w:r>
      <w:r>
        <w:t xml:space="preserve">econômicas e sociais. A evidência empírica internacional sugere que estratégias mais eficazes</w:t>
      </w:r>
      <w:r>
        <w:t xml:space="preserve"> </w:t>
      </w:r>
      <w:r>
        <w:t xml:space="preserve">combinam investimentos em educação, redução da desigualdade, geração de emprego e melhorias</w:t>
      </w:r>
      <w:r>
        <w:t xml:space="preserve"> </w:t>
      </w:r>
      <w:r>
        <w:t xml:space="preserve">institucionais. Assim, o desenvolvimento econômico e a segurança pública devem ser tratados como</w:t>
      </w:r>
      <w:r>
        <w:t xml:space="preserve"> </w:t>
      </w:r>
      <w:r>
        <w:t xml:space="preserve">dimensões interdependentes de um mesmo processo.</w:t>
      </w:r>
    </w:p>
    <w:bookmarkEnd w:id="13"/>
    <w:bookmarkStart w:id="22" w:name="sec:institucional"/>
    <w:p>
      <w:pPr>
        <w:pStyle w:val="Heading1"/>
      </w:pPr>
      <w:r>
        <w:t xml:space="preserve">O Sistema de Segurança Municipal e a Força Municipal</w:t>
      </w:r>
    </w:p>
    <w:bookmarkStart w:id="16" w:name="sistema-de-segurança-municipal"/>
    <w:p>
      <w:pPr>
        <w:pStyle w:val="Heading2"/>
      </w:pPr>
      <w:r>
        <w:t xml:space="preserve">Sistema de Segurança Municipal</w:t>
      </w:r>
    </w:p>
    <w:p>
      <w:pPr>
        <w:pStyle w:val="FirstParagraph"/>
      </w:pPr>
      <w:r>
        <w:t xml:space="preserve">A Prefeitura do Rio regulamentou oficialmente, em setembro de 2025, o Sistema de Segurança Municipal</w:t>
      </w:r>
      <w:r>
        <w:t xml:space="preserve"> </w:t>
      </w:r>
      <w:r>
        <w:t xml:space="preserve">(SSM)</w:t>
      </w:r>
      <w:r>
        <w:rPr>
          <w:rStyle w:val="FootnoteReference"/>
        </w:rPr>
        <w:footnoteReference w:id="14"/>
      </w:r>
      <w:r>
        <w:t xml:space="preserve">,</w:t>
      </w:r>
      <w:r>
        <w:t xml:space="preserve"> </w:t>
      </w:r>
      <w:r>
        <w:t xml:space="preserve">definindo as normas gerais para a organização, o funcionamento e a articulação entre os órgãos</w:t>
      </w:r>
      <w:r>
        <w:t xml:space="preserve"> </w:t>
      </w:r>
      <w:r>
        <w:t xml:space="preserve">envolvidos. O SSM tem como principal objetivo coordenar a Política Municipal de Segurança Pública,</w:t>
      </w:r>
      <w:r>
        <w:t xml:space="preserve"> </w:t>
      </w:r>
      <w:r>
        <w:t xml:space="preserve">promovendo a integração das ações municipais voltadas à segurança e criando estratégias mais</w:t>
      </w:r>
      <w:r>
        <w:t xml:space="preserve"> </w:t>
      </w:r>
      <w:r>
        <w:t xml:space="preserve">eficazes para o combate à violência nas ruas da cidade, com base em dados e evidências.</w:t>
      </w:r>
    </w:p>
    <w:p>
      <w:pPr>
        <w:pStyle w:val="BodyText"/>
      </w:pPr>
      <w:r>
        <w:t xml:space="preserve">O Sistema é vinculado diretamente ao Gabinete do Prefeito e tem um secretário-geral responsável pela</w:t>
      </w:r>
      <w:r>
        <w:t xml:space="preserve"> </w:t>
      </w:r>
      <w:r>
        <w:t xml:space="preserve">coordenação de todas as ações relacionadas à segurança pública na cidade — organizando reuniões</w:t>
      </w:r>
      <w:r>
        <w:t xml:space="preserve"> </w:t>
      </w:r>
      <w:r>
        <w:t xml:space="preserve">periódicas, elaborando relatórios de desempenho, acompanhando os indicadores da área e difundindo</w:t>
      </w:r>
      <w:r>
        <w:t xml:space="preserve"> </w:t>
      </w:r>
      <w:r>
        <w:t xml:space="preserve">boas práticas. Fazem parte do SSM o Gabinete do Prefeito, a Casa Civil, a Secretaria Municipal de</w:t>
      </w:r>
      <w:r>
        <w:t xml:space="preserve"> </w:t>
      </w:r>
      <w:r>
        <w:t xml:space="preserve">Ordem Pública (SEOP), a Guarda Municipal, a Divisão de Elite da GM-Rio — Força Municipal e a</w:t>
      </w:r>
      <w:r>
        <w:t xml:space="preserve"> </w:t>
      </w:r>
      <w:r>
        <w:t xml:space="preserve">Central de Inteligência, Vigilância e Tecnologia de Apoio à Segurança Pública (CIVITAS).</w:t>
      </w:r>
    </w:p>
    <w:p>
      <w:pPr>
        <w:pStyle w:val="BodyText"/>
      </w:pPr>
      <w:r>
        <w:t xml:space="preserve">O modelo do SSM é sustentado por três pilares:</w:t>
      </w:r>
      <w:r>
        <w:t xml:space="preserve"> </w:t>
      </w:r>
      <w:r>
        <w:rPr>
          <w:b/>
          <w:bCs/>
        </w:rPr>
        <w:t xml:space="preserve">CompStat</w:t>
      </w:r>
      <w:r>
        <w:t xml:space="preserve"> </w:t>
      </w:r>
      <w:r>
        <w:t xml:space="preserve">Municipal, Política Municipal de</w:t>
      </w:r>
      <w:r>
        <w:t xml:space="preserve"> </w:t>
      </w:r>
      <w:r>
        <w:t xml:space="preserve">Segurança Pública e Política de Governança de Informação. O</w:t>
      </w:r>
      <w:r>
        <w:t xml:space="preserve"> </w:t>
      </w:r>
      <w:r>
        <w:rPr>
          <w:b/>
          <w:bCs/>
        </w:rPr>
        <w:t xml:space="preserve">CompStat Municipal</w:t>
      </w:r>
      <w:r>
        <w:t xml:space="preserve"> </w:t>
      </w:r>
      <w:r>
        <w:t xml:space="preserve">é um</w:t>
      </w:r>
      <w:r>
        <w:t xml:space="preserve"> </w:t>
      </w:r>
      <w:r>
        <w:t xml:space="preserve">instrumento de gestão estratégica e operacional, baseado na análise de dados e indicadores de</w:t>
      </w:r>
      <w:r>
        <w:t xml:space="preserve"> </w:t>
      </w:r>
      <w:r>
        <w:t xml:space="preserve">segurança. Inspirado no sistema de gerenciamento policial da Polícia de Nova Iorque, visa otimizar</w:t>
      </w:r>
      <w:r>
        <w:t xml:space="preserve"> </w:t>
      </w:r>
      <w:r>
        <w:t xml:space="preserve">as ações de segurança por meio de reuniões periódicas entre as autoridades municipais, sob a</w:t>
      </w:r>
      <w:r>
        <w:t xml:space="preserve"> </w:t>
      </w:r>
      <w:r>
        <w:t xml:space="preserve">liderança do Prefeito, nas quais se analisam dados, definem-se prioridades e formulam-se estratégias.</w:t>
      </w:r>
    </w:p>
    <w:bookmarkEnd w:id="16"/>
    <w:bookmarkStart w:id="21" w:name="divisão-de-elite-força-municipal"/>
    <w:p>
      <w:pPr>
        <w:pStyle w:val="Heading2"/>
      </w:pPr>
      <w:r>
        <w:t xml:space="preserve">Divisão de Elite — Força Municipal</w:t>
      </w:r>
    </w:p>
    <w:p>
      <w:pPr>
        <w:pStyle w:val="FirstParagraph"/>
      </w:pPr>
      <w:r>
        <w:t xml:space="preserve">Com a decisão do Supremo Tribunal Federal que ampliou a competência dos municípios na segurança</w:t>
      </w:r>
      <w:r>
        <w:t xml:space="preserve"> </w:t>
      </w:r>
      <w:r>
        <w:t xml:space="preserve">pública, a Prefeitura do Rio assumiu um novo papel. A Divisão de Elite da Guarda Municipal — Força</w:t>
      </w:r>
      <w:r>
        <w:t xml:space="preserve"> </w:t>
      </w:r>
      <w:r>
        <w:t xml:space="preserve">Municipal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é um grupamento especializado, formado por agentes treinados e armados, voltados ao enfrentamento de</w:t>
      </w:r>
      <w:r>
        <w:t xml:space="preserve"> </w:t>
      </w:r>
      <w:r>
        <w:t xml:space="preserve">delitos urbanos — especialmente roubos e furtos — por meio de atuação preventiva e ostensiva em</w:t>
      </w:r>
      <w:r>
        <w:t xml:space="preserve"> </w:t>
      </w:r>
      <w:r>
        <w:t xml:space="preserve">áreas de grande circulação, como vias públicas, praças e estações de transporte coletivo. Suas ações</w:t>
      </w:r>
      <w:r>
        <w:t xml:space="preserve"> </w:t>
      </w:r>
      <w:r>
        <w:t xml:space="preserve">são baseadas em dados e evidências científicas, com intervenções estratégicas nas áreas de maior</w:t>
      </w:r>
      <w:r>
        <w:t xml:space="preserve"> </w:t>
      </w:r>
      <w:r>
        <w:t xml:space="preserve">incidência de delitos, adaptadas a cada região e integradas a outros órgãos de segurança.</w:t>
      </w:r>
    </w:p>
    <w:p>
      <w:pPr>
        <w:pStyle w:val="BodyText"/>
      </w:pPr>
      <w:r>
        <w:t xml:space="preserve">O modelo foi desenvolvido a partir de um diagnóstico que apontou a necessidade de ações qualificadas</w:t>
      </w:r>
      <w:r>
        <w:t xml:space="preserve"> </w:t>
      </w:r>
      <w:r>
        <w:t xml:space="preserve">em segurança e ordenamento urbano: 65% dos cariocas consideram ter chance média ou alta de serem</w:t>
      </w:r>
      <w:r>
        <w:t xml:space="preserve"> </w:t>
      </w:r>
      <w:r>
        <w:t xml:space="preserve">assaltados com violência nas ruas e, segundo estudo da Fundação Getúlio Vargas, 50% dos roubos e</w:t>
      </w:r>
      <w:r>
        <w:t xml:space="preserve"> </w:t>
      </w:r>
      <w:r>
        <w:t xml:space="preserve">furtos de rua concentram-se em 5,3% da cidade.</w:t>
      </w:r>
    </w:p>
    <w:p>
      <w:pPr>
        <w:pStyle w:val="BodyText"/>
      </w:pPr>
      <w:r>
        <w:t xml:space="preserve">Nenhum agente atua sem missão definida: todos saem às ruas com um Quadro de Missão Diária (QMD),</w:t>
      </w:r>
      <w:r>
        <w:t xml:space="preserve"> </w:t>
      </w:r>
      <w:r>
        <w:t xml:space="preserve">geolocalização ativada e atuação mapeada com base na mancha criminal de cada região. Os agentes não</w:t>
      </w:r>
      <w:r>
        <w:t xml:space="preserve"> </w:t>
      </w:r>
      <w:r>
        <w:t xml:space="preserve">atendem ocorrências pelo 190 ou 1746, não realizam operações contra o crime organizado nem</w:t>
      </w:r>
      <w:r>
        <w:t xml:space="preserve"> </w:t>
      </w:r>
      <w:r>
        <w:t xml:space="preserve">investigações criminais e não fazem fiscalização de ordem pública ou controle de multidões. Operam</w:t>
      </w:r>
      <w:r>
        <w:t xml:space="preserve"> </w:t>
      </w:r>
      <w:r>
        <w:t xml:space="preserve">com câmeras corporais e rádios que não podem ser desligados, monitorados por GPS, sob um modelo com</w:t>
      </w:r>
      <w:r>
        <w:t xml:space="preserve"> </w:t>
      </w:r>
      <w:r>
        <w:t xml:space="preserve">corregedoria, ouvidoria e diálogo permanente com o Ministério Público e a sociedade.</w:t>
      </w:r>
    </w:p>
    <w:p>
      <w:pPr>
        <w:pStyle w:val="BodyText"/>
      </w:pPr>
      <w:r>
        <w:t xml:space="preserve">A gestão segue o</w:t>
      </w:r>
      <w:r>
        <w:t xml:space="preserve"> </w:t>
      </w:r>
      <w:r>
        <w:rPr>
          <w:b/>
          <w:bCs/>
        </w:rPr>
        <w:t xml:space="preserve">CompStat</w:t>
      </w:r>
      <w:r>
        <w:t xml:space="preserve">: o Prefeito reúne-se regularmente com a cúpula da Força e com</w:t>
      </w:r>
      <w:r>
        <w:t xml:space="preserve"> </w:t>
      </w:r>
      <w:r>
        <w:t xml:space="preserve">gestores municipais para, a partir de relatórios de dados, discutir os problemas prioritários e</w:t>
      </w:r>
      <w:r>
        <w:t xml:space="preserve"> </w:t>
      </w:r>
      <w:r>
        <w:t xml:space="preserve">definir estratégias de controle, em parceria com as forças de segurança estaduais e os órgãos de</w:t>
      </w:r>
      <w:r>
        <w:t xml:space="preserve"> </w:t>
      </w:r>
      <w:r>
        <w:t xml:space="preserve">Justiça.</w:t>
      </w:r>
    </w:p>
    <w:p>
      <w:pPr>
        <w:pStyle w:val="BodyText"/>
      </w:pPr>
      <w:r>
        <w:t xml:space="preserve">Nos primeiros 100 dias, a Força atuou em</w:t>
      </w:r>
      <w:r>
        <w:t xml:space="preserve"> </w:t>
      </w:r>
      <w:r>
        <w:rPr>
          <w:b/>
          <w:bCs/>
        </w:rPr>
        <w:t xml:space="preserve">10 áreas</w:t>
      </w:r>
      <w:r>
        <w:t xml:space="preserve">, com implantação</w:t>
      </w:r>
      <w:r>
        <w:t xml:space="preserve"> </w:t>
      </w:r>
      <w:r>
        <w:rPr>
          <w:i/>
          <w:iCs/>
        </w:rPr>
        <w:t xml:space="preserve">escalonada</w:t>
      </w:r>
      <w:r>
        <w:t xml:space="preserve">: as</w:t>
      </w:r>
      <w:r>
        <w:t xml:space="preserve"> </w:t>
      </w:r>
      <w:r>
        <w:t xml:space="preserve">primeiras (Rodoviária do Rio–Terminal Gentileza–Estação Leopoldina e Jardim de Alah) desde 15 de</w:t>
      </w:r>
      <w:r>
        <w:t xml:space="preserve"> </w:t>
      </w:r>
      <w:r>
        <w:t xml:space="preserve">março, e as demais ao longo do período (Presidente Vargas–Campo de Santana–Central–Cinelândia em</w:t>
      </w:r>
      <w:r>
        <w:t xml:space="preserve"> </w:t>
      </w:r>
      <w:r>
        <w:t xml:space="preserve">29/03; Campo Grande em 12/04; Tijuca em 26/04; três corredores de Botafogo em 10/05; Calçadão de</w:t>
      </w:r>
      <w:r>
        <w:t xml:space="preserve"> </w:t>
      </w:r>
      <w:r>
        <w:t xml:space="preserve">Bangu em 24/05; Méier–Cachambi em 07/06) — de modo que nem toda área esteve ativa o período</w:t>
      </w:r>
      <w:r>
        <w:t xml:space="preserve"> </w:t>
      </w:r>
      <w:r>
        <w:t xml:space="preserve">inteiro. O balanço oficial registra queda de roubos e furtos nas três primeiras áreas (Rodoviária e</w:t>
      </w:r>
      <w:r>
        <w:t xml:space="preserve"> </w:t>
      </w:r>
      <w:r>
        <w:t xml:space="preserve">entorno</w:t>
      </w:r>
      <w:r>
        <w:t xml:space="preserve"> </w:t>
      </w:r>
      <m:oMath>
        <m:r>
          <m:rPr>
            <m:sty m:val="p"/>
          </m:rPr>
          <m:t>−</m:t>
        </m:r>
        <m:r>
          <m:t>41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; Jardim de Alah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%</m:t>
        </m:r>
      </m:oMath>
      <w:r>
        <w:t xml:space="preserve">; Presidente Vargas e entorno</w:t>
      </w:r>
      <w:r>
        <w:t xml:space="preserve"> </w:t>
      </w:r>
      <m:oMath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), mais de 6</w:t>
      </w:r>
      <w:r>
        <w:t xml:space="preserve"> </w:t>
      </w:r>
      <w:r>
        <w:t xml:space="preserve">mil abordagens e 771 conduções a delegacia. É o patrimônio recuperado nesse período — celulares e</w:t>
      </w:r>
      <w:r>
        <w:t xml:space="preserve"> </w:t>
      </w:r>
      <w:r>
        <w:t xml:space="preserve">cordões — que as seções seguintes valoram.</w:t>
      </w:r>
    </w:p>
    <w:bookmarkEnd w:id="21"/>
    <w:bookmarkEnd w:id="22"/>
    <w:bookmarkStart w:id="28" w:name="metodologia"/>
    <w:p>
      <w:pPr>
        <w:pStyle w:val="Heading1"/>
      </w:pPr>
      <w:r>
        <w:t xml:space="preserve">Metodologia</w:t>
      </w:r>
    </w:p>
    <w:bookmarkStart w:id="23" w:name="modelo-probabilístico"/>
    <w:p>
      <w:pPr>
        <w:pStyle w:val="Heading2"/>
      </w:pPr>
      <w:r>
        <w:t xml:space="preserve">Modelo probabilístico</w:t>
      </w:r>
    </w:p>
    <w:p>
      <w:pPr>
        <w:pStyle w:val="FirstParagraph"/>
      </w:pPr>
      <w:r>
        <w:t xml:space="preserve">Seja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uma categoria de item (</w:t>
      </w:r>
      <m:oMath>
        <m:r>
          <m:rPr>
            <m:nor/>
            <m:sty m:val="p"/>
          </m:rPr>
          <m:t>cel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cord</m:t>
        </m:r>
      </m:oMath>
      <w:r>
        <w:t xml:space="preserve">) 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rev</m:t>
        </m:r>
        <m:r>
          <m:rPr>
            <m:sty m:val="p"/>
          </m:rPr>
          <m:t>,</m:t>
        </m:r>
        <m:r>
          <m:rPr>
            <m:nor/>
            <m:sty m:val="p"/>
          </m:rPr>
          <m:t>rep</m:t>
        </m:r>
        <m:r>
          <m:rPr>
            <m:sty m:val="p"/>
          </m:rPr>
          <m:t>}</m:t>
        </m:r>
      </m:oMath>
      <w:r>
        <w:t xml:space="preserve"> </w:t>
      </w:r>
      <w:r>
        <w:t xml:space="preserve">a base de valor (revenda ou reposição). O valor de uma unidade</w:t>
      </w:r>
      <w:r>
        <w:t xml:space="preserve"> </w:t>
      </w:r>
      <w:r>
        <w:t xml:space="preserve">recuperada da categoria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é a variável aleatória de</w:t>
      </w:r>
      <w:r>
        <w:t xml:space="preserve"> </w:t>
      </w:r>
      <w:r>
        <w:rPr>
          <w:b/>
          <w:bCs/>
        </w:rPr>
        <w:t xml:space="preserve">mistura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 </m:t>
              </m:r>
              <m:r>
                <m:t>b</m:t>
              </m:r>
            </m:sup>
          </m:sSubSup>
          <m:r>
            <m:t> </m:t>
          </m:r>
          <m:r>
            <m:rPr>
              <m:sty m:val="p"/>
            </m:rPr>
            <m:t>∼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nary>
          <m:r>
            <m:t> </m:t>
          </m:r>
          <m:sSubSup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 </m:t>
              </m:r>
              <m:r>
                <m:t>b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é o conjunto de modelos representativos,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t xml:space="preserve">é o peso do modelo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) 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  <m:sup>
            <m:r>
              <m:t> </m:t>
            </m:r>
            <m:r>
              <m:t>b</m:t>
            </m:r>
          </m:sup>
        </m:sSubSup>
      </m:oMath>
      <w:r>
        <w:t xml:space="preserve"> </w:t>
      </w:r>
      <w:r>
        <w:t xml:space="preserve">é a distribuição empírica dos preços coletados para o</w:t>
      </w:r>
      <w:r>
        <w:t xml:space="preserve"> </w:t>
      </w:r>
      <w:r>
        <w:t xml:space="preserve">modelo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na base</w:t>
      </w:r>
      <w:r>
        <w:t xml:space="preserve"> </w:t>
      </w:r>
      <m:oMath>
        <m:r>
          <m:t>b</m:t>
        </m:r>
      </m:oMath>
      <w:r>
        <w:t xml:space="preserve">. Sorteia-se um modelo segundo os pesos e, em seguida, um preço a partir das</w:t>
      </w:r>
      <w:r>
        <w:t xml:space="preserve"> </w:t>
      </w:r>
      <w:r>
        <w:t xml:space="preserve">observações daquele modelo. Seu valor esperado e variância são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nary>
          <m:r>
            <m:t> </m:t>
          </m:r>
          <m:sSubSup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 </m:t>
              </m:r>
              <m:r>
                <m:t>b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t>b</m:t>
                  </m:r>
                  <m:r>
                    <m:t> 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valor total recuperado é a soma sobre todas as unidades: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 </m:t>
              </m:r>
              <m:r>
                <m:t>b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 </m:t>
                      </m:r>
                      <m:r>
                        <m:t>b</m:t>
                      </m:r>
                    </m:sup>
                  </m:sSubSup>
                </m:e>
              </m:nary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V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quantidade recuperada (painel da SEGUR: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cel</m:t>
            </m:r>
          </m:sub>
        </m:sSub>
        <m:r>
          <m:rPr>
            <m:sty m:val="p"/>
          </m:rPr>
          <m:t>=</m:t>
        </m:r>
        <m:r>
          <m:t>133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cord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).</w:t>
      </w:r>
      <w:r>
        <w:t xml:space="preserve"> </w:t>
      </w:r>
      <w:r>
        <w:t xml:space="preserve">Nenhum</w:t>
      </w:r>
      <w:r>
        <w:t xml:space="preserve"> </w:t>
      </w:r>
      <w:r>
        <w:t xml:space="preserve">“fator de depreciação”</w:t>
      </w:r>
      <w:r>
        <w:t xml:space="preserve"> </w:t>
      </w:r>
      <w:r>
        <w:t xml:space="preserve">arbitrário é aplicado: a base de revenda já é preço de usado (o</w:t>
      </w:r>
      <w:r>
        <w:t xml:space="preserve"> </w:t>
      </w:r>
      <w:r>
        <w:t xml:space="preserve">mercado precifica o desgaste) e a de reposição é o preço de novo.</w:t>
      </w:r>
    </w:p>
    <w:bookmarkEnd w:id="23"/>
    <w:bookmarkStart w:id="24" w:name="pesos-por-frequência-e-bases-de-preço"/>
    <w:p>
      <w:pPr>
        <w:pStyle w:val="Heading2"/>
      </w:pPr>
      <w:r>
        <w:t xml:space="preserve">Pesos por frequência e bases de preço</w:t>
      </w:r>
    </w:p>
    <w:p>
      <w:pPr>
        <w:pStyle w:val="FirstParagraph"/>
      </w:pPr>
      <w:r>
        <w:t xml:space="preserve">O item recuperado é o que se rouba na rua, então o peso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 </w:t>
      </w:r>
      <w:r>
        <w:t xml:space="preserve">de cada modelo vem de uma</w:t>
      </w:r>
      <w:r>
        <w:t xml:space="preserve"> </w:t>
      </w:r>
      <w:r>
        <w:rPr>
          <w:i/>
          <w:iCs/>
        </w:rPr>
        <w:t xml:space="preserve">fonte de frequência</w:t>
      </w:r>
      <w:r>
        <w:t xml:space="preserve"> </w:t>
      </w:r>
      <w:r>
        <w:t xml:space="preserve">(ranking de roubo, participação de mercado, mix de anúncios), e não de</w:t>
      </w:r>
      <w:r>
        <w:t xml:space="preserve"> </w:t>
      </w:r>
      <w:r>
        <w:t xml:space="preserve">uma escolha. O preço de cada modelo é uma</w:t>
      </w:r>
      <w:r>
        <w:t xml:space="preserve"> </w:t>
      </w:r>
      <w:r>
        <w:rPr>
          <w:b/>
          <w:bCs/>
        </w:rPr>
        <w:t xml:space="preserve">amostra de valores observados</w:t>
      </w:r>
      <w:r>
        <w:t xml:space="preserve"> </w:t>
      </w:r>
      <w:r>
        <w:t xml:space="preserve">(16/06/2026;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215</m:t>
        </m:r>
      </m:oMath>
      <w:r>
        <w:t xml:space="preserve">: 150 de usado e 65 de novo), em duas bases — revenda (usado) e reposição (novo) —, com</w:t>
      </w:r>
      <w:r>
        <w:t xml:space="preserve"> </w:t>
      </w:r>
      <w:r>
        <w:t xml:space="preserve">cada anúncio ou listagem contando como um preço. OLX e Mercado Livre, que bloqueiam acesso</w:t>
      </w:r>
      <w:r>
        <w:t xml:space="preserve"> </w:t>
      </w:r>
      <w:r>
        <w:t xml:space="preserve">automatizado, entraram apenas por trechos de busca; os tamanhos por modelo estão em</w:t>
      </w:r>
      <w:r>
        <w:t xml:space="preserve"> </w:t>
      </w:r>
      <w:r>
        <w:rPr>
          <w:rStyle w:val="VerbatimChar"/>
        </w:rPr>
        <w:t xml:space="preserve">dados_distribuicao.json</w:t>
      </w:r>
      <w:r>
        <w:t xml:space="preserve">. Celulares e cordões são detalhados a seguir.</w:t>
      </w:r>
    </w:p>
    <w:bookmarkEnd w:id="24"/>
    <w:bookmarkStart w:id="25" w:name="sec:mc"/>
    <w:p>
      <w:pPr>
        <w:pStyle w:val="Heading2"/>
      </w:pPr>
      <w:r>
        <w:t xml:space="preserve">Agregação por Monte Carlo</w:t>
      </w:r>
    </w:p>
    <w:p>
      <w:pPr>
        <w:pStyle w:val="FirstParagraph"/>
      </w:pPr>
      <w:r>
        <w:t xml:space="preserve">A distribuição de</w:t>
      </w:r>
      <w: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t>b</m:t>
            </m:r>
          </m:sup>
        </m:sSubSup>
      </m:oMath>
      <w:r>
        <w:t xml:space="preserve"> </w:t>
      </w:r>
      <w:r>
        <w:t xml:space="preserve">e de</w:t>
      </w:r>
      <w:r>
        <w:t xml:space="preserve"> </w:t>
      </w:r>
      <m:oMath>
        <m:sSup>
          <m:e>
            <m:r>
              <m:t>V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é obtida por simulação: sorteiam-se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unidades por</w:t>
      </w:r>
      <w:r>
        <w:t xml:space="preserve"> </w:t>
      </w:r>
      <w:r>
        <w:t xml:space="preserve">categoria segundo a Eq. </w:t>
      </w:r>
      <w:hyperlink w:anchor="eq:mix">
        <w:r>
          <w:rPr>
            <w:rStyle w:val="Hyperlink"/>
          </w:rPr>
          <w:t xml:space="preserve">[eq:mix]</w:t>
        </w:r>
      </w:hyperlink>
      <w:r>
        <w:t xml:space="preserve">, somam-se, e repete-se 50.000 vezes (semente fixa, para</w:t>
      </w:r>
      <w:r>
        <w:t xml:space="preserve"> </w:t>
      </w:r>
      <w:r>
        <w:t xml:space="preserve">reprodutibilidade). Reporta-se o valor esperado e a banda de 90% (percentis 5 e 95).</w:t>
      </w:r>
    </w:p>
    <w:bookmarkEnd w:id="25"/>
    <w:bookmarkStart w:id="26" w:name="celulares"/>
    <w:p>
      <w:pPr>
        <w:pStyle w:val="Heading2"/>
      </w:pPr>
      <w:r>
        <w:t xml:space="preserve">Celulares</w:t>
      </w:r>
    </w:p>
    <w:p>
      <w:pPr>
        <w:pStyle w:val="FirstParagraph"/>
      </w:pPr>
      <w:r>
        <w:t xml:space="preserve">Os pesos por marca vêm da frequência de roubo (Anuário do Fórum Brasileiro de Segurança Pública:</w:t>
      </w:r>
      <w:r>
        <w:t xml:space="preserve"> </w:t>
      </w:r>
      <w:r>
        <w:t xml:space="preserve">Samsung 37%, Apple 25%, Motorola 23%, Xiaomi 10%), ajustados pelo perfil socioeconômico (TIC</w:t>
      </w:r>
      <w:r>
        <w:t xml:space="preserve"> </w:t>
      </w:r>
      <w:r>
        <w:t xml:space="preserve">Domicílios) em direção aos modelos de entrada e intermediários, que formam a maior parte do parque.</w:t>
      </w:r>
      <w:r>
        <w:t xml:space="preserve"> </w:t>
      </w:r>
      <w:r>
        <w:t xml:space="preserve">Nove modelos representam a categoria, do Galaxy A0x ao iPhone Pro Max.</w:t>
      </w:r>
    </w:p>
    <w:p>
      <w:pPr>
        <w:pStyle w:val="BodyText"/>
      </w:pPr>
      <w:r>
        <w:t xml:space="preserve">Os preços de usado vêm de páginas de varejo de seminovos lidas diretamente (Trocafy e Trocafone), em</w:t>
      </w:r>
      <w:r>
        <w:t xml:space="preserve"> </w:t>
      </w:r>
      <w:r>
        <w:t xml:space="preserve">que cada listagem é um preço — 36 listagens do iPhone 11, 36 do iPhone 13, mais de 30 do Galaxy</w:t>
      </w:r>
      <w:r>
        <w:t xml:space="preserve"> </w:t>
      </w:r>
      <w:r>
        <w:t xml:space="preserve">S23, além de Galaxy A14, Moto G54 e iPhone 13 Pro Max —; os modelos legados entram por busca. Os</w:t>
      </w:r>
      <w:r>
        <w:t xml:space="preserve"> </w:t>
      </w:r>
      <w:r>
        <w:t xml:space="preserve">preços de novo vêm do varejo (Magazine Luiza, Samsung, Apple). A distribuição é fortemente</w:t>
      </w:r>
      <w:r>
        <w:t xml:space="preserve"> </w:t>
      </w:r>
      <w:r>
        <w:t xml:space="preserve">assimétrica à direita: a massa fica nos aparelhos de entrada (revenda de algumas centenas de reais)</w:t>
      </w:r>
      <w:r>
        <w:t xml:space="preserve"> </w:t>
      </w:r>
      <w:r>
        <w:t xml:space="preserve">e a cauda nos</w:t>
      </w:r>
      <w:r>
        <w:t xml:space="preserve"> </w:t>
      </w:r>
      <w:r>
        <w:rPr>
          <w:i/>
          <w:iCs/>
        </w:rPr>
        <w:t xml:space="preserve">flagships</w:t>
      </w:r>
      <w:r>
        <w:t xml:space="preserve"> </w:t>
      </w:r>
      <w:r>
        <w:t xml:space="preserve">(reposição acima de R$ 6.000).</w:t>
      </w:r>
    </w:p>
    <w:bookmarkEnd w:id="26"/>
    <w:bookmarkStart w:id="27" w:name="cordões"/>
    <w:p>
      <w:pPr>
        <w:pStyle w:val="Heading2"/>
      </w:pPr>
      <w:r>
        <w:t xml:space="preserve">Cordões</w:t>
      </w:r>
    </w:p>
    <w:p>
      <w:pPr>
        <w:pStyle w:val="FirstParagraph"/>
      </w:pPr>
      <w:r>
        <w:t xml:space="preserve">O valor do cordão segue a forma canônica das distribuições de bens furtados: fortemente</w:t>
      </w:r>
      <w:r>
        <w:t xml:space="preserve"> </w:t>
      </w:r>
      <w:r>
        <w:t xml:space="preserve">assimétrica à direita, com a massa em peças de baixo valor e uma cauda longa e fina nas peças mais</w:t>
      </w:r>
      <w:r>
        <w:t xml:space="preserve"> </w:t>
      </w:r>
      <w:r>
        <w:t xml:space="preserve">caras. O levantamento do Home Office britânico sobre o valor de bens roubados ilustra essa forma</w:t>
      </w:r>
      <w:r>
        <w:t xml:space="preserve"> </w:t>
      </w:r>
      <w:r>
        <w:t xml:space="preserve">— a média (£481) supera de longe a mediana (</w:t>
      </w:r>
      <m:oMath>
        <m:r>
          <m:rPr>
            <m:sty m:val="p"/>
          </m:rPr>
          <m:t>≈</m:t>
        </m:r>
      </m:oMath>
      <w:r>
        <w:t xml:space="preserve">£100) e os 2% de furtos mais</w:t>
      </w:r>
      <w:r>
        <w:t xml:space="preserve"> </w:t>
      </w:r>
      <w:r>
        <w:t xml:space="preserve">valiosos concentram 46% do valor total (SHAW</w:t>
      </w:r>
      <w:r>
        <w:t xml:space="preserve"> </w:t>
      </w:r>
      <w:r>
        <w:rPr>
          <w:i/>
          <w:iCs/>
        </w:rPr>
        <w:t xml:space="preserve">et al.</w:t>
      </w:r>
      <w:r>
        <w:t xml:space="preserve">, 2015) —, da mesma família</w:t>
      </w:r>
      <w:r>
        <w:t xml:space="preserve"> </w:t>
      </w:r>
      <w:r>
        <w:rPr>
          <w:i/>
          <w:iCs/>
        </w:rPr>
        <w:t xml:space="preserve">lognormal</w:t>
      </w:r>
      <w:r>
        <w:t xml:space="preserve"> </w:t>
      </w:r>
      <w:r>
        <w:t xml:space="preserve">de cauda pesada empregada para perdas na literatura atuarial (FREES, 2018; KLUGMAN</w:t>
      </w:r>
      <w:r>
        <w:t xml:space="preserve"> </w:t>
      </w:r>
      <w:r>
        <w:rPr>
          <w:i/>
          <w:iCs/>
        </w:rPr>
        <w:t xml:space="preserve">et al.</w:t>
      </w:r>
      <w:r>
        <w:t xml:space="preserve">). Sob essa forma, a cauda fica contida em R$ 3.000 (revenda) e R$ 5.000</w:t>
      </w:r>
      <w:r>
        <w:t xml:space="preserve"> </w:t>
      </w:r>
      <w:r>
        <w:t xml:space="preserve">(reposição), o que explica o desvio superar a média na Tabela </w:t>
      </w:r>
      <w:hyperlink w:anchor="tab:itens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A composição acompanha a distribuição de mercado: a semijoia folheada responde pela maior parte das</w:t>
      </w:r>
      <w:r>
        <w:t xml:space="preserve"> </w:t>
      </w:r>
      <w:r>
        <w:t xml:space="preserve">peças em circulação — lidera o varejo em unidades (EUROMONITOR, 2025), com Limeira como segundo</w:t>
      </w:r>
      <w:r>
        <w:t xml:space="preserve"> </w:t>
      </w:r>
      <w:r>
        <w:t xml:space="preserve">maior polo mundial do setor, em lotes de dezenas a centenas de milhares de peças (ETULAIN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2021; IBGM) —, enquanto as peças de ouro, menos frequentes, concentram o valor. O</w:t>
      </w:r>
      <w:r>
        <w:t xml:space="preserve"> </w:t>
      </w:r>
      <w:r>
        <w:t xml:space="preserve">perfil do que circula na rua reforça a predominância do folheado: parte expressiva da população</w:t>
      </w:r>
      <w:r>
        <w:t xml:space="preserve"> </w:t>
      </w:r>
      <w:r>
        <w:t xml:space="preserve">evita usar objetos de valor em público (IBGE, 2021: 42,8%) ou retira joias antes de sair</w:t>
      </w:r>
      <w:r>
        <w:t xml:space="preserve"> </w:t>
      </w:r>
      <w:r>
        <w:t xml:space="preserve">(FBSP/Datafolha, 2026: 26,8%). No caso-base, cerca de 30% das peças são de ouro — proporção</w:t>
      </w:r>
      <w:r>
        <w:t xml:space="preserve"> </w:t>
      </w:r>
      <w:r>
        <w:t xml:space="preserve">coerente com a valorização do metal, que vem ampliando o roubo dirigido a joias (os roubos de</w:t>
      </w:r>
      <w:r>
        <w:t xml:space="preserve"> </w:t>
      </w:r>
      <w:r>
        <w:t xml:space="preserve">aliança em São Paulo mais que dobraram entre 2023 e 2025).</w:t>
      </w:r>
    </w:p>
    <w:p>
      <w:pPr>
        <w:pStyle w:val="BodyText"/>
      </w:pPr>
      <w:r>
        <w:t xml:space="preserve">A participação do ouro é o parâmetro mais influente dessa categoria; o resultado é testado variando</w:t>
      </w:r>
      <w:r>
        <w:t xml:space="preserve"> </w:t>
      </w:r>
      <w:r>
        <w:t xml:space="preserve">a fração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em torno do caso-base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cord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$</m:t>
        </m:r>
        <m:r>
          <m:t> </m:t>
        </m:r>
        <m:r>
          <m:t>462</m:t>
        </m:r>
      </m:oMath>
      <w:r>
        <w:t xml:space="preserve"> </w:t>
      </w:r>
      <w:r>
        <w:t xml:space="preserve">em revenda,</w:t>
      </w:r>
      <w:r>
        <w:t xml:space="preserve"> </w:t>
      </w:r>
      <w:r>
        <w:t xml:space="preserve">Tabela </w:t>
      </w:r>
      <w:hyperlink w:anchor="tab:itens">
        <w:r>
          <w:rPr>
            <w:rStyle w:val="Hyperlink"/>
          </w:rPr>
          <w:t xml:space="preserve">1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(fração de ouro)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30% (base)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cord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(revenda)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R$ 260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R$ 462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R$ 588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nor/>
                      <m:sty m:val="p"/>
                    </m:rPr>
                    <m:t>rev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R$ 165 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R$ 168 mil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R$ 170 mil</w:t>
            </w:r>
          </w:p>
        </w:tc>
      </w:tr>
    </w:tbl>
    <w:p>
      <w:pPr>
        <w:pStyle w:val="BodyText"/>
      </w:pPr>
      <w:r>
        <w:t xml:space="preserve">O resultado agregado é robusto: como os cordões representam cerca de 4% do patrimônio</w:t>
      </w:r>
      <w:r>
        <w:t xml:space="preserve"> </w:t>
      </w:r>
      <w:r>
        <w:t xml:space="preserve">(Tabela </w:t>
      </w:r>
      <w:hyperlink w:anchor="tab:contrib">
        <w:r>
          <w:rPr>
            <w:rStyle w:val="Hyperlink"/>
          </w:rPr>
          <w:t xml:space="preserve">2</w:t>
        </w:r>
      </w:hyperlink>
      <w:r>
        <w:t xml:space="preserve">), o valor total varia perto de 3% mesmo dobrando</w:t>
      </w:r>
      <w:r>
        <w:t xml:space="preserve"> </w:t>
      </w:r>
      <m:oMath>
        <m:r>
          <m:t>f</m:t>
        </m:r>
      </m:oMath>
      <w:r>
        <w:t xml:space="preserve">. As cifras de preço</w:t>
      </w:r>
      <w:r>
        <w:t xml:space="preserve"> </w:t>
      </w:r>
      <w:r>
        <w:t xml:space="preserve">vão do folheado (R$ 15 a R$ 250) ao cordão de ouro 18k (R$ 280 a R$ 3.000, à</w:t>
      </w:r>
      <w:r>
        <w:t xml:space="preserve"> </w:t>
      </w:r>
      <w:r>
        <w:t xml:space="preserve">cotação de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R$ 530/g).</w:t>
      </w:r>
    </w:p>
    <w:bookmarkEnd w:id="27"/>
    <w:bookmarkEnd w:id="28"/>
    <w:bookmarkStart w:id="41" w:name="resultados"/>
    <w:p>
      <w:pPr>
        <w:pStyle w:val="Heading1"/>
      </w:pPr>
      <w:r>
        <w:t xml:space="preserve">Resultados</w:t>
      </w:r>
    </w:p>
    <w:bookmarkStart w:id="34" w:name="distribuição-de-valor-por-item"/>
    <w:p>
      <w:pPr>
        <w:pStyle w:val="Heading2"/>
      </w:pPr>
      <w:r>
        <w:t xml:space="preserve">Distribuição de valor por item</w:t>
      </w:r>
    </w:p>
    <w:p>
      <w:pPr>
        <w:pStyle w:val="FirstParagraph"/>
      </w:pPr>
      <w:r>
        <w:t xml:space="preserve">A Figura </w:t>
      </w:r>
      <w:hyperlink w:anchor="fig:iten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mostra a distribuição de valor de uma unidade recuperada de cada</w:t>
      </w:r>
      <w:r>
        <w:t xml:space="preserve"> </w:t>
      </w:r>
      <w:r>
        <w:t xml:space="preserve">categoria, nas duas bases. As formas são informativas: o celular é fortemente assimétrico à</w:t>
      </w:r>
      <w:r>
        <w:t xml:space="preserve"> </w:t>
      </w:r>
      <w:r>
        <w:t xml:space="preserve">direita (massa em aparelhos de entrada, cauda nos</w:t>
      </w:r>
      <w:r>
        <w:t xml:space="preserve"> </w:t>
      </w:r>
      <w:r>
        <w:rPr>
          <w:i/>
          <w:iCs/>
        </w:rPr>
        <w:t xml:space="preserve">flagships</w:t>
      </w:r>
      <w:r>
        <w:t xml:space="preserve">); o cordão concentra a massa no</w:t>
      </w:r>
      <w:r>
        <w:t xml:space="preserve"> </w:t>
      </w:r>
      <w:r>
        <w:t xml:space="preserve">folheado de baixo valor, com cauda longa e fina nas peças de ouro (média bem acima da mediana). A</w:t>
      </w:r>
      <w:r>
        <w:t xml:space="preserve"> </w:t>
      </w:r>
      <w:r>
        <w:t xml:space="preserve">Tabela </w:t>
      </w:r>
      <w:hyperlink w:anchor="tab:iten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resume os momentos.</w:t>
      </w:r>
    </w:p>
    <w:bookmarkStart w:id="32" w:name="fig:itens"/>
    <w:p>
      <w:pPr>
        <w:pStyle w:val="CaptionedFigure"/>
      </w:pPr>
      <w:r>
        <w:drawing>
          <wp:inline>
            <wp:extent cx="5334000" cy="198931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as/dist_iten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de probabilidade do valor de uma unidade recuperada, por categoria</w:t>
      </w:r>
      <w:r>
        <w:t xml:space="preserve"> </w:t>
      </w:r>
      <w:r>
        <w:t xml:space="preserve">(azul: revenda/usado; laranja: reposição/novo). Histograma das amostras com densidade KDE.</w:t>
      </w:r>
      <w:r>
        <w:t xml:space="preserve"> </w:t>
      </w:r>
      <w:r>
        <w:t xml:space="preserve">O painel dos cordões usa escala logarítmica no eixo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para exibir o corpo (folheado) e a</w:t>
      </w:r>
      <w:r>
        <w:t xml:space="preserve"> </w:t>
      </w:r>
      <w:r>
        <w:t xml:space="preserve">cauda (ouro) simultaneamente.</w:t>
      </w:r>
    </w:p>
    <w:bookmarkEnd w:id="32"/>
    <w:bookmarkStart w:id="33" w:name="tab:itens"/>
    <w:p>
      <w:pPr>
        <w:pStyle w:val="TableCaption"/>
      </w:pPr>
      <w:r>
        <w:t xml:space="preserve">Momentos da distribuição de valor por unidade (R$), por base. Fonte: amostras de</w:t>
      </w:r>
      <w:r>
        <w:t xml:space="preserve"> </w:t>
      </w:r>
      <w:r>
        <w:t xml:space="preserve">preço de mercado; simulação de Monte Carlo.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mentos da distribuição de valor por unidade (R$), por base. Fonte: amostras de preço de mercado; simulação de Monte Carlo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desvio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faixa p5–p95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530–3.500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619–6.500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Cordões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20–2.400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40–5.000</w:t>
            </w:r>
          </w:p>
        </w:tc>
      </w:tr>
    </w:tbl>
    <w:bookmarkEnd w:id="33"/>
    <w:bookmarkEnd w:id="34"/>
    <w:bookmarkStart w:id="40" w:name="valor-total-recuperado"/>
    <w:p>
      <w:pPr>
        <w:pStyle w:val="Heading2"/>
      </w:pPr>
      <w:r>
        <w:t xml:space="preserve">Valor total recuperado</w:t>
      </w:r>
    </w:p>
    <w:p>
      <w:pPr>
        <w:pStyle w:val="FirstParagraph"/>
      </w:pPr>
      <w:r>
        <w:t xml:space="preserve">Agregando (Eq. </w:t>
      </w:r>
      <w:hyperlink w:anchor="eq:total">
        <w:r>
          <w:rPr>
            <w:rStyle w:val="Hyperlink"/>
          </w:rPr>
          <w:t xml:space="preserve">[eq:total]</w:t>
        </w:r>
      </w:hyperlink>
      <w:r>
        <w:t xml:space="preserve">), o valor esperado do patrimônio recuperado é de</w:t>
      </w:r>
      <w:r>
        <w:t xml:space="preserve"> </w:t>
      </w:r>
      <w:r>
        <w:rPr>
          <w:b/>
          <w:bCs/>
        </w:rPr>
        <w:t xml:space="preserve">R$ 168 mil</w:t>
      </w:r>
      <w:r>
        <w:t xml:space="preserve"> </w:t>
      </w:r>
      <w:r>
        <w:t xml:space="preserve">a preços de revenda e</w:t>
      </w:r>
      <w:r>
        <w:t xml:space="preserve"> </w:t>
      </w:r>
      <w:r>
        <w:rPr>
          <w:b/>
          <w:bCs/>
        </w:rPr>
        <w:t xml:space="preserve">R$ 275 mil</w:t>
      </w:r>
      <w:r>
        <w:t xml:space="preserve"> </w:t>
      </w:r>
      <w:r>
        <w:t xml:space="preserve">a preços de reposição. A</w:t>
      </w:r>
      <w:r>
        <w:t xml:space="preserve"> </w:t>
      </w:r>
      <w:r>
        <w:t xml:space="preserve">Figura </w:t>
      </w:r>
      <w:hyperlink w:anchor="fig:tota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mostra as duas distribuições com suas bandas de 90%</w:t>
      </w:r>
      <w:r>
        <w:t xml:space="preserve"> </w:t>
      </w:r>
      <w:r>
        <w:t xml:space="preserve">(R$ 150–R$ 187 mil e R$ 244–R$ 309 mil). A Tabela </w:t>
      </w:r>
      <w:hyperlink w:anchor="tab:contri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detalha a</w:t>
      </w:r>
      <w:r>
        <w:t xml:space="preserve"> </w:t>
      </w:r>
      <w:r>
        <w:t xml:space="preserve">contribuição por categoria: os</w:t>
      </w:r>
      <w:r>
        <w:t xml:space="preserve"> </w:t>
      </w:r>
      <w:r>
        <w:rPr>
          <w:b/>
          <w:bCs/>
        </w:rPr>
        <w:t xml:space="preserve">celulares</w:t>
      </w:r>
      <w:r>
        <w:t xml:space="preserve"> </w:t>
      </w:r>
      <w:r>
        <w:t xml:space="preserve">respondem por cerca de</w:t>
      </w:r>
      <w:r>
        <w:t xml:space="preserve"> </w:t>
      </w:r>
      <w:r>
        <w:rPr>
          <w:b/>
          <w:bCs/>
        </w:rPr>
        <w:t xml:space="preserve">96%</w:t>
      </w:r>
      <w:r>
        <w:t xml:space="preserve"> </w:t>
      </w:r>
      <w:r>
        <w:t xml:space="preserve">do total.</w:t>
      </w:r>
    </w:p>
    <w:bookmarkStart w:id="38" w:name="fig:total"/>
    <w:p>
      <w:pPr>
        <w:pStyle w:val="CaptionedFigure"/>
      </w:pPr>
      <w:r>
        <w:drawing>
          <wp:inline>
            <wp:extent cx="4907280" cy="271926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as/dist_tot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19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Distribuição do valor total recuperado por simulação de Monte Carlo (50.000 iterações);</w:t>
      </w:r>
      <w:r>
        <w:t xml:space="preserve"> </w:t>
      </w:r>
      <w:r>
        <w:t xml:space="preserve">linha = valor esperado, faixa sombreada = banda de 90%.</w:t>
      </w:r>
    </w:p>
    <w:bookmarkEnd w:id="38"/>
    <w:bookmarkStart w:id="39" w:name="tab:contrib"/>
    <w:p>
      <w:pPr>
        <w:pStyle w:val="TableCaption"/>
      </w:pPr>
      <w:r>
        <w:t xml:space="preserve">Contribuição por categoria (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) e total (R$).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ibuição por categoria (N_i\cdot\mathbb{E}[V_i]) e total (R$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Contrib. revenda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Contrib. reposição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(revenda)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Celulares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Cordões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168.126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275.222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bookmarkEnd w:id="39"/>
    <w:p>
      <w:pPr>
        <w:pStyle w:val="BodyText"/>
      </w:pPr>
      <w:r>
        <w:t xml:space="preserve">A banda de 90% reflete a incerteza de</w:t>
      </w:r>
      <w:r>
        <w:t xml:space="preserve"> </w:t>
      </w:r>
      <w:r>
        <w:rPr>
          <w:i/>
          <w:iCs/>
        </w:rPr>
        <w:t xml:space="preserve">amostragem</w:t>
      </w:r>
      <w:r>
        <w:t xml:space="preserve"> </w:t>
      </w:r>
      <w:r>
        <w:t xml:space="preserve">do total. A incerteza</w:t>
      </w:r>
      <w:r>
        <w:t xml:space="preserve"> </w:t>
      </w:r>
      <w:r>
        <w:rPr>
          <w:i/>
          <w:iCs/>
        </w:rPr>
        <w:t xml:space="preserve">estrutural</w:t>
      </w:r>
      <w:r>
        <w:t xml:space="preserve"> </w:t>
      </w:r>
      <w:r>
        <w:t xml:space="preserve">é capturada pela distância entre as bases de revenda e reposição</w:t>
      </w:r>
      <w:r>
        <w:t xml:space="preserve"> </w:t>
      </w:r>
      <w:r>
        <w:t xml:space="preserve">(R$ 168–R$ 275 mil) e pelo</w:t>
      </w:r>
      <w:r>
        <w:t xml:space="preserve"> </w:t>
      </w:r>
      <w:r>
        <w:rPr>
          <w:b/>
          <w:bCs/>
        </w:rPr>
        <w:t xml:space="preserve">envelope extremo</w:t>
      </w:r>
      <w:r>
        <w:t xml:space="preserve"> </w:t>
      </w:r>
      <w:r>
        <w:t xml:space="preserve">de R$ 12 mil (se cada item</w:t>
      </w:r>
      <w:r>
        <w:t xml:space="preserve"> </w:t>
      </w:r>
      <w:r>
        <w:t xml:space="preserve">fosse o modelo usado mais barato) a R$ 1</w:t>
      </w:r>
      <w:r>
        <w:t xml:space="preserve">,</w:t>
      </w:r>
      <w:r>
        <w:t xml:space="preserve">14 milhão (se cada item fosse o modelo novo mais</w:t>
      </w:r>
      <w:r>
        <w:t xml:space="preserve"> </w:t>
      </w:r>
      <w:r>
        <w:t xml:space="preserve">caro).</w:t>
      </w:r>
    </w:p>
    <w:bookmarkEnd w:id="40"/>
    <w:bookmarkEnd w:id="41"/>
    <w:bookmarkStart w:id="42" w:name="conclusões"/>
    <w:p>
      <w:pPr>
        <w:pStyle w:val="Heading1"/>
      </w:pPr>
      <w:r>
        <w:t xml:space="preserve">Conclusões</w:t>
      </w:r>
    </w:p>
    <w:p>
      <w:pPr>
        <w:pStyle w:val="FirstParagraph"/>
      </w:pPr>
      <w:r>
        <w:t xml:space="preserve">O patrimônio recuperado pela Força Municipal nos primeiros 100 dias vale, em valor esperado, entre</w:t>
      </w:r>
      <w:r>
        <w:t xml:space="preserve"> </w:t>
      </w:r>
      <w:r>
        <w:t xml:space="preserve">R$ 168 mil (revenda) e R$ 275 mil (reposição), com envelope de R$ 12 mil a</w:t>
      </w:r>
      <w:r>
        <w:t xml:space="preserve"> </w:t>
      </w:r>
      <w:r>
        <w:t xml:space="preserve">R$ 1</w:t>
      </w:r>
      <w:r>
        <w:t xml:space="preserve">,</w:t>
      </w:r>
      <w:r>
        <w:t xml:space="preserve">14 milhão. O resultado é dominado pelos celulares (</w:t>
      </w:r>
      <m:oMath>
        <m:r>
          <m:rPr>
            <m:sty m:val="p"/>
          </m:rPr>
          <m:t>≈</m:t>
        </m:r>
      </m:oMath>
      <w:r>
        <w:t xml:space="preserve">96%). Cada item tem não só</w:t>
      </w:r>
      <w:r>
        <w:t xml:space="preserve"> </w:t>
      </w:r>
      <w:r>
        <w:t xml:space="preserve">um número, mas uma</w:t>
      </w:r>
      <w:r>
        <w:t xml:space="preserve"> </w:t>
      </w:r>
      <w:r>
        <w:rPr>
          <w:i/>
          <w:iCs/>
        </w:rPr>
        <w:t xml:space="preserve">distribuição</w:t>
      </w:r>
      <w:r>
        <w:t xml:space="preserve"> </w:t>
      </w:r>
      <w:r>
        <w:t xml:space="preserve">de valores plausíveis, ancorada na composição real do que se</w:t>
      </w:r>
      <w:r>
        <w:t xml:space="preserve"> </w:t>
      </w:r>
      <w:r>
        <w:t xml:space="preserve">rouba na cidade e em preços de mercado verificáveis. Ainda que modesto diante do custo da violência</w:t>
      </w:r>
      <w:r>
        <w:t xml:space="preserve"> </w:t>
      </w:r>
      <w:r>
        <w:t xml:space="preserve">discutido na Seção </w:t>
      </w:r>
      <w:hyperlink w:anchor="sec:economi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— da ordem de bilhões de reais ao ano —, o patrimônio</w:t>
      </w:r>
      <w:r>
        <w:t xml:space="preserve"> </w:t>
      </w:r>
      <w:r>
        <w:t xml:space="preserve">recuperado é um retorno concreto e mensurável da atuação preventiva da Força, que se soma à queda de</w:t>
      </w:r>
      <w:r>
        <w:t xml:space="preserve"> </w:t>
      </w:r>
      <w:r>
        <w:t xml:space="preserve">roubos e furtos observada nas áreas atendidas. A atualização para janelas futuras requer apenas a</w:t>
      </w:r>
      <w:r>
        <w:t xml:space="preserve"> </w:t>
      </w:r>
      <w:r>
        <w:t xml:space="preserve">troca dos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(quantidades recuperadas).</w:t>
      </w:r>
    </w:p>
    <w:bookmarkEnd w:id="42"/>
    <w:bookmarkStart w:id="43" w:name="limitações"/>
    <w:p>
      <w:pPr>
        <w:pStyle w:val="Heading1"/>
      </w:pPr>
      <w:r>
        <w:t xml:space="preserve">Limitações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Distribuição é proxy: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t xml:space="preserve">exato dos itens recuperados não foi divulgado;</w:t>
      </w:r>
      <w:r>
        <w:t xml:space="preserve"> </w:t>
      </w:r>
      <w:r>
        <w:t xml:space="preserve">os pesos vêm da frequência de roubo/vendas, e a maioria das cifras é nacional, não recorte</w:t>
      </w:r>
      <w:r>
        <w:t xml:space="preserve"> </w:t>
      </w:r>
      <w:r>
        <w:t xml:space="preserve">do Rio.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Amostras de preço, não censo:</w:t>
      </w:r>
      <w:r>
        <w:t xml:space="preserve"> </w:t>
      </w:r>
      <w:r>
        <w:t xml:space="preserve">OLX e Mercado Livre bloqueiam coleta automatizada;</w:t>
      </w:r>
      <w:r>
        <w:t xml:space="preserve"> </w:t>
      </w:r>
      <w:r>
        <w:t xml:space="preserve">usaram-se varejo de seminovos, anúncios e joalherias.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Cobertura escalonada:</w:t>
      </w:r>
      <w:r>
        <w:t xml:space="preserve"> </w:t>
      </w:r>
      <w:r>
        <w:t xml:space="preserve">as 10 áreas entraram em datas diferentes (15/03 a 07/06), de</w:t>
      </w:r>
      <w:r>
        <w:t xml:space="preserve"> </w:t>
      </w:r>
      <w:r>
        <w:t xml:space="preserve">modo que o total acumulado não corresponde a 100 dias uniformes em toda a cidade.</w:t>
      </w:r>
    </w:p>
    <w:bookmarkEnd w:id="43"/>
    <w:bookmarkStart w:id="44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BANCO INTERAMERICANO DE DESENVOLVIMENTO (BID).</w:t>
      </w:r>
      <w:r>
        <w:t xml:space="preserve"> </w:t>
      </w:r>
      <w:r>
        <w:rPr>
          <w:i/>
          <w:iCs/>
        </w:rPr>
        <w:t xml:space="preserve">Crime and growth in Latin America</w:t>
      </w:r>
      <w:r>
        <w:t xml:space="preserve">. Washington, DC: BID, [s.d.].</w:t>
      </w:r>
    </w:p>
    <w:p>
      <w:pPr>
        <w:pStyle w:val="BodyText"/>
      </w:pPr>
      <w:r>
        <w:t xml:space="preserve">BANCO INTERAMERICANO DE DESENVOLVIMENTO — BID (2017).</w:t>
      </w:r>
      <w:r>
        <w:t xml:space="preserve"> </w:t>
      </w:r>
      <w:r>
        <w:rPr>
          <w:i/>
          <w:iCs/>
        </w:rPr>
        <w:t xml:space="preserve">The costs of crime and violence: new evidence and insights in Latin America and the Caribbean</w:t>
      </w:r>
      <w:r>
        <w:t xml:space="preserve">. Washington, DC: Inter-American Development Bank.</w:t>
      </w:r>
    </w:p>
    <w:p>
      <w:pPr>
        <w:pStyle w:val="BodyText"/>
      </w:pPr>
      <w:r>
        <w:t xml:space="preserve">BONGER, Willem Adriaan (1916).</w:t>
      </w:r>
      <w:r>
        <w:t xml:space="preserve"> </w:t>
      </w:r>
      <w:r>
        <w:rPr>
          <w:i/>
          <w:iCs/>
        </w:rPr>
        <w:t xml:space="preserve">Criminality and economic conditions</w:t>
      </w:r>
      <w:r>
        <w:t xml:space="preserve">. Boston: Little, Brown and Company.</w:t>
      </w:r>
    </w:p>
    <w:p>
      <w:pPr>
        <w:pStyle w:val="BodyText"/>
      </w:pPr>
      <w:r>
        <w:t xml:space="preserve">CERQUEIRA, Daniel Ricardo de Castro; MOURA, Rodrigo Leandro de (2019).</w:t>
      </w:r>
      <w:r>
        <w:t xml:space="preserve"> </w:t>
      </w:r>
      <w:r>
        <w:t xml:space="preserve">“Oportunidades laborais, educacionais e homicídios no Brasil”</w:t>
      </w:r>
      <w:r>
        <w:t xml:space="preserve">. Texto para Discussão, n. 2514. Brasília: Instituto de Pesquisa Econômica Aplicada (IPEA).</w:t>
      </w:r>
    </w:p>
    <w:p>
      <w:pPr>
        <w:pStyle w:val="BodyText"/>
      </w:pPr>
      <w:r>
        <w:t xml:space="preserve">CETIC.BR (2024).</w:t>
      </w:r>
      <w:r>
        <w:t xml:space="preserve"> </w:t>
      </w:r>
      <w:r>
        <w:rPr>
          <w:i/>
          <w:iCs/>
        </w:rPr>
        <w:t xml:space="preserve">TIC Domicílios</w:t>
      </w:r>
      <w:r>
        <w:t xml:space="preserve">. São Paulo: Comitê Gestor da Internet no Brasil.</w:t>
      </w:r>
    </w:p>
    <w:p>
      <w:pPr>
        <w:pStyle w:val="BodyText"/>
      </w:pPr>
      <w:r>
        <w:t xml:space="preserve">DE MELLO, João Manoel Pinho de; SCHNEIDER, Alexandre (2007).</w:t>
      </w:r>
      <w:r>
        <w:t xml:space="preserve"> </w:t>
      </w:r>
      <w:r>
        <w:t xml:space="preserve">“Mudança demográfica e a dinâmica dos homicídios no Estado de São Paulo”</w:t>
      </w:r>
      <w:r>
        <w:t xml:space="preserve">.</w:t>
      </w:r>
      <w:r>
        <w:t xml:space="preserve"> </w:t>
      </w:r>
      <w:r>
        <w:rPr>
          <w:i/>
          <w:iCs/>
        </w:rPr>
        <w:t xml:space="preserve">São Paulo em Perspectiva</w:t>
      </w:r>
      <w:r>
        <w:t xml:space="preserve">, v. 21, n. 1, p. 19–30.</w:t>
      </w:r>
    </w:p>
    <w:p>
      <w:pPr>
        <w:pStyle w:val="BodyText"/>
      </w:pPr>
      <w:r>
        <w:t xml:space="preserve">DE NADAI, Marco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(2020).</w:t>
      </w:r>
      <w:r>
        <w:t xml:space="preserve"> </w:t>
      </w:r>
      <w:r>
        <w:rPr>
          <w:i/>
          <w:iCs/>
        </w:rPr>
        <w:t xml:space="preserve">Socio-economic and urban factors of crime</w:t>
      </w:r>
      <w:r>
        <w:t xml:space="preserve">. arXiv preprint.</w:t>
      </w:r>
    </w:p>
    <w:p>
      <w:pPr>
        <w:pStyle w:val="BodyText"/>
      </w:pPr>
      <w:r>
        <w:t xml:space="preserve">ETULAIN, C. </w:t>
      </w:r>
      <w:r>
        <w:rPr>
          <w:i/>
          <w:iCs/>
        </w:rPr>
        <w:t xml:space="preserve">et al.</w:t>
      </w:r>
      <w:r>
        <w:t xml:space="preserve"> </w:t>
      </w:r>
      <w:r>
        <w:t xml:space="preserve">(2021).</w:t>
      </w:r>
      <w:r>
        <w:t xml:space="preserve"> </w:t>
      </w:r>
      <w:r>
        <w:rPr>
          <w:i/>
          <w:iCs/>
        </w:rPr>
        <w:t xml:space="preserve">Produção de semijoias em Limeira</w:t>
      </w:r>
      <w:r>
        <w:t xml:space="preserve">. Campinas: UNICAMP; IBGM.</w:t>
      </w:r>
    </w:p>
    <w:p>
      <w:pPr>
        <w:pStyle w:val="BodyText"/>
      </w:pPr>
      <w:r>
        <w:t xml:space="preserve">EUROMONITOR INTERNATIONAL (2025).</w:t>
      </w:r>
      <w:r>
        <w:t xml:space="preserve"> </w:t>
      </w:r>
      <w:r>
        <w:rPr>
          <w:i/>
          <w:iCs/>
        </w:rPr>
        <w:t xml:space="preserve">Jewellery in Brazil</w:t>
      </w:r>
      <w:r>
        <w:t xml:space="preserve">. London: Euromonitor.</w:t>
      </w:r>
    </w:p>
    <w:p>
      <w:pPr>
        <w:pStyle w:val="BodyText"/>
      </w:pPr>
      <w:r>
        <w:t xml:space="preserve">FAJNZYLBER, Pablo; LEDERMAN, Daniel; LOAYZA, Norman (2002).</w:t>
      </w:r>
      <w:r>
        <w:t xml:space="preserve"> </w:t>
      </w:r>
      <w:r>
        <w:t xml:space="preserve">“Inequality and violent crime”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Law and Economics</w:t>
      </w:r>
      <w:r>
        <w:t xml:space="preserve">, Chicago, v. 45, n. 1, p. 1–40. DOI: 10.1086/338347.</w:t>
      </w:r>
    </w:p>
    <w:p>
      <w:pPr>
        <w:pStyle w:val="BodyText"/>
      </w:pPr>
      <w:r>
        <w:t xml:space="preserve">FÓRUM BRASILEIRO DE SEGURANÇA PÚBLICA (2019).</w:t>
      </w:r>
      <w:r>
        <w:t xml:space="preserve"> </w:t>
      </w:r>
      <w:r>
        <w:rPr>
          <w:i/>
          <w:iCs/>
        </w:rPr>
        <w:t xml:space="preserve">Anuário brasileiro de segurança pública 2019</w:t>
      </w:r>
      <w:r>
        <w:t xml:space="preserve">. São Paulo: FBSP.</w:t>
      </w:r>
    </w:p>
    <w:p>
      <w:pPr>
        <w:pStyle w:val="BodyText"/>
      </w:pPr>
      <w:r>
        <w:t xml:space="preserve">FÓRUM BRASILEIRO DE SEGURANÇA PÚBLICA (2024).</w:t>
      </w:r>
      <w:r>
        <w:t xml:space="preserve"> </w:t>
      </w:r>
      <w:r>
        <w:t xml:space="preserve">“Marcas de celulares mais roubadas no Brasil”</w:t>
      </w:r>
      <w:r>
        <w:t xml:space="preserve">.</w:t>
      </w:r>
      <w:r>
        <w:t xml:space="preserve"> </w:t>
      </w:r>
      <w:r>
        <w:rPr>
          <w:i/>
          <w:iCs/>
        </w:rPr>
        <w:t xml:space="preserve">Anuário brasileiro de segurança pública</w:t>
      </w:r>
      <w:r>
        <w:t xml:space="preserve"> </w:t>
      </w:r>
      <w:r>
        <w:t xml:space="preserve">(via Exame/InfoMoney).</w:t>
      </w:r>
    </w:p>
    <w:p>
      <w:pPr>
        <w:pStyle w:val="BodyText"/>
      </w:pPr>
      <w:r>
        <w:t xml:space="preserve">FÓRUM BRASILEIRO DE SEGURANÇA PÚBLICA; DATAFOLHA (2026).</w:t>
      </w:r>
      <w:r>
        <w:t xml:space="preserve"> </w:t>
      </w:r>
      <w:r>
        <w:t xml:space="preserve">“Mudança de hábitos da população por insegurança”</w:t>
      </w:r>
      <w:r>
        <w:t xml:space="preserve">. São Paulo: FBSP.</w:t>
      </w:r>
    </w:p>
    <w:p>
      <w:pPr>
        <w:pStyle w:val="BodyText"/>
      </w:pPr>
      <w:r>
        <w:t xml:space="preserve">FREES, E. (ed.) (2018).</w:t>
      </w:r>
      <w:r>
        <w:t xml:space="preserve"> </w:t>
      </w:r>
      <w:r>
        <w:rPr>
          <w:i/>
          <w:iCs/>
        </w:rPr>
        <w:t xml:space="preserve">Loss Data Analytics</w:t>
      </w:r>
      <w:r>
        <w:t xml:space="preserve">. International Actuarial Association; KLUGMAN, S. </w:t>
      </w:r>
      <w:r>
        <w:rPr>
          <w:i/>
          <w:iCs/>
        </w:rPr>
        <w:t xml:space="preserve">et al.</w:t>
      </w:r>
      <w:r>
        <w:t xml:space="preserve"> </w:t>
      </w:r>
      <w:r>
        <w:rPr>
          <w:i/>
          <w:iCs/>
        </w:rPr>
        <w:t xml:space="preserve">Loss Models: From Data to Decisions</w:t>
      </w:r>
      <w:r>
        <w:t xml:space="preserve">.</w:t>
      </w:r>
    </w:p>
    <w:p>
      <w:pPr>
        <w:pStyle w:val="BodyText"/>
      </w:pPr>
      <w:r>
        <w:t xml:space="preserve">INSTITUTO BRASILEIRO DE GEOGRAFIA E ESTATÍSTICA (IBGE) (2022).</w:t>
      </w:r>
      <w:r>
        <w:t xml:space="preserve"> </w:t>
      </w:r>
      <w:r>
        <w:rPr>
          <w:i/>
          <w:iCs/>
        </w:rPr>
        <w:t xml:space="preserve">Pesquisa Nacional por Amostra de Domicílios — Vitimização 2021</w:t>
      </w:r>
      <w:r>
        <w:t xml:space="preserve">. Rio de Janeiro: IBGE.</w:t>
      </w:r>
    </w:p>
    <w:p>
      <w:pPr>
        <w:pStyle w:val="BodyText"/>
      </w:pPr>
      <w:r>
        <w:t xml:space="preserve">INSTITUTO DE PESQUISA ECONÔMICA APLICADA (IPEA); FÓRUM BRASILEIRO DE SEGURANÇA PÚBLICA.</w:t>
      </w:r>
      <w:r>
        <w:t xml:space="preserve"> </w:t>
      </w:r>
      <w:r>
        <w:rPr>
          <w:i/>
          <w:iCs/>
        </w:rPr>
        <w:t xml:space="preserve">Atlas da violência</w:t>
      </w:r>
      <w:r>
        <w:t xml:space="preserve">. Brasília: IPEA; FBSP, várias edições.</w:t>
      </w:r>
    </w:p>
    <w:p>
      <w:pPr>
        <w:pStyle w:val="BodyText"/>
      </w:pPr>
      <w:r>
        <w:t xml:space="preserve">JAITMAN, Laura (ed.) (2017).</w:t>
      </w:r>
      <w:r>
        <w:t xml:space="preserve"> </w:t>
      </w:r>
      <w:r>
        <w:rPr>
          <w:i/>
          <w:iCs/>
        </w:rPr>
        <w:t xml:space="preserve">The costs of crime and violence: new evidence and insights in Latin America and the Caribbean</w:t>
      </w:r>
      <w:r>
        <w:t xml:space="preserve">. Washington, DC: Inter-American Development Bank.</w:t>
      </w:r>
    </w:p>
    <w:p>
      <w:pPr>
        <w:pStyle w:val="BodyText"/>
      </w:pPr>
      <w:r>
        <w:t xml:space="preserve">MAGAZINE LUIZA; SAMSUNG; APPLE (2026).</w:t>
      </w:r>
      <w:r>
        <w:t xml:space="preserve"> </w:t>
      </w:r>
      <w:r>
        <w:rPr>
          <w:i/>
          <w:iCs/>
        </w:rPr>
        <w:t xml:space="preserve">Preços de varejo de celulares novos</w:t>
      </w:r>
      <w:r>
        <w:t xml:space="preserve"> </w:t>
      </w:r>
      <w:r>
        <w:t xml:space="preserve">(consulta a sítios oficiais).</w:t>
      </w:r>
    </w:p>
    <w:p>
      <w:pPr>
        <w:pStyle w:val="BodyText"/>
      </w:pPr>
      <w:r>
        <w:t xml:space="preserve">OLX BRASIL (2024–2026).</w:t>
      </w:r>
      <w:r>
        <w:t xml:space="preserve"> </w:t>
      </w:r>
      <w:r>
        <w:rPr>
          <w:i/>
          <w:iCs/>
        </w:rPr>
        <w:t xml:space="preserve">Anúncios de celulares usados — Rio de Janeiro</w:t>
      </w:r>
      <w:r>
        <w:t xml:space="preserve">.</w:t>
      </w:r>
    </w:p>
    <w:p>
      <w:pPr>
        <w:pStyle w:val="BodyText"/>
      </w:pPr>
      <w:r>
        <w:t xml:space="preserve">OURO RIO DE JANEIRO (2026).</w:t>
      </w:r>
      <w:r>
        <w:t xml:space="preserve"> </w:t>
      </w:r>
      <w:r>
        <w:rPr>
          <w:i/>
          <w:iCs/>
        </w:rPr>
        <w:t xml:space="preserve">Cotação do ouro 18k</w:t>
      </w:r>
      <w:r>
        <w:t xml:space="preserve">.</w:t>
      </w:r>
    </w:p>
    <w:p>
      <w:pPr>
        <w:pStyle w:val="BodyText"/>
      </w:pPr>
      <w:r>
        <w:t xml:space="preserve">PICKETT, Kate E.; WILKINSON, Richard G. (2015).</w:t>
      </w:r>
      <w:r>
        <w:t xml:space="preserve"> </w:t>
      </w:r>
      <w:r>
        <w:t xml:space="preserve">“Income inequality and health: a causal review”</w:t>
      </w:r>
      <w:r>
        <w:t xml:space="preserve">.</w:t>
      </w:r>
      <w:r>
        <w:t xml:space="preserve"> </w:t>
      </w:r>
      <w:r>
        <w:rPr>
          <w:i/>
          <w:iCs/>
        </w:rPr>
        <w:t xml:space="preserve">Social Science &amp; Medicine</w:t>
      </w:r>
      <w:r>
        <w:t xml:space="preserve">, v. 128, p. 316–326.</w:t>
      </w:r>
    </w:p>
    <w:p>
      <w:pPr>
        <w:pStyle w:val="BodyText"/>
      </w:pPr>
      <w:r>
        <w:t xml:space="preserve">PREFEITURA DO RIO — SECRETARIA ESPECIAL DE SEGURANÇA URBANA (SEGUR) (2026).</w:t>
      </w:r>
      <w:r>
        <w:t xml:space="preserve"> </w:t>
      </w:r>
      <w:r>
        <w:rPr>
          <w:i/>
          <w:iCs/>
        </w:rPr>
        <w:t xml:space="preserve">Balanço de 100 dias da Força Municipal</w:t>
      </w:r>
      <w:r>
        <w:t xml:space="preserve"> </w:t>
      </w:r>
      <w:r>
        <w:t xml:space="preserve">(slide oficial: itens recuperados e áreas de atuação).</w:t>
      </w:r>
    </w:p>
    <w:p>
      <w:pPr>
        <w:pStyle w:val="BodyText"/>
      </w:pPr>
      <w:r>
        <w:t xml:space="preserve">RESENDE, João Paulo de (2011).</w:t>
      </w:r>
      <w:r>
        <w:t xml:space="preserve"> </w:t>
      </w:r>
      <w:r>
        <w:t xml:space="preserve">“Desigualdade de renda e criminalidade”</w:t>
      </w:r>
      <w:r>
        <w:t xml:space="preserve">.</w:t>
      </w:r>
      <w:r>
        <w:t xml:space="preserve"> </w:t>
      </w:r>
      <w:r>
        <w:rPr>
          <w:i/>
          <w:iCs/>
        </w:rPr>
        <w:t xml:space="preserve">Estudos Econômicos</w:t>
      </w:r>
      <w:r>
        <w:t xml:space="preserve">, São Paulo, v. 41, n. 4, p. 731–753.</w:t>
      </w:r>
    </w:p>
    <w:p>
      <w:pPr>
        <w:pStyle w:val="BodyText"/>
      </w:pPr>
      <w:r>
        <w:t xml:space="preserve">RUFRANCOS, Hector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(2013).</w:t>
      </w:r>
      <w:r>
        <w:t xml:space="preserve"> </w:t>
      </w:r>
      <w:r>
        <w:t xml:space="preserve">“Income inequality and crime: a systematic review”</w:t>
      </w:r>
      <w:r>
        <w:t xml:space="preserve">.</w:t>
      </w:r>
      <w:r>
        <w:t xml:space="preserve"> </w:t>
      </w:r>
      <w:r>
        <w:rPr>
          <w:i/>
          <w:iCs/>
        </w:rPr>
        <w:t xml:space="preserve">Aggression and Violent Behavior</w:t>
      </w:r>
      <w:r>
        <w:t xml:space="preserve">, v. 18, n. 2, p. 218–233.</w:t>
      </w:r>
    </w:p>
    <w:p>
      <w:pPr>
        <w:pStyle w:val="BodyText"/>
      </w:pPr>
      <w:r>
        <w:t xml:space="preserve">SANTOS, Marcelo Justus dos; KASSOUF, Ana Lúcia (2008).</w:t>
      </w:r>
      <w:r>
        <w:t xml:space="preserve"> </w:t>
      </w:r>
      <w:r>
        <w:t xml:space="preserve">“Estudos econômicos das causas da criminalidade no Brasil”</w:t>
      </w:r>
      <w:r>
        <w:t xml:space="preserve">.</w:t>
      </w:r>
      <w:r>
        <w:t xml:space="preserve"> </w:t>
      </w:r>
      <w:r>
        <w:rPr>
          <w:i/>
          <w:iCs/>
        </w:rPr>
        <w:t xml:space="preserve">EconomiA</w:t>
      </w:r>
      <w:r>
        <w:t xml:space="preserve">, Brasília, v. 9, n. 2, p. 343–372.</w:t>
      </w:r>
    </w:p>
    <w:p>
      <w:pPr>
        <w:pStyle w:val="BodyText"/>
      </w:pPr>
      <w:r>
        <w:t xml:space="preserve">SHAW, O. </w:t>
      </w:r>
      <w:r>
        <w:rPr>
          <w:i/>
          <w:iCs/>
        </w:rPr>
        <w:t xml:space="preserve">et al.</w:t>
      </w:r>
      <w:r>
        <w:t xml:space="preserve"> </w:t>
      </w:r>
      <w:r>
        <w:t xml:space="preserve">(2015).</w:t>
      </w:r>
      <w:r>
        <w:t xml:space="preserve"> </w:t>
      </w:r>
      <w:r>
        <w:rPr>
          <w:i/>
          <w:iCs/>
        </w:rPr>
        <w:t xml:space="preserve">Crime and the value of stolen goods</w:t>
      </w:r>
      <w:r>
        <w:t xml:space="preserve">. Home Office Research Report 81. London: Home Office.</w:t>
      </w:r>
    </w:p>
    <w:p>
      <w:pPr>
        <w:pStyle w:val="BodyText"/>
      </w:pPr>
      <w:r>
        <w:t xml:space="preserve">SHEKINAH; PRATA PURA; DR JOIAS (2026).</w:t>
      </w:r>
      <w:r>
        <w:t xml:space="preserve"> </w:t>
      </w:r>
      <w:r>
        <w:rPr>
          <w:i/>
          <w:iCs/>
        </w:rPr>
        <w:t xml:space="preserve">Preços de cordões: folheados e ouro 18k leve (1,8–8 g)</w:t>
      </w:r>
      <w:r>
        <w:t xml:space="preserve">.</w:t>
      </w:r>
    </w:p>
    <w:p>
      <w:pPr>
        <w:pStyle w:val="BodyText"/>
      </w:pPr>
      <w:r>
        <w:t xml:space="preserve">STATCOUNTER (2026).</w:t>
      </w:r>
      <w:r>
        <w:t xml:space="preserve"> </w:t>
      </w:r>
      <w:r>
        <w:rPr>
          <w:i/>
          <w:iCs/>
        </w:rPr>
        <w:t xml:space="preserve">Mobile Vendor Market Share — Brazil</w:t>
      </w:r>
      <w:r>
        <w:t xml:space="preserve">.</w:t>
      </w:r>
    </w:p>
    <w:p>
      <w:pPr>
        <w:pStyle w:val="BodyText"/>
      </w:pPr>
      <w:r>
        <w:t xml:space="preserve">TROCAFY; TROCAFONE (2026).</w:t>
      </w:r>
      <w:r>
        <w:t xml:space="preserve"> </w:t>
      </w:r>
      <w:r>
        <w:rPr>
          <w:i/>
          <w:iCs/>
        </w:rPr>
        <w:t xml:space="preserve">Seminovos por listagem</w:t>
      </w:r>
      <w:r>
        <w:t xml:space="preserve"> </w:t>
      </w:r>
      <w:r>
        <w:t xml:space="preserve">(preços de celulares usados).</w:t>
      </w:r>
    </w:p>
    <w:p>
      <w:pPr>
        <w:pStyle w:val="BodyText"/>
      </w:pPr>
      <w:r>
        <w:t xml:space="preserve">WORLD BANK (2011).</w:t>
      </w:r>
      <w:r>
        <w:t xml:space="preserve"> </w:t>
      </w:r>
      <w:r>
        <w:rPr>
          <w:i/>
          <w:iCs/>
        </w:rPr>
        <w:t xml:space="preserve">Crime and violence as development issues in Latin America and the Caribbean</w:t>
      </w:r>
      <w:r>
        <w:t xml:space="preserve">. Washington, DC: World Bank.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5">
        <w:r>
          <w:rPr>
            <w:rStyle w:val="Hyperlink"/>
          </w:rPr>
          <w:t xml:space="preserve">https://prefeitura.rio/casa-civil/sistema-de-seguranca-municipal-e-regulamentado-no-rio/</w:t>
        </w:r>
      </w:hyperlink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8">
        <w:r>
          <w:rPr>
            <w:rStyle w:val="Hyperlink"/>
          </w:rPr>
          <w:t xml:space="preserve">https://forcamunicipal.prefeitura.rio/2025/08/06/prefeitura-apresenta-a-divisao-de-elite-da-guarda-municipal-forca-municipal/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https://forcamunicipal.prefeitura.rio/2025/09/02/prefeitura-inaugura-academia-de-formacao-de-agentes-da-divisao-de-elite-da-gm-rio-forca-municipal/</w:t>
        </w:r>
      </w:hyperlink>
      <w:r>
        <w:t xml:space="preserve"> </w:t>
      </w:r>
      <w:r>
        <w:t xml:space="preserve">e</w:t>
      </w:r>
      <w:r>
        <w:t xml:space="preserve"> </w:t>
      </w:r>
      <w:hyperlink r:id="rId20">
        <w:r>
          <w:rPr>
            <w:rStyle w:val="Hyperlink"/>
          </w:rPr>
          <w:t xml:space="preserve">https://forcamunicipal.prefeitura.rio/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9" Target="media/rId9.png" /><Relationship Type="http://schemas.openxmlformats.org/officeDocument/2006/relationships/hyperlink" Id="rId20" Target="https://forcamunicipal.prefeitura.rio/" TargetMode="External" /><Relationship Type="http://schemas.openxmlformats.org/officeDocument/2006/relationships/hyperlink" Id="rId18" Target="https://forcamunicipal.prefeitura.rio/2025/08/06/prefeitura-apresenta-a-divisao-de-elite-da-guarda-municipal-forca-municipal/" TargetMode="External" /><Relationship Type="http://schemas.openxmlformats.org/officeDocument/2006/relationships/hyperlink" Id="rId19" Target="https://forcamunicipal.prefeitura.rio/2025/09/02/prefeitura-inaugura-academia-de-formacao-de-agentes-da-divisao-de-elite-da-gm-rio-forca-municipal/" TargetMode="External" /><Relationship Type="http://schemas.openxmlformats.org/officeDocument/2006/relationships/hyperlink" Id="rId15" Target="https://prefeitura.rio/casa-civil/sistema-de-seguranca-municipal-e-regulamentado-no-r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orcamunicipal.prefeitura.rio/" TargetMode="External" /><Relationship Type="http://schemas.openxmlformats.org/officeDocument/2006/relationships/hyperlink" Id="rId18" Target="https://forcamunicipal.prefeitura.rio/2025/08/06/prefeitura-apresenta-a-divisao-de-elite-da-guarda-municipal-forca-municipal/" TargetMode="External" /><Relationship Type="http://schemas.openxmlformats.org/officeDocument/2006/relationships/hyperlink" Id="rId19" Target="https://forcamunicipal.prefeitura.rio/2025/09/02/prefeitura-inaugura-academia-de-formacao-de-agentes-da-divisao-de-elite-da-gm-rio-forca-municipal/" TargetMode="External" /><Relationship Type="http://schemas.openxmlformats.org/officeDocument/2006/relationships/hyperlink" Id="rId15" Target="https://prefeitura.rio/casa-civil/sistema-de-seguranca-municipal-e-regulamentado-no-r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Valor monetário do patrimônio recuperado pela Força Municipal Um modelo probabilístico com distribuição de modelos e preços de mercado (Rio de Janeiro — primeiros 100 dias, 15/03 a 23/06 de 2026)</dc:title>
  <dc:creator>Prefeitura do Rio — Secretaria Municipal de Desenvolvimento Econômico &amp; COMPSTAT RIO</dc:creator>
  <cp:keywords/>
  <dcterms:created xsi:type="dcterms:W3CDTF">2026-06-27T15:49:58Z</dcterms:created>
  <dcterms:modified xsi:type="dcterms:W3CDTF">2026-06-27T15:49:58Z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Nos primeiros 100 dias de atuação da Força Municipal (SEGUR/Prefeitura do Rio — 15 de março a 23 de junho de 2026) foram recuperados, entre outros itens, 133 celulares e 15 cordões. O valor monetário desses dois itens é avaliado tratando cada unidade como uma variável aleatória: sorteia-se o modelo segundo a distribuição real do que é roubado na cidade (ponderada por frequência) e o preço a partir de uma amostra de preços de mercado, em duas bases — revenda (usado) e reposição (novo). Por simulação de Monte Carlo, o valor esperado do conjunto é de R$ 168 mil a preços de revenda (banda de 90%: R$ 150–R$ 187 mil) e R$ 275 mil a preços de reposição (R$ 244–R$ 309 mil); o envelope extremo vai de R$ 12 mil a R$ 1,14 milhão. Os celulares concentram cerca de 96% do valor. Todas as cifras têm fonte pública (preços coletados em 16/06/2026).</vt:lpwstr>
  </property>
  <property fmtid="{D5CDD505-2E9C-101B-9397-08002B2CF9AE}" pid="3" name="date">
    <vt:lpwstr>2026-06-27</vt:lpwstr>
  </property>
</Properties>
</file>