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Fonts w:eastAsia="Noto Serif CJK SC" w:cs="Noto Sans Devanagari"/>
          <w:b/>
          <w:bCs/>
          <w:color w:val="2A6099"/>
          <w:kern w:val="2"/>
          <w:sz w:val="30"/>
          <w:szCs w:val="30"/>
          <w:lang w:val="en-US" w:eastAsia="zh-CN" w:bidi="hi-IN"/>
        </w:rPr>
        <w:t>analyse de l’article :</w:t>
      </w:r>
      <w:r>
        <w:rPr>
          <w:b/>
          <w:bCs/>
          <w:color w:val="2A6099"/>
        </w:rPr>
        <w:t xml:space="preserve"> </w:t>
      </w:r>
    </w:p>
    <w:p>
      <w:pPr>
        <w:pStyle w:val="Normal"/>
        <w:bidi w:val="0"/>
        <w:jc w:val="start"/>
        <w:rPr>
          <w:b/>
          <w:bCs/>
          <w:color w:val="2A6099"/>
        </w:rPr>
      </w:pPr>
      <w:r>
        <w:rPr>
          <w:b/>
          <w:bCs/>
          <w:color w:val="2A6099"/>
        </w:rPr>
      </w:r>
    </w:p>
    <w:p>
      <w:pPr>
        <w:pStyle w:val="Normal"/>
        <w:bidi w:val="0"/>
        <w:jc w:val="center"/>
        <w:rPr>
          <w:sz w:val="32"/>
          <w:szCs w:val="32"/>
        </w:rPr>
      </w:pPr>
      <w:r>
        <w:rPr>
          <w:rFonts w:ascii="Inter Var;Inter;Roboto;Arial;sans-serif" w:hAnsi="Inter Var;Inter;Roboto;Arial;sans-serif"/>
          <w:b/>
          <w:bCs/>
          <w:i w:val="false"/>
          <w:iCs w:val="false"/>
          <w:caps w:val="false"/>
          <w:smallCaps w:val="false"/>
          <w:color w:val="000000"/>
          <w:spacing w:val="0"/>
          <w:sz w:val="32"/>
          <w:szCs w:val="32"/>
          <w:u w:val="single"/>
          <w:shd w:fill="B3CAC7" w:val="clear"/>
        </w:rPr>
        <w:t>Using the SGDA Framework to Design and Evaluate Research Games</w:t>
      </w:r>
    </w:p>
    <w:p>
      <w:pPr>
        <w:pStyle w:val="Normal"/>
        <w:bidi w:val="0"/>
        <w:jc w:val="start"/>
        <w:rPr>
          <w:color w:val="3FAF46"/>
          <w:highlight w:val="none"/>
          <w:shd w:fill="B3CAC7" w:val="clear"/>
        </w:rPr>
      </w:pPr>
      <w:r>
        <w:rPr>
          <w:color w:val="3FAF46"/>
          <w:shd w:fill="B3CAC7" w:val="clear"/>
        </w:rPr>
      </w:r>
    </w:p>
    <w:p>
      <w:pPr>
        <w:pStyle w:val="BodyText"/>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tbl>
      <w:tblPr>
        <w:tblW w:w="12022" w:type="dxa"/>
        <w:jc w:val="start"/>
        <w:tblInd w:w="-1038" w:type="dxa"/>
        <w:tblLayout w:type="fixed"/>
        <w:tblCellMar>
          <w:top w:w="55" w:type="dxa"/>
          <w:start w:w="55" w:type="dxa"/>
          <w:bottom w:w="55" w:type="dxa"/>
          <w:end w:w="55" w:type="dxa"/>
        </w:tblCellMar>
      </w:tblPr>
      <w:tblGrid>
        <w:gridCol w:w="924"/>
        <w:gridCol w:w="1291"/>
        <w:gridCol w:w="718"/>
        <w:gridCol w:w="3157"/>
        <w:gridCol w:w="1456"/>
        <w:gridCol w:w="4475"/>
      </w:tblGrid>
      <w:tr>
        <w:trPr>
          <w:trHeight w:val="414" w:hRule="atLeast"/>
        </w:trPr>
        <w:tc>
          <w:tcPr>
            <w:tcW w:w="924" w:type="dxa"/>
            <w:tcBorders>
              <w:top w:val="single" w:sz="4" w:space="0" w:color="000000"/>
              <w:start w:val="single" w:sz="4" w:space="0" w:color="000000"/>
              <w:bottom w:val="single" w:sz="4" w:space="0" w:color="000000"/>
            </w:tcBorders>
            <w:shd w:fill="808080" w:val="clear"/>
          </w:tcPr>
          <w:p>
            <w:pPr>
              <w:pStyle w:val="TableContents"/>
              <w:bidi w:val="0"/>
              <w:jc w:val="center"/>
              <w:rPr/>
            </w:pPr>
            <w:r>
              <w:rPr/>
              <w:t>lien</w:t>
            </w:r>
          </w:p>
        </w:tc>
        <w:tc>
          <w:tcPr>
            <w:tcW w:w="1291" w:type="dxa"/>
            <w:tcBorders>
              <w:top w:val="single" w:sz="4" w:space="0" w:color="000000"/>
              <w:start w:val="single" w:sz="4" w:space="0" w:color="000000"/>
              <w:bottom w:val="single" w:sz="4" w:space="0" w:color="000000"/>
            </w:tcBorders>
            <w:shd w:fill="808080" w:val="clear"/>
          </w:tcPr>
          <w:p>
            <w:pPr>
              <w:pStyle w:val="TableContents"/>
              <w:bidi w:val="0"/>
              <w:jc w:val="center"/>
              <w:rPr/>
            </w:pPr>
            <w:r>
              <w:rPr/>
              <w:t>auteur</w:t>
            </w:r>
          </w:p>
        </w:tc>
        <w:tc>
          <w:tcPr>
            <w:tcW w:w="718" w:type="dxa"/>
            <w:tcBorders>
              <w:top w:val="single" w:sz="4" w:space="0" w:color="000000"/>
              <w:start w:val="single" w:sz="4" w:space="0" w:color="000000"/>
              <w:bottom w:val="single" w:sz="4" w:space="0" w:color="000000"/>
            </w:tcBorders>
            <w:shd w:fill="808080" w:val="clear"/>
          </w:tcPr>
          <w:p>
            <w:pPr>
              <w:pStyle w:val="TableContents"/>
              <w:bidi w:val="0"/>
              <w:jc w:val="start"/>
              <w:rPr/>
            </w:pPr>
            <w:r>
              <w:rPr/>
              <w:t>année</w:t>
            </w:r>
          </w:p>
        </w:tc>
        <w:tc>
          <w:tcPr>
            <w:tcW w:w="3157" w:type="dxa"/>
            <w:tcBorders>
              <w:top w:val="single" w:sz="4" w:space="0" w:color="000000"/>
              <w:start w:val="single" w:sz="4" w:space="0" w:color="000000"/>
              <w:bottom w:val="single" w:sz="4" w:space="0" w:color="000000"/>
            </w:tcBorders>
            <w:shd w:fill="808080" w:val="clear"/>
          </w:tcPr>
          <w:p>
            <w:pPr>
              <w:pStyle w:val="TableContents"/>
              <w:suppressAutoHyphens w:val="true"/>
              <w:bidi w:val="0"/>
              <w:spacing w:before="0" w:after="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Problème traité</w:t>
            </w:r>
          </w:p>
        </w:tc>
        <w:tc>
          <w:tcPr>
            <w:tcW w:w="1456" w:type="dxa"/>
            <w:tcBorders>
              <w:top w:val="single" w:sz="4" w:space="0" w:color="000000"/>
              <w:start w:val="single" w:sz="4" w:space="0" w:color="000000"/>
              <w:bottom w:val="single" w:sz="4" w:space="0" w:color="000000"/>
            </w:tcBorders>
            <w:shd w:fill="808080" w:val="clear"/>
          </w:tcPr>
          <w:p>
            <w:pPr>
              <w:pStyle w:val="TableContents"/>
              <w:suppressAutoHyphens w:val="true"/>
              <w:bidi w:val="0"/>
              <w:spacing w:before="0" w:after="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Méthode utilisée</w:t>
            </w:r>
          </w:p>
        </w:tc>
        <w:tc>
          <w:tcPr>
            <w:tcW w:w="4475" w:type="dxa"/>
            <w:tcBorders>
              <w:top w:val="single" w:sz="4" w:space="0" w:color="000000"/>
              <w:start w:val="single" w:sz="4" w:space="0" w:color="000000"/>
              <w:bottom w:val="single" w:sz="4" w:space="0" w:color="000000"/>
              <w:end w:val="single" w:sz="4" w:space="0" w:color="000000"/>
            </w:tcBorders>
            <w:shd w:fill="808080" w:val="clear"/>
          </w:tcPr>
          <w:p>
            <w:pPr>
              <w:pStyle w:val="TableContents"/>
              <w:suppressAutoHyphens w:val="true"/>
              <w:bidi w:val="0"/>
              <w:spacing w:before="0" w:after="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Idées utiles pour le PFE</w:t>
            </w:r>
          </w:p>
        </w:tc>
      </w:tr>
      <w:tr>
        <w:trPr>
          <w:trHeight w:val="3078" w:hRule="atLeast"/>
        </w:trPr>
        <w:tc>
          <w:tcPr>
            <w:tcW w:w="924" w:type="dxa"/>
            <w:tcBorders>
              <w:start w:val="single" w:sz="4" w:space="0" w:color="000000"/>
              <w:bottom w:val="single" w:sz="4" w:space="0" w:color="000000"/>
            </w:tcBorders>
          </w:tcPr>
          <w:p>
            <w:pPr>
              <w:pStyle w:val="BodyText"/>
              <w:bidi w:val="0"/>
              <w:spacing w:before="0" w:after="140"/>
              <w:jc w:val="start"/>
              <w:rPr/>
            </w:pPr>
            <w:hyperlink r:id="rId2">
              <w:r>
                <w:rPr>
                  <w:rStyle w:val="Hyperlink"/>
                </w:rPr>
                <w:t>https://doi.org/10.1177/1046878118808826</w:t>
              </w:r>
            </w:hyperlink>
          </w:p>
        </w:tc>
        <w:tc>
          <w:tcPr>
            <w:tcW w:w="1291" w:type="dxa"/>
            <w:tcBorders>
              <w:start w:val="single" w:sz="4" w:space="0" w:color="000000"/>
              <w:bottom w:val="single" w:sz="4" w:space="0" w:color="000000"/>
            </w:tcBorders>
          </w:tcPr>
          <w:p>
            <w:pPr>
              <w:pStyle w:val="BodyText"/>
              <w:bidi w:val="0"/>
              <w:jc w:val="start"/>
              <w:rPr/>
            </w:pPr>
            <w:r>
              <w:rPr/>
              <w:t>David Geerts, Marije Nouwen, Evert van Beek, Karin Slegers, Fernanda Chocron Miranda, and Lizzy Bleumers</w:t>
            </w:r>
          </w:p>
          <w:p>
            <w:pPr>
              <w:pStyle w:val="TableContents"/>
              <w:bidi w:val="0"/>
              <w:jc w:val="start"/>
              <w:rPr/>
            </w:pPr>
            <w:r>
              <w:rPr/>
            </w:r>
          </w:p>
        </w:tc>
        <w:tc>
          <w:tcPr>
            <w:tcW w:w="718" w:type="dxa"/>
            <w:tcBorders>
              <w:start w:val="single" w:sz="4" w:space="0" w:color="000000"/>
              <w:bottom w:val="single" w:sz="4" w:space="0" w:color="000000"/>
            </w:tcBorders>
          </w:tcPr>
          <w:p>
            <w:pPr>
              <w:pStyle w:val="TableContents"/>
              <w:bidi w:val="0"/>
              <w:jc w:val="start"/>
              <w:rPr/>
            </w:pPr>
            <w:r>
              <w:rPr/>
              <w:t>2018</w:t>
            </w:r>
          </w:p>
        </w:tc>
        <w:tc>
          <w:tcPr>
            <w:tcW w:w="3157" w:type="dxa"/>
            <w:tcBorders>
              <w:start w:val="single" w:sz="4" w:space="0" w:color="000000"/>
              <w:bottom w:val="single" w:sz="4" w:space="0" w:color="000000"/>
            </w:tcBorders>
          </w:tcPr>
          <w:p>
            <w:pPr>
              <w:pStyle w:val="BodyText"/>
              <w:widowControl/>
              <w:suppressAutoHyphens w:val="true"/>
              <w:bidi w:val="0"/>
              <w:jc w:val="start"/>
              <w:rPr/>
            </w:pPr>
            <w:r>
              <w:rPr>
                <w:rFonts w:eastAsia="Noto Serif CJK SC" w:cs="Noto Sans Devanagari"/>
                <w:color w:val="auto"/>
                <w:kern w:val="2"/>
                <w:sz w:val="18"/>
                <w:szCs w:val="18"/>
                <w:lang w:val="en-US" w:eastAsia="zh-CN" w:bidi="hi-IN"/>
              </w:rPr>
              <w:t>Les auteurs mettent en évidence un problème principal :</w:t>
              <w:br/>
              <w:t xml:space="preserve"> </w:t>
            </w:r>
            <w:r>
              <w:rPr>
                <w:rStyle w:val="Strong"/>
                <w:rFonts w:eastAsia="Noto Serif CJK SC" w:cs="Noto Sans Devanagari"/>
                <w:color w:val="auto"/>
                <w:kern w:val="2"/>
                <w:sz w:val="18"/>
                <w:szCs w:val="18"/>
                <w:lang w:val="en-US" w:eastAsia="zh-CN" w:bidi="hi-IN"/>
              </w:rPr>
              <w:t>l’absence de méthode structurée pour concevoir et évaluer les research games</w:t>
            </w:r>
            <w:r>
              <w:rPr>
                <w:rFonts w:eastAsia="Noto Serif CJK SC" w:cs="Noto Sans Devanagari"/>
                <w:color w:val="auto"/>
                <w:kern w:val="2"/>
                <w:sz w:val="18"/>
                <w:szCs w:val="18"/>
                <w:lang w:val="en-US" w:eastAsia="zh-CN" w:bidi="hi-IN"/>
              </w:rPr>
              <w:t>.</w:t>
            </w:r>
          </w:p>
          <w:p>
            <w:pPr>
              <w:pStyle w:val="BodyText"/>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t>Plus précisément :</w:t>
            </w:r>
          </w:p>
          <w:p>
            <w:pPr>
              <w:pStyle w:val="BodyText"/>
              <w:widowControl/>
              <w:numPr>
                <w:ilvl w:val="0"/>
                <w:numId w:val="4"/>
              </w:numPr>
              <w:tabs>
                <w:tab w:val="clear" w:pos="709"/>
                <w:tab w:val="left" w:pos="0" w:leader="none"/>
              </w:tabs>
              <w:suppressAutoHyphens w:val="true"/>
              <w:bidi w:val="0"/>
              <w:ind w:hanging="283" w:start="709"/>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t>Les chercheurs en HCI ne sont généralement pas experts en game design</w:t>
            </w:r>
          </w:p>
          <w:p>
            <w:pPr>
              <w:pStyle w:val="BodyText"/>
              <w:widowControl/>
              <w:numPr>
                <w:ilvl w:val="0"/>
                <w:numId w:val="4"/>
              </w:numPr>
              <w:tabs>
                <w:tab w:val="clear" w:pos="709"/>
                <w:tab w:val="left" w:pos="0" w:leader="none"/>
              </w:tabs>
              <w:suppressAutoHyphens w:val="true"/>
              <w:bidi w:val="0"/>
              <w:ind w:hanging="283" w:start="709"/>
              <w:jc w:val="start"/>
              <w:rPr/>
            </w:pPr>
            <w:r>
              <w:rPr>
                <w:rFonts w:eastAsia="Noto Serif CJK SC" w:cs="Noto Sans Devanagari"/>
                <w:color w:val="auto"/>
                <w:kern w:val="2"/>
                <w:sz w:val="18"/>
                <w:szCs w:val="18"/>
                <w:lang w:val="en-US" w:eastAsia="zh-CN" w:bidi="hi-IN"/>
              </w:rPr>
              <w:t xml:space="preserve">Les jeux créés manquent souvent de </w:t>
            </w:r>
            <w:r>
              <w:rPr>
                <w:rStyle w:val="Strong"/>
                <w:rFonts w:eastAsia="Noto Serif CJK SC" w:cs="Noto Sans Devanagari"/>
                <w:color w:val="auto"/>
                <w:kern w:val="2"/>
                <w:sz w:val="18"/>
                <w:szCs w:val="18"/>
                <w:lang w:val="en-US" w:eastAsia="zh-CN" w:bidi="hi-IN"/>
              </w:rPr>
              <w:t>cohérence entre leurs éléments</w:t>
            </w:r>
          </w:p>
          <w:p>
            <w:pPr>
              <w:pStyle w:val="BodyText"/>
              <w:widowControl/>
              <w:numPr>
                <w:ilvl w:val="0"/>
                <w:numId w:val="4"/>
              </w:numPr>
              <w:tabs>
                <w:tab w:val="clear" w:pos="709"/>
                <w:tab w:val="left" w:pos="0" w:leader="none"/>
              </w:tabs>
              <w:suppressAutoHyphens w:val="true"/>
              <w:bidi w:val="0"/>
              <w:ind w:hanging="283" w:start="709"/>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t>Il est difficile de concilier :</w:t>
            </w:r>
          </w:p>
          <w:p>
            <w:pPr>
              <w:pStyle w:val="BodyText"/>
              <w:widowControl/>
              <w:numPr>
                <w:ilvl w:val="1"/>
                <w:numId w:val="4"/>
              </w:numPr>
              <w:tabs>
                <w:tab w:val="clear" w:pos="709"/>
                <w:tab w:val="left" w:pos="0" w:leader="none"/>
              </w:tabs>
              <w:suppressAutoHyphens w:val="true"/>
              <w:bidi w:val="0"/>
              <w:ind w:hanging="283" w:start="1418"/>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t xml:space="preserve"> </w:t>
            </w:r>
            <w:r>
              <w:rPr>
                <w:rFonts w:eastAsia="Noto Serif CJK SC" w:cs="Noto Sans Devanagari"/>
                <w:color w:val="auto"/>
                <w:kern w:val="2"/>
                <w:sz w:val="18"/>
                <w:szCs w:val="18"/>
                <w:lang w:val="en-US" w:eastAsia="zh-CN" w:bidi="hi-IN"/>
              </w:rPr>
              <w:t>plaisir du joueur</w:t>
            </w:r>
          </w:p>
          <w:p>
            <w:pPr>
              <w:pStyle w:val="BodyText"/>
              <w:widowControl/>
              <w:numPr>
                <w:ilvl w:val="1"/>
                <w:numId w:val="4"/>
              </w:numPr>
              <w:tabs>
                <w:tab w:val="clear" w:pos="709"/>
                <w:tab w:val="left" w:pos="0" w:leader="none"/>
              </w:tabs>
              <w:suppressAutoHyphens w:val="true"/>
              <w:bidi w:val="0"/>
              <w:ind w:hanging="283" w:start="1418"/>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t xml:space="preserve"> </w:t>
            </w:r>
            <w:r>
              <w:rPr>
                <w:rFonts w:eastAsia="Noto Serif CJK SC" w:cs="Noto Sans Devanagari"/>
                <w:color w:val="auto"/>
                <w:kern w:val="2"/>
                <w:sz w:val="18"/>
                <w:szCs w:val="18"/>
                <w:lang w:val="en-US" w:eastAsia="zh-CN" w:bidi="hi-IN"/>
              </w:rPr>
              <w:t>utilité scientifique du jeu</w:t>
            </w:r>
          </w:p>
          <w:p>
            <w:pPr>
              <w:pStyle w:val="BodyText"/>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t xml:space="preserve"> </w:t>
            </w:r>
            <w:r>
              <w:rPr>
                <w:rFonts w:eastAsia="Noto Serif CJK SC" w:cs="Noto Sans Devanagari"/>
                <w:b/>
                <w:bCs/>
                <w:color w:val="auto"/>
                <w:kern w:val="2"/>
                <w:sz w:val="18"/>
                <w:szCs w:val="18"/>
                <w:lang w:val="en-US" w:eastAsia="zh-CN" w:bidi="hi-IN"/>
              </w:rPr>
              <w:t>Résultat</w:t>
            </w:r>
            <w:r>
              <w:rPr>
                <w:rFonts w:eastAsia="Noto Serif CJK SC" w:cs="Noto Sans Devanagari"/>
                <w:color w:val="auto"/>
                <w:kern w:val="2"/>
                <w:sz w:val="18"/>
                <w:szCs w:val="18"/>
                <w:lang w:val="en-US" w:eastAsia="zh-CN" w:bidi="hi-IN"/>
              </w:rPr>
              <w:t xml:space="preserve"> : des jeux parfois inefficaces ou mal alignés avec leurs objectifs.</w:t>
            </w:r>
          </w:p>
          <w:p>
            <w:pPr>
              <w:pStyle w:val="BodyText"/>
              <w:widowControl/>
              <w:suppressAutoHyphens w:val="true"/>
              <w:bidi w:val="0"/>
              <w:spacing w:before="0" w:after="14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tc>
        <w:tc>
          <w:tcPr>
            <w:tcW w:w="1456" w:type="dxa"/>
            <w:tcBorders>
              <w:start w:val="single" w:sz="4" w:space="0" w:color="000000"/>
              <w:bottom w:val="single" w:sz="4" w:space="0" w:color="000000"/>
            </w:tcBorders>
          </w:tcPr>
          <w:p>
            <w:pPr>
              <w:pStyle w:val="BodyText"/>
              <w:widowControl/>
              <w:suppressAutoHyphens w:val="true"/>
              <w:bidi w:val="0"/>
              <w:jc w:val="start"/>
              <w:rPr/>
            </w:pPr>
            <w:r>
              <w:rPr>
                <w:rStyle w:val="Strong"/>
                <w:rFonts w:eastAsia="Noto Serif CJK SC" w:cs="Noto Sans Devanagari"/>
                <w:b w:val="false"/>
                <w:bCs w:val="false"/>
                <w:color w:val="auto"/>
                <w:kern w:val="2"/>
                <w:sz w:val="18"/>
                <w:szCs w:val="18"/>
                <w:lang w:val="en-US" w:eastAsia="zh-CN" w:bidi="hi-IN"/>
              </w:rPr>
              <w:t xml:space="preserve">L’article utilise une approche basée sur le </w:t>
            </w:r>
            <w:r>
              <w:rPr>
                <w:rStyle w:val="Strong"/>
                <w:rFonts w:eastAsia="Noto Serif CJK SC" w:cs="Noto Sans Devanagari"/>
                <w:b/>
                <w:bCs/>
                <w:color w:val="auto"/>
                <w:kern w:val="2"/>
                <w:sz w:val="18"/>
                <w:szCs w:val="18"/>
                <w:lang w:val="en-US" w:eastAsia="zh-CN" w:bidi="hi-IN"/>
              </w:rPr>
              <w:t>SGDA Framework</w:t>
            </w:r>
            <w:r>
              <w:rPr>
                <w:rStyle w:val="Strong"/>
                <w:rFonts w:eastAsia="Noto Serif CJK SC" w:cs="Noto Sans Devanagari"/>
                <w:b w:val="false"/>
                <w:bCs w:val="false"/>
                <w:color w:val="auto"/>
                <w:kern w:val="2"/>
                <w:sz w:val="18"/>
                <w:szCs w:val="18"/>
                <w:lang w:val="en-US" w:eastAsia="zh-CN" w:bidi="hi-IN"/>
              </w:rPr>
              <w:t>, en suivant une démarche en deux phases :</w:t>
            </w:r>
          </w:p>
          <w:p>
            <w:pPr>
              <w:pStyle w:val="BodyText"/>
              <w:widowControl/>
              <w:numPr>
                <w:ilvl w:val="0"/>
                <w:numId w:val="5"/>
              </w:numPr>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t>Décomposition du jeu</w:t>
            </w:r>
          </w:p>
          <w:p>
            <w:pPr>
              <w:pStyle w:val="BodyText"/>
              <w:widowControl/>
              <w:numPr>
                <w:ilvl w:val="0"/>
                <w:numId w:val="5"/>
              </w:numPr>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t>Analyse de cohérence et cohésion</w:t>
            </w:r>
          </w:p>
          <w:p>
            <w:pPr>
              <w:pStyle w:val="BodyText"/>
              <w:widowControl/>
              <w:suppressAutoHyphens w:val="true"/>
              <w:bidi w:val="0"/>
              <w:jc w:val="start"/>
              <w:rPr>
                <w:rStyle w:val="Strong"/>
                <w:rFonts w:eastAsia="Noto Serif CJK SC" w:cs="Noto Sans Devanagari"/>
                <w:color w:val="auto"/>
                <w:kern w:val="2"/>
                <w:sz w:val="16"/>
                <w:szCs w:val="16"/>
                <w:lang w:val="en-US" w:eastAsia="zh-CN" w:bidi="hi-IN"/>
              </w:rPr>
            </w:pPr>
            <w:r>
              <w:rPr>
                <w:rFonts w:eastAsia="Noto Serif CJK SC" w:cs="Noto Sans Devanagari"/>
                <w:color w:val="auto"/>
                <w:kern w:val="2"/>
                <w:sz w:val="16"/>
                <w:szCs w:val="16"/>
                <w:lang w:val="en-US" w:eastAsia="zh-CN" w:bidi="hi-IN"/>
              </w:rPr>
            </w:r>
          </w:p>
          <w:p>
            <w:pPr>
              <w:pStyle w:val="BodyText"/>
              <w:widowControl/>
              <w:suppressAutoHyphens w:val="true"/>
              <w:bidi w:val="0"/>
              <w:spacing w:before="0" w:after="14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tc>
        <w:tc>
          <w:tcPr>
            <w:tcW w:w="4475" w:type="dxa"/>
            <w:tcBorders>
              <w:start w:val="single" w:sz="4" w:space="0" w:color="000000"/>
              <w:bottom w:val="single" w:sz="4" w:space="0" w:color="000000"/>
              <w:end w:val="single" w:sz="4" w:space="0" w:color="000000"/>
            </w:tcBorders>
          </w:tcPr>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Évaluation des Serious Games basée sur  plusieurs critères (multicritères)</w:t>
            </w:r>
            <w:r>
              <w:rPr>
                <w:rFonts w:eastAsia="Noto Serif CJK SC" w:cs="Noto Sans Devanagari"/>
                <w:b w:val="false"/>
                <w:bCs w:val="false"/>
                <w:color w:val="auto"/>
                <w:kern w:val="2"/>
                <w:sz w:val="24"/>
                <w:szCs w:val="24"/>
                <w:lang w:val="en-US" w:eastAsia="zh-CN" w:bidi="hi-IN"/>
              </w:rPr>
              <w:t xml:space="preserve"> </w:t>
            </w:r>
          </w:p>
          <w:p>
            <w:pPr>
              <w:pStyle w:val="BodyText"/>
              <w:widowControl/>
              <w:suppressAutoHyphens w:val="true"/>
              <w:bidi w:val="0"/>
              <w:jc w:val="start"/>
              <w:rPr/>
            </w:pPr>
            <w:r>
              <w:rPr>
                <w:rFonts w:eastAsia="Noto Serif CJK SC" w:cs="Noto Sans Devanagari"/>
                <w:b w:val="false"/>
                <w:bCs w:val="false"/>
                <w:color w:val="auto"/>
                <w:kern w:val="2"/>
                <w:sz w:val="24"/>
                <w:szCs w:val="24"/>
                <w:lang w:val="en-US" w:eastAsia="zh-CN" w:bidi="hi-IN"/>
              </w:rPr>
              <w:t xml:space="preserve">Utilisation de </w:t>
            </w:r>
            <w:r>
              <w:rPr>
                <w:rStyle w:val="Strong"/>
                <w:rFonts w:eastAsia="Noto Serif CJK SC" w:cs="Noto Sans Devanagari"/>
                <w:b w:val="false"/>
                <w:bCs w:val="false"/>
                <w:color w:val="auto"/>
                <w:kern w:val="2"/>
                <w:sz w:val="24"/>
                <w:szCs w:val="24"/>
                <w:lang w:val="en-US" w:eastAsia="zh-CN" w:bidi="hi-IN"/>
              </w:rPr>
              <w:t>6 dimensions principales (SGDA)</w:t>
            </w:r>
            <w:r>
              <w:rPr>
                <w:rFonts w:eastAsia="Noto Serif CJK SC" w:cs="Noto Sans Devanagari"/>
                <w:b w:val="false"/>
                <w:bCs w:val="false"/>
                <w:color w:val="auto"/>
                <w:kern w:val="2"/>
                <w:sz w:val="24"/>
                <w:szCs w:val="24"/>
                <w:lang w:val="en-US" w:eastAsia="zh-CN" w:bidi="hi-IN"/>
              </w:rPr>
              <w:t xml:space="preserve"> pour analyser un jeu</w:t>
            </w:r>
          </w:p>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Analyse des relations entre critères (interdépendance)</w:t>
            </w:r>
            <w:r>
              <w:rPr>
                <w:rFonts w:eastAsia="Noto Serif CJK SC" w:cs="Noto Sans Devanagari"/>
                <w:b w:val="false"/>
                <w:bCs w:val="false"/>
                <w:color w:val="auto"/>
                <w:kern w:val="2"/>
                <w:sz w:val="24"/>
                <w:szCs w:val="24"/>
                <w:lang w:val="en-US" w:eastAsia="zh-CN" w:bidi="hi-IN"/>
              </w:rPr>
              <w:t xml:space="preserve"> </w:t>
            </w:r>
          </w:p>
          <w:p>
            <w:pPr>
              <w:pStyle w:val="BodyText"/>
              <w:widowControl/>
              <w:suppressAutoHyphens w:val="true"/>
              <w:bidi w:val="0"/>
              <w:jc w:val="start"/>
              <w:rPr/>
            </w:pPr>
            <w:r>
              <w:rPr>
                <w:rFonts w:eastAsia="Noto Serif CJK SC" w:cs="Noto Sans Devanagari"/>
                <w:b w:val="false"/>
                <w:bCs w:val="false"/>
                <w:color w:val="auto"/>
                <w:kern w:val="2"/>
                <w:sz w:val="24"/>
                <w:szCs w:val="24"/>
                <w:lang w:val="en-US" w:eastAsia="zh-CN" w:bidi="hi-IN"/>
              </w:rPr>
              <w:t xml:space="preserve">Double objectif des jeux : </w:t>
            </w:r>
            <w:r>
              <w:rPr>
                <w:rStyle w:val="Strong"/>
                <w:rFonts w:eastAsia="Noto Serif CJK SC" w:cs="Noto Sans Devanagari"/>
                <w:b w:val="false"/>
                <w:bCs w:val="false"/>
                <w:color w:val="auto"/>
                <w:kern w:val="2"/>
                <w:sz w:val="24"/>
                <w:szCs w:val="24"/>
                <w:lang w:val="en-US" w:eastAsia="zh-CN" w:bidi="hi-IN"/>
              </w:rPr>
              <w:t>plaisir + utilité (apprentissage / données)</w:t>
            </w:r>
          </w:p>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Importance du feedback utilisateur dans l’évaluation</w:t>
            </w:r>
            <w:r>
              <w:rPr>
                <w:rFonts w:eastAsia="Noto Serif CJK SC" w:cs="Noto Sans Devanagari"/>
                <w:b w:val="false"/>
                <w:bCs w:val="false"/>
                <w:color w:val="auto"/>
                <w:kern w:val="2"/>
                <w:sz w:val="24"/>
                <w:szCs w:val="24"/>
                <w:lang w:val="en-US" w:eastAsia="zh-CN" w:bidi="hi-IN"/>
              </w:rPr>
              <w:t xml:space="preserve"> </w:t>
            </w:r>
          </w:p>
          <w:p>
            <w:pPr>
              <w:pStyle w:val="BodyText"/>
              <w:widowControl/>
              <w:suppressAutoHyphens w:val="true"/>
              <w:bidi w:val="0"/>
              <w:jc w:val="start"/>
              <w:rPr/>
            </w:pPr>
            <w:r>
              <w:rPr>
                <w:rFonts w:eastAsia="Noto Serif CJK SC" w:cs="Noto Sans Devanagari"/>
                <w:b w:val="false"/>
                <w:bCs w:val="false"/>
                <w:color w:val="auto"/>
                <w:kern w:val="2"/>
                <w:sz w:val="24"/>
                <w:szCs w:val="24"/>
                <w:lang w:val="en-US" w:eastAsia="zh-CN" w:bidi="hi-IN"/>
              </w:rPr>
              <w:t xml:space="preserve">Nécessité d’un système </w:t>
            </w:r>
            <w:r>
              <w:rPr>
                <w:rStyle w:val="Strong"/>
                <w:rFonts w:eastAsia="Noto Serif CJK SC" w:cs="Noto Sans Devanagari"/>
                <w:b w:val="false"/>
                <w:bCs w:val="false"/>
                <w:color w:val="auto"/>
                <w:kern w:val="2"/>
                <w:sz w:val="24"/>
                <w:szCs w:val="24"/>
                <w:lang w:val="en-US" w:eastAsia="zh-CN" w:bidi="hi-IN"/>
              </w:rPr>
              <w:t>adaptatif selon le contexte et les joueurs</w:t>
            </w:r>
          </w:p>
          <w:p>
            <w:pPr>
              <w:pStyle w:val="BodyText"/>
              <w:widowControl/>
              <w:suppressAutoHyphens w:val="true"/>
              <w:bidi w:val="0"/>
              <w:spacing w:before="0" w:after="140"/>
              <w:jc w:val="start"/>
              <w:rPr>
                <w:rStyle w:val="Strong"/>
                <w:rFonts w:ascii="Liberation Serif" w:hAnsi="Liberation Serif" w:eastAsia="Noto Serif CJK SC" w:cs="Noto Sans Devanagari"/>
                <w:b w:val="false"/>
                <w:bCs w:val="false"/>
                <w:color w:val="auto"/>
                <w:kern w:val="2"/>
                <w:sz w:val="24"/>
                <w:szCs w:val="24"/>
                <w:lang w:val="en-US" w:eastAsia="zh-CN" w:bidi="hi-IN"/>
              </w:rPr>
            </w:pPr>
            <w:r>
              <w:rPr>
                <w:rFonts w:eastAsia="Noto Serif CJK SC" w:cs="Noto Sans Devanagari"/>
                <w:b w:val="false"/>
                <w:bCs w:val="false"/>
                <w:color w:val="auto"/>
                <w:kern w:val="2"/>
                <w:sz w:val="24"/>
                <w:szCs w:val="24"/>
                <w:lang w:val="en-US" w:eastAsia="zh-CN" w:bidi="hi-IN"/>
              </w:rPr>
            </w:r>
          </w:p>
        </w:tc>
      </w:tr>
    </w:tbl>
    <w:p>
      <w:pPr>
        <w:pStyle w:val="Normal"/>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p>
      <w:pPr>
        <w:pStyle w:val="BodyText"/>
        <w:widowControl/>
        <w:suppressAutoHyphens w:val="true"/>
        <w:bidi w:val="0"/>
        <w:jc w:val="start"/>
        <w:rPr/>
      </w:pPr>
      <w:r>
        <w:rPr>
          <w:rFonts w:eastAsia="Noto Serif CJK SC" w:cs="Noto Sans Devanagari"/>
          <w:b/>
          <w:bCs/>
          <w:color w:val="2A6099"/>
          <w:kern w:val="2"/>
          <w:sz w:val="30"/>
          <w:szCs w:val="30"/>
          <w:lang w:val="en-US" w:eastAsia="zh-CN" w:bidi="hi-IN"/>
        </w:rPr>
        <w:t xml:space="preserve">Idée générale de l’article: </w:t>
      </w:r>
    </w:p>
    <w:p>
      <w:pPr>
        <w:pStyle w:val="BodyText"/>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t xml:space="preserve"> </w:t>
      </w:r>
      <w:r>
        <w:rPr>
          <w:rFonts w:eastAsia="Noto Serif CJK SC" w:cs="Noto Sans Devanagari"/>
          <w:color w:val="auto"/>
          <w:kern w:val="2"/>
          <w:sz w:val="18"/>
          <w:szCs w:val="18"/>
          <w:lang w:val="en-US" w:eastAsia="zh-CN" w:bidi="hi-IN"/>
        </w:rPr>
        <w:t>L’article propose l’utilisation du SGDA Framework (Serious Game Design Assessment) comme outil structuré pour concevoir et évaluer les jeux sérieux, en particulier les research games. Ces jeux ont un double objectif : offrir une expérience ludique aux utilisateurs tout en permettant aux chercheurs de collecter des données ou de générer des idées. L’article démontre que ce framework peut guider efficacement la création de jeux et améliorer leur qualité globale.</w:t>
      </w:r>
    </w:p>
    <w:p>
      <w:pPr>
        <w:pStyle w:val="BodyText"/>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p>
      <w:pPr>
        <w:pStyle w:val="Heading3"/>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ascii="Liberation Serif" w:hAnsi="Liberation Serif"/>
          <w:color w:val="2A6099"/>
          <w:kern w:val="2"/>
          <w:sz w:val="30"/>
          <w:szCs w:val="30"/>
          <w:lang w:val="en-US" w:eastAsia="zh-CN" w:bidi="hi-IN"/>
        </w:rPr>
        <w:t>Critères d’évaluation des Serious Games et analyse multicritères</w:t>
      </w:r>
    </w:p>
    <w:p>
      <w:pPr>
        <w:pStyle w:val="BodyText"/>
        <w:rPr/>
      </w:pPr>
      <w:r>
        <w:rPr>
          <w:sz w:val="20"/>
          <w:szCs w:val="20"/>
        </w:rPr>
        <w:t xml:space="preserve">Dans cet article, les auteurs proposent une approche structurée pour l’évaluation des Serious Games à travers le </w:t>
      </w:r>
      <w:r>
        <w:rPr>
          <w:rStyle w:val="Strong"/>
          <w:sz w:val="20"/>
          <w:szCs w:val="20"/>
        </w:rPr>
        <w:t>SGDA Framework (Serious Game Design Assessment)</w:t>
      </w:r>
      <w:r>
        <w:rPr>
          <w:sz w:val="20"/>
          <w:szCs w:val="20"/>
        </w:rPr>
        <w:t>. Ce cadre repose sur un ensemble de critères permettant d’analyser un jeu de manière globale et cohérente.</w:t>
      </w:r>
    </w:p>
    <w:p>
      <w:pPr>
        <w:pStyle w:val="Heading4"/>
        <w:rPr>
          <w:sz w:val="22"/>
          <w:szCs w:val="22"/>
        </w:rPr>
      </w:pPr>
      <w:r>
        <w:rPr>
          <w:rFonts w:eastAsia="Noto Serif CJK SC" w:cs="Noto Sans Devanagari"/>
          <w:b/>
          <w:bCs/>
          <w:color w:val="FF8000"/>
          <w:kern w:val="2"/>
          <w:sz w:val="22"/>
          <w:szCs w:val="22"/>
          <w:lang w:val="en-US" w:eastAsia="zh-CN" w:bidi="hi-IN"/>
        </w:rPr>
        <w:t>1.</w:t>
      </w:r>
      <w:r>
        <w:rPr>
          <w:sz w:val="22"/>
          <w:szCs w:val="22"/>
        </w:rPr>
        <w:t xml:space="preserve"> </w:t>
      </w:r>
      <w:r>
        <w:rPr>
          <w:color w:val="FF8000"/>
          <w:sz w:val="22"/>
          <w:szCs w:val="22"/>
        </w:rPr>
        <w:t>Les critères d’évaluation :</w:t>
      </w:r>
    </w:p>
    <w:p>
      <w:pPr>
        <w:pStyle w:val="BodyText"/>
        <w:rPr/>
      </w:pPr>
      <w:r>
        <w:rPr>
          <w:sz w:val="20"/>
          <w:szCs w:val="20"/>
        </w:rPr>
        <w:t xml:space="preserve">Le SGDA Framework identifie six critères fondamentaux ( </w:t>
      </w:r>
      <w:r>
        <w:rPr/>
        <w:t xml:space="preserve">Le jeu est analysé selon 6 composantes ) </w:t>
      </w:r>
      <w:r>
        <w:rPr>
          <w:sz w:val="20"/>
          <w:szCs w:val="20"/>
        </w:rPr>
        <w:t>:</w:t>
      </w:r>
    </w:p>
    <w:p>
      <w:pPr>
        <w:pStyle w:val="BodyText"/>
        <w:numPr>
          <w:ilvl w:val="0"/>
          <w:numId w:val="1"/>
        </w:numPr>
        <w:tabs>
          <w:tab w:val="clear" w:pos="709"/>
          <w:tab w:val="left" w:pos="0" w:leader="none"/>
        </w:tabs>
        <w:ind w:hanging="283" w:start="709"/>
        <w:rPr/>
      </w:pPr>
      <w:r>
        <w:rPr>
          <w:rStyle w:val="Strong"/>
          <w:sz w:val="20"/>
          <w:szCs w:val="20"/>
        </w:rPr>
        <w:t>Purpose (Objectif)</w:t>
      </w:r>
      <w:r>
        <w:rPr>
          <w:sz w:val="20"/>
          <w:szCs w:val="20"/>
        </w:rPr>
        <w:t xml:space="preserve"> :</w:t>
        <w:br/>
        <w:t>Ce critère correspond au but principal du jeu ainsi qu’à l’impact attendu sur les utilisateurs. Il s’agit d’évaluer dans quelle mesure le jeu atteint ses objectifs, tels que l’apprentissage, la sensibilisation ou la collecte de données.</w:t>
      </w:r>
    </w:p>
    <w:p>
      <w:pPr>
        <w:pStyle w:val="BodyText"/>
        <w:numPr>
          <w:ilvl w:val="0"/>
          <w:numId w:val="1"/>
        </w:numPr>
        <w:tabs>
          <w:tab w:val="clear" w:pos="709"/>
          <w:tab w:val="left" w:pos="0" w:leader="none"/>
        </w:tabs>
        <w:ind w:hanging="283" w:start="709"/>
        <w:rPr/>
      </w:pPr>
      <w:r>
        <w:rPr>
          <w:rStyle w:val="Strong"/>
          <w:sz w:val="20"/>
          <w:szCs w:val="20"/>
        </w:rPr>
        <w:t>Content &amp; Information (Contenu)</w:t>
      </w:r>
      <w:r>
        <w:rPr>
          <w:sz w:val="20"/>
          <w:szCs w:val="20"/>
        </w:rPr>
        <w:t xml:space="preserve"> :</w:t>
        <w:br/>
        <w:t>Il concerne l’ensemble des informations présentées dans le jeu, comme les scénarios, les cartes ou les données. L’évaluation porte sur la pertinence, la qualité et l’utilité de ces contenus pour les joueurs.</w:t>
      </w:r>
    </w:p>
    <w:p>
      <w:pPr>
        <w:pStyle w:val="BodyText"/>
        <w:numPr>
          <w:ilvl w:val="0"/>
          <w:numId w:val="1"/>
        </w:numPr>
        <w:tabs>
          <w:tab w:val="clear" w:pos="709"/>
          <w:tab w:val="left" w:pos="0" w:leader="none"/>
        </w:tabs>
        <w:ind w:hanging="283" w:start="709"/>
        <w:rPr/>
      </w:pPr>
      <w:r>
        <w:rPr>
          <w:rStyle w:val="Strong"/>
          <w:sz w:val="20"/>
          <w:szCs w:val="20"/>
        </w:rPr>
        <w:t>Mechanics (Mécaniques de jeu)</w:t>
      </w:r>
      <w:r>
        <w:rPr>
          <w:sz w:val="20"/>
          <w:szCs w:val="20"/>
        </w:rPr>
        <w:t xml:space="preserve"> :</w:t>
        <w:br/>
        <w:t>Ce critère regroupe les règles et les interactions proposées par le jeu (système de points, progression, récompenses, etc.). Il permet de vérifier si ces mécaniques encouragent les comportements attendus chez les joueurs.</w:t>
      </w:r>
    </w:p>
    <w:p>
      <w:pPr>
        <w:pStyle w:val="BodyText"/>
        <w:numPr>
          <w:ilvl w:val="0"/>
          <w:numId w:val="1"/>
        </w:numPr>
        <w:tabs>
          <w:tab w:val="clear" w:pos="709"/>
          <w:tab w:val="left" w:pos="0" w:leader="none"/>
        </w:tabs>
        <w:ind w:hanging="283" w:start="709"/>
        <w:rPr/>
      </w:pPr>
      <w:r>
        <w:rPr>
          <w:rStyle w:val="Strong"/>
          <w:sz w:val="20"/>
          <w:szCs w:val="20"/>
        </w:rPr>
        <w:t>Fiction &amp; Narrative (Narration)</w:t>
      </w:r>
      <w:r>
        <w:rPr>
          <w:sz w:val="20"/>
          <w:szCs w:val="20"/>
        </w:rPr>
        <w:t xml:space="preserve"> :</w:t>
        <w:br/>
        <w:t>Il s’agit du contexte ou de l’histoire dans laquelle le joueur évolue. Une bonne narration doit favoriser l’immersion et stimuler la réflexion ou la créativité des participants.</w:t>
      </w:r>
    </w:p>
    <w:p>
      <w:pPr>
        <w:pStyle w:val="BodyText"/>
        <w:numPr>
          <w:ilvl w:val="0"/>
          <w:numId w:val="1"/>
        </w:numPr>
        <w:tabs>
          <w:tab w:val="clear" w:pos="709"/>
          <w:tab w:val="left" w:pos="0" w:leader="none"/>
        </w:tabs>
        <w:ind w:hanging="283" w:start="709"/>
        <w:rPr/>
      </w:pPr>
      <w:r>
        <w:rPr>
          <w:rStyle w:val="Strong"/>
          <w:sz w:val="20"/>
          <w:szCs w:val="20"/>
        </w:rPr>
        <w:t>Aesthetics &amp; Graphics (Aspect visuel)</w:t>
      </w:r>
      <w:r>
        <w:rPr>
          <w:sz w:val="20"/>
          <w:szCs w:val="20"/>
        </w:rPr>
        <w:t xml:space="preserve"> :</w:t>
        <w:br/>
        <w:t>Ce critère concerne le design graphique du jeu, incluant les interfaces, les couleurs et les éléments visuels. L’objectif est d’évaluer la clarté, l’attractivité et la facilité de compréhension.</w:t>
      </w:r>
    </w:p>
    <w:p>
      <w:pPr>
        <w:pStyle w:val="BodyText"/>
        <w:numPr>
          <w:ilvl w:val="0"/>
          <w:numId w:val="1"/>
        </w:numPr>
        <w:tabs>
          <w:tab w:val="clear" w:pos="709"/>
          <w:tab w:val="left" w:pos="0" w:leader="none"/>
        </w:tabs>
        <w:ind w:hanging="283" w:start="709"/>
        <w:rPr/>
      </w:pPr>
      <w:r>
        <w:rPr>
          <w:rStyle w:val="Strong"/>
          <w:sz w:val="20"/>
          <w:szCs w:val="20"/>
        </w:rPr>
        <w:t>Framing (Adaptation au public)</w:t>
      </w:r>
      <w:r>
        <w:rPr>
          <w:sz w:val="20"/>
          <w:szCs w:val="20"/>
        </w:rPr>
        <w:t xml:space="preserve"> :</w:t>
        <w:br/>
        <w:t>Il désigne l’adéquation du jeu avec son public cible (âge, niveau d’expérience, familiarité avec les jeux). Ce critère permet de vérifier si le jeu est accessible, compréhensible et adapté aux utilisateurs.</w:t>
      </w:r>
    </w:p>
    <w:p>
      <w:pPr>
        <w:pStyle w:val="BodyText"/>
        <w:rPr>
          <w:sz w:val="20"/>
          <w:szCs w:val="20"/>
        </w:rPr>
      </w:pPr>
      <w:r>
        <w:rPr>
          <w:sz w:val="20"/>
          <w:szCs w:val="20"/>
        </w:rPr>
        <w:t>En complément de ces six dimensions, un critère global est essentiel :</w:t>
      </w:r>
    </w:p>
    <w:p>
      <w:pPr>
        <w:pStyle w:val="BodyText"/>
        <w:numPr>
          <w:ilvl w:val="0"/>
          <w:numId w:val="2"/>
        </w:numPr>
        <w:tabs>
          <w:tab w:val="clear" w:pos="709"/>
          <w:tab w:val="left" w:pos="0" w:leader="none"/>
        </w:tabs>
        <w:ind w:hanging="283" w:start="709"/>
        <w:rPr/>
      </w:pPr>
      <w:r>
        <w:rPr>
          <w:rStyle w:val="Strong"/>
          <w:sz w:val="20"/>
          <w:szCs w:val="20"/>
        </w:rPr>
        <w:t>Cohérence et Cohésion</w:t>
      </w:r>
      <w:r>
        <w:rPr>
          <w:sz w:val="20"/>
          <w:szCs w:val="20"/>
        </w:rPr>
        <w:t xml:space="preserve"> :</w:t>
        <w:br/>
        <w:t>La cohérence correspond à l’alignement de tous les éléments du jeu avec son objectif principal. La cohésion, quant à elle, renvoie à la qualité de l’intégration entre les différents composants du jeu. Un jeu efficace doit présenter une forte cohérence et une bonne cohésion entre ses éléments.</w:t>
      </w:r>
    </w:p>
    <w:p>
      <w:pPr>
        <w:pStyle w:val="HorizontalLine"/>
        <w:rPr>
          <w:sz w:val="20"/>
          <w:szCs w:val="20"/>
        </w:rPr>
      </w:pPr>
      <w:r>
        <w:rPr>
          <w:sz w:val="20"/>
          <w:szCs w:val="20"/>
        </w:rPr>
      </w:r>
    </w:p>
    <w:p>
      <w:pPr>
        <w:pStyle w:val="Heading4"/>
        <w:keepNext w:val="true"/>
        <w:widowControl/>
        <w:suppressAutoHyphens w:val="true"/>
        <w:bidi w:val="0"/>
        <w:jc w:val="start"/>
        <w:rPr>
          <w:color w:val="FF8000"/>
          <w:kern w:val="2"/>
          <w:sz w:val="22"/>
          <w:szCs w:val="22"/>
          <w:lang w:val="en-US" w:eastAsia="zh-CN" w:bidi="hi-IN"/>
        </w:rPr>
      </w:pPr>
      <w:r>
        <w:rPr>
          <w:color w:val="FF8000"/>
          <w:kern w:val="2"/>
          <w:sz w:val="22"/>
          <w:szCs w:val="22"/>
          <w:lang w:val="en-US" w:eastAsia="zh-CN" w:bidi="hi-IN"/>
        </w:rPr>
        <w:t>2. Analyse multicritères d’un jeu :</w:t>
      </w:r>
    </w:p>
    <w:p>
      <w:pPr>
        <w:pStyle w:val="BodyText"/>
        <w:rPr>
          <w:sz w:val="20"/>
          <w:szCs w:val="20"/>
        </w:rPr>
      </w:pPr>
      <w:r>
        <w:rPr>
          <w:sz w:val="20"/>
          <w:szCs w:val="20"/>
        </w:rPr>
        <w:t>L’article propose une méthode d’analyse multicritères en deux étapes principales :</w:t>
      </w:r>
    </w:p>
    <w:p>
      <w:pPr>
        <w:pStyle w:val="BodyText"/>
        <w:numPr>
          <w:ilvl w:val="0"/>
          <w:numId w:val="3"/>
        </w:numPr>
        <w:tabs>
          <w:tab w:val="clear" w:pos="709"/>
          <w:tab w:val="left" w:pos="0" w:leader="none"/>
        </w:tabs>
        <w:ind w:hanging="283" w:start="709"/>
        <w:rPr/>
      </w:pPr>
      <w:r>
        <w:rPr>
          <w:rStyle w:val="Strong"/>
          <w:sz w:val="20"/>
          <w:szCs w:val="20"/>
        </w:rPr>
        <w:t>Étape 1 : Décomposition du jeu</w:t>
      </w:r>
      <w:r>
        <w:rPr>
          <w:sz w:val="20"/>
          <w:szCs w:val="20"/>
        </w:rPr>
        <w:br/>
        <w:t>Cette étape consiste à analyser séparément chacun des critères du SGDA Framework (objectif, contenu, mécaniques, narration, esthétique et adaptation au public). Elle permet d’obtenir une vision détaillée des différentes composantes du jeu.</w:t>
      </w:r>
    </w:p>
    <w:p>
      <w:pPr>
        <w:pStyle w:val="BodyText"/>
        <w:numPr>
          <w:ilvl w:val="0"/>
          <w:numId w:val="3"/>
        </w:numPr>
        <w:tabs>
          <w:tab w:val="clear" w:pos="709"/>
          <w:tab w:val="left" w:pos="0" w:leader="none"/>
        </w:tabs>
        <w:ind w:hanging="283" w:start="709"/>
        <w:rPr/>
      </w:pPr>
      <w:r>
        <w:rPr>
          <w:rStyle w:val="Strong"/>
          <w:sz w:val="20"/>
          <w:szCs w:val="20"/>
        </w:rPr>
        <w:t>Étape 2 : Analyse des relations entre critères</w:t>
      </w:r>
      <w:r>
        <w:rPr>
          <w:sz w:val="20"/>
          <w:szCs w:val="20"/>
        </w:rPr>
        <w:br/>
        <w:t>Dans cette phase, l’évaluation porte sur les interactions entre les différents critères. Il s’agit notamment de vérifier :</w:t>
      </w:r>
    </w:p>
    <w:p>
      <w:pPr>
        <w:pStyle w:val="BodyText"/>
        <w:numPr>
          <w:ilvl w:val="1"/>
          <w:numId w:val="3"/>
        </w:numPr>
        <w:tabs>
          <w:tab w:val="clear" w:pos="709"/>
          <w:tab w:val="left" w:pos="0" w:leader="none"/>
        </w:tabs>
        <w:ind w:hanging="283" w:start="1418"/>
        <w:rPr>
          <w:sz w:val="20"/>
          <w:szCs w:val="20"/>
        </w:rPr>
      </w:pPr>
      <w:r>
        <w:rPr>
          <w:sz w:val="20"/>
          <w:szCs w:val="20"/>
        </w:rPr>
        <w:t>l’alignement des éléments (les mécaniques soutiennent-elles le contenu et l’objectif ?) ;</w:t>
      </w:r>
    </w:p>
    <w:p>
      <w:pPr>
        <w:pStyle w:val="BodyText"/>
        <w:numPr>
          <w:ilvl w:val="1"/>
          <w:numId w:val="3"/>
        </w:numPr>
        <w:tabs>
          <w:tab w:val="clear" w:pos="709"/>
          <w:tab w:val="left" w:pos="0" w:leader="none"/>
        </w:tabs>
        <w:ind w:hanging="283" w:start="1418"/>
        <w:rPr>
          <w:sz w:val="20"/>
          <w:szCs w:val="20"/>
        </w:rPr>
      </w:pPr>
      <w:r>
        <w:rPr>
          <w:sz w:val="20"/>
          <w:szCs w:val="20"/>
        </w:rPr>
        <w:t>la cohérence globale (tous les éléments contribuent-ils au même but ?) ;</w:t>
      </w:r>
    </w:p>
    <w:p>
      <w:pPr>
        <w:pStyle w:val="BodyText"/>
        <w:numPr>
          <w:ilvl w:val="1"/>
          <w:numId w:val="3"/>
        </w:numPr>
        <w:tabs>
          <w:tab w:val="clear" w:pos="709"/>
          <w:tab w:val="left" w:pos="0" w:leader="none"/>
        </w:tabs>
        <w:ind w:hanging="283" w:start="1418"/>
        <w:rPr>
          <w:sz w:val="20"/>
          <w:szCs w:val="20"/>
        </w:rPr>
      </w:pPr>
      <w:r>
        <w:rPr>
          <w:sz w:val="20"/>
          <w:szCs w:val="20"/>
        </w:rPr>
        <w:t>la cohésion du système (les composants du jeu fonctionnent-ils harmonieusement ensemble ?).</w:t>
      </w:r>
    </w:p>
    <w:p>
      <w:pPr>
        <w:pStyle w:val="BodyText"/>
        <w:rPr>
          <w:sz w:val="20"/>
          <w:szCs w:val="20"/>
        </w:rPr>
      </w:pPr>
      <w:r>
        <w:rPr>
          <w:sz w:val="20"/>
          <w:szCs w:val="20"/>
        </w:rPr>
        <w:t>Ainsi, l’analyse multicritères ne se limite pas à une évaluation isolée des dimensions, mais prend en compte leurs interactions. Cette approche permet d’obtenir une évaluation plus complète et plus fiable de la qualité d’un Serious Game.</w:t>
      </w:r>
    </w:p>
    <w:p>
      <w:pPr>
        <w:pStyle w:val="HorizontalLine"/>
        <w:rPr>
          <w:sz w:val="20"/>
          <w:szCs w:val="20"/>
        </w:rPr>
      </w:pPr>
      <w:r>
        <w:rPr>
          <w:sz w:val="20"/>
          <w:szCs w:val="20"/>
        </w:rPr>
      </w:r>
    </w:p>
    <w:p>
      <w:pPr>
        <w:pStyle w:val="Heading4"/>
        <w:rPr>
          <w:sz w:val="20"/>
          <w:szCs w:val="20"/>
        </w:rPr>
      </w:pPr>
      <w:r>
        <w:rPr>
          <w:sz w:val="20"/>
          <w:szCs w:val="20"/>
        </w:rPr>
        <w:t>Conclusion</w:t>
      </w:r>
    </w:p>
    <w:p>
      <w:pPr>
        <w:pStyle w:val="BodyText"/>
        <w:rPr>
          <w:sz w:val="20"/>
          <w:szCs w:val="20"/>
        </w:rPr>
      </w:pPr>
      <w:r>
        <w:rPr>
          <w:sz w:val="20"/>
          <w:szCs w:val="20"/>
        </w:rPr>
        <w:t>En résumé, le SGDA Framework propose une évaluation structurée basée sur plusieurs critères complémentaires. L’efficacité d’un jeu ne dépend pas uniquement de la qualité de ses composantes individuelles, mais surtout de leur cohérence et de leur intégration. L’approche multicritères permet ainsi d’analyser de manière approfondie les Serious Games et constitue une base solide pour le développement de systèmes d’évaluation automatique et adaptative.</w:t>
      </w:r>
    </w:p>
    <w:p>
      <w:pPr>
        <w:pStyle w:val="BodyText"/>
        <w:widowControl/>
        <w:suppressAutoHyphens w:val="true"/>
        <w:bidi w:val="0"/>
        <w:jc w:val="start"/>
        <w:rPr>
          <w:rFonts w:eastAsia="Noto Serif CJK SC" w:cs="Noto Sans Devanagari"/>
          <w:color w:val="2A6099"/>
          <w:kern w:val="2"/>
          <w:lang w:val="en-US" w:eastAsia="zh-CN" w:bidi="hi-IN"/>
        </w:rPr>
      </w:pPr>
      <w:r>
        <w:rPr>
          <w:rFonts w:eastAsia="Noto Serif CJK SC" w:cs="Noto Sans Devanagari"/>
          <w:color w:val="2A6099"/>
          <w:kern w:val="2"/>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eastAsia="Noto Serif CJK SC" w:cs="Noto Sans Devanagari"/>
          <w:color w:val="2A6099"/>
          <w:kern w:val="2"/>
          <w:sz w:val="30"/>
          <w:szCs w:val="30"/>
          <w:lang w:val="en-US" w:eastAsia="zh-CN" w:bidi="hi-IN"/>
        </w:rPr>
      </w:pPr>
      <w:r>
        <w:rPr>
          <w:rFonts w:eastAsia="Noto Serif CJK SC" w:cs="Noto Sans Devanagari"/>
          <w:color w:val="2A6099"/>
          <w:kern w:val="2"/>
          <w:sz w:val="30"/>
          <w:szCs w:val="30"/>
          <w:lang w:val="en-US" w:eastAsia="zh-CN" w:bidi="hi-IN"/>
        </w:rPr>
      </w:r>
    </w:p>
    <w:p>
      <w:pPr>
        <w:pStyle w:val="BodyText"/>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p>
      <w:pPr>
        <w:pStyle w:val="BodyText"/>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p>
      <w:pPr>
        <w:pStyle w:val="BodyText"/>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p>
      <w:pPr>
        <w:pStyle w:val="BodyText"/>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p>
      <w:pPr>
        <w:pStyle w:val="BodyText"/>
        <w:widowControl/>
        <w:suppressAutoHyphens w:val="true"/>
        <w:bidi w:val="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p>
      <w:pPr>
        <w:pStyle w:val="BodyText"/>
        <w:widowControl/>
        <w:suppressAutoHyphens w:val="true"/>
        <w:bidi w:val="0"/>
        <w:spacing w:before="0" w:after="140"/>
        <w:jc w:val="start"/>
        <w:rPr>
          <w:rFonts w:ascii="Liberation Serif" w:hAnsi="Liberation Serif" w:eastAsia="Noto Serif CJK SC" w:cs="Noto Sans Devanagari"/>
          <w:color w:val="auto"/>
          <w:kern w:val="2"/>
          <w:sz w:val="18"/>
          <w:szCs w:val="18"/>
          <w:lang w:val="en-US" w:eastAsia="zh-CN" w:bidi="hi-IN"/>
        </w:rPr>
      </w:pPr>
      <w:r>
        <w:rPr>
          <w:rFonts w:eastAsia="Noto Serif CJK SC" w:cs="Noto Sans Devanagari"/>
          <w:color w:val="auto"/>
          <w:kern w:val="2"/>
          <w:sz w:val="18"/>
          <w:szCs w:val="18"/>
          <w:lang w:val="en-US" w:eastAsia="zh-CN" w:bidi="hi-IN"/>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Inter Var">
    <w:altName w:val="Inter"/>
    <w:charset w:val="01" w:characterSet="utf-8"/>
    <w:family w:val="roman"/>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4"/>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1">
    <w:name w:val="1"/>
    <w:basedOn w:val="Normal"/>
    <w:qFormat/>
    <w:pPr/>
    <w:rPr>
      <w:sz w:val="18"/>
      <w:szCs w:val="18"/>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177/1046878118808826"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336</TotalTime>
  <Application>LibreOffice/24.2.7.2$Linux_X86_64 LibreOffice_project/420$Build-2</Application>
  <AppVersion>15.0000</AppVersion>
  <Pages>4</Pages>
  <Words>846</Words>
  <Characters>4793</Characters>
  <CharactersWithSpaces>5579</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2026-03-16T01:12:25Z</dcterms:created>
  <dc:creator/>
  <dc:description/>
  <dc:language>en-US</dc:language>
  <cp:lastModifiedBy/>
  <cp:lastPrinted>2026-03-19T16:13:32Z</cp:lastPrinted>
  <dcterms:modified xsi:type="dcterms:W3CDTF">2026-03-19T18:11:14Z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