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Mini-DeepClone PoC v1</w:t>
        <w:br/>
        <w:t>Final Experiment Summary</w:t>
      </w:r>
    </w:p>
    <w:p>
      <w:pPr>
        <w:jc w:val="center"/>
      </w:pPr>
      <w:r>
        <w:rPr>
          <w:b/>
        </w:rPr>
        <w:t>Semantic A-CFG + Graph Encoder for Cross-Optimization Binary Function Similarity</w:t>
      </w:r>
    </w:p>
    <w:p>
      <w:pPr>
        <w:pStyle w:val="Heading1"/>
      </w:pPr>
      <w:r>
        <w:t>1. Objective</w:t>
      </w:r>
    </w:p>
    <w:p>
      <w:r>
        <w:t>The Mini-DeepClone PoC evaluates whether a learned graph representation can identify semantically equivalent binary functions despite compiler-induced changes in instructions and control-flow structure. The final frozen pipeline uses automatic function extraction, basic-block construction, a semantic attributed control-flow graph (A-CFG) with 29-dimensional node features, a GCN encoder, 16-dimensional function embeddings, and cosine similarity.</w:t>
      </w:r>
    </w:p>
    <w:p>
      <w:pPr>
        <w:pStyle w:val="Heading1"/>
      </w:pPr>
      <w:r>
        <w:t>2. Frozen Pipeline</w:t>
      </w:r>
    </w:p>
    <w:p>
      <w:r>
        <w:drawing>
          <wp:inline xmlns:a="http://schemas.openxmlformats.org/drawingml/2006/main" xmlns:pic="http://schemas.openxmlformats.org/drawingml/2006/picture">
            <wp:extent cx="6492240" cy="1501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iniDeepClon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0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Mini-DeepClone PoC v1 frozen binary-similarity pipeline.</w:t>
      </w:r>
    </w:p>
    <w:p>
      <w:pPr>
        <w:pStyle w:val="Heading1"/>
      </w:pPr>
      <w:r>
        <w:t>3. Experimental Design</w:t>
      </w:r>
    </w:p>
    <w:p>
      <w:pPr>
        <w:pStyle w:val="ListBullet"/>
      </w:pPr>
      <w:r>
        <w:t>Compiler variants: Clang -O0, -O1, -O2, and -O3.</w:t>
      </w:r>
    </w:p>
    <w:p>
      <w:pPr>
        <w:pStyle w:val="ListBullet"/>
      </w:pPr>
      <w:r>
        <w:t>Training/development phase: 10 Phase-1 training families with balanced positive/negative pairs.</w:t>
      </w:r>
    </w:p>
    <w:p>
      <w:pPr>
        <w:pStyle w:val="ListBullet"/>
      </w:pPr>
      <w:r>
        <w:t>Independent Phase-2 evaluation: 10 previously unseen function families, 40 graph samples, and 120 balanced pairs (60 positive / 60 negative).</w:t>
      </w:r>
    </w:p>
    <w:p>
      <w:pPr>
        <w:pStyle w:val="ListBullet"/>
      </w:pPr>
      <w:r>
        <w:t>Graph Encoder evaluation: five random seeds (42, 123, 2026, 7, 99).</w:t>
      </w:r>
    </w:p>
    <w:p>
      <w:pPr>
        <w:pStyle w:val="ListBullet"/>
      </w:pPr>
      <w:r>
        <w:t>Classification threshold: fixed at cosine similarity &gt;= 0.5; no Phase-2 threshold tuning.</w:t>
      </w:r>
    </w:p>
    <w:p>
      <w:pPr>
        <w:pStyle w:val="ListBullet"/>
      </w:pPr>
      <w:r>
        <w:t>Phase-2 families were not used for model training; the frozen Phase-1 protocol was used for evaluation.</w:t>
      </w:r>
    </w:p>
    <w:p>
      <w:pPr>
        <w:pStyle w:val="Heading1"/>
      </w:pPr>
      <w:r>
        <w:t>4. Phase-1 Development Checkpoint</w:t>
      </w:r>
    </w:p>
    <w:p>
      <w:r>
        <w:t>Phase 1 is a development/PoC checkpoint and should not be treated as the final generalization result because the representation and training coverage were refined iteratively.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Accuracy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0.9500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0.0692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0.9401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0.0851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0.9667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0.0745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0.9514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0.0682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Separation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0.8068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0.1043</w:t>
            </w:r>
          </w:p>
        </w:tc>
      </w:tr>
    </w:tbl>
    <w:p>
      <w:pPr>
        <w:pStyle w:val="Heading1"/>
      </w:pPr>
      <w:r>
        <w:t>5. Phase-2 Independent Evaluation</w:t>
      </w:r>
    </w:p>
    <w:p>
      <w:r>
        <w:t>Phase 2 is the main generalization result. It uses 10 previously unseen function families and 120 balanced pairs. The Graph Encoder was trained only with the frozen Phase-1 training manifest and was evaluated on Phase 2 without further tuning.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Handcrafted A-CFG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Graph Encoder Mean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Graph Encoder Std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Accuracy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0.5583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0.7517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0.0037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0.5660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0.7071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0.0093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0.5000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0.8600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0.0224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0.5310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0.7759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0.0045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Separation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0.1937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0.4755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0.0318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597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Phase2_Metho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Phase-2 comparison of Handcrafted A-CFG and Graph Encoder.</w:t>
      </w:r>
    </w:p>
    <w:p>
      <w:r>
        <w:drawing>
          <wp:inline xmlns:a="http://schemas.openxmlformats.org/drawingml/2006/main" xmlns:pic="http://schemas.openxmlformats.org/drawingml/2006/picture">
            <wp:extent cx="6217920" cy="359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hase2_Similarity_Sepa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9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Positive/negative similarity means and embedding separation on Phase 2.</w:t>
      </w:r>
    </w:p>
    <w:p>
      <w:pPr>
        <w:pStyle w:val="Heading1"/>
      </w:pPr>
      <w:r>
        <w:t>6. Main Findings</w:t>
      </w:r>
    </w:p>
    <w:p>
      <w:pPr>
        <w:pStyle w:val="ListBullet"/>
      </w:pPr>
      <w:r>
        <w:t>On the independent Phase-2 set, the frozen Graph Encoder achieved F1 = 0.7759 ± 0.0045, compared with 0.5310 for the handcrafted A-CFG baseline.</w:t>
      </w:r>
    </w:p>
    <w:p>
      <w:pPr>
        <w:pStyle w:val="ListBullet"/>
      </w:pPr>
      <w:r>
        <w:t>Graph Encoder embedding separation was 0.4755 ± 0.0318, compared with 0.1937 for direct handcrafted feature matching.</w:t>
      </w:r>
    </w:p>
    <w:p>
      <w:pPr>
        <w:pStyle w:val="ListBullet"/>
      </w:pPr>
      <w:r>
        <w:t>The Graph Encoder showed strong cross-seed stability on Phase 2; the F1 standard deviation was only 0.0045.</w:t>
      </w:r>
    </w:p>
    <w:p>
      <w:pPr>
        <w:pStyle w:val="ListBullet"/>
      </w:pPr>
      <w:r>
        <w:t>Recall (0.8600 ± 0.0224) remained higher than precision (0.7071 ± 0.0093), indicating that the frozen model still tends to generate more false positives than false negatives.</w:t>
      </w:r>
    </w:p>
    <w:p>
      <w:pPr>
        <w:pStyle w:val="ListBullet"/>
      </w:pPr>
      <w:r>
        <w:t>Phase-1 performance was higher than Phase-2 performance, reinforcing the importance of reporting the independent Phase-2 result as the primary generalization evidence.</w:t>
      </w:r>
    </w:p>
    <w:p>
      <w:pPr>
        <w:pStyle w:val="Heading1"/>
      </w:pPr>
      <w:r>
        <w:t>7. Interpretation and Limitations</w:t>
      </w:r>
    </w:p>
    <w:p>
      <w:r>
        <w:t>The current evidence supports the conclusion that, on this controlled independent evaluation, the learned graph representation improves cross-optimization binary function similarity detection over direct handcrafted A-CFG feature matching. The result should not be overstated: the project remains a PoC, the independent set contains 10 unseen families, and the evaluation uses a fixed small-scale compiler/architecture setting. Future work should evaluate larger and more diverse function corpora, additional compilers/architectures, and a held-out evaluation set for any revised model.</w:t>
      </w:r>
    </w:p>
    <w:p>
      <w:pPr>
        <w:pStyle w:val="Heading1"/>
      </w:pPr>
      <w:r>
        <w:t>8. Paper-Ready Result Statement</w:t>
      </w:r>
    </w:p>
    <w:p>
      <w:r>
        <w:t>On an independent evaluation set of 10 previously unseen function families and 120 balanced function pairs, the frozen Mini-DeepClone graph encoder achieved an average F1-score of 0.7759 ± 0.0045 across five random seeds, outperforming a handcrafted A-CFG baseline (F1 = 0.5310). The learned representation also increased positive-vs-negative embedding separation from 0.1937 to 0.4755 ± 0.0318.</w:t>
      </w:r>
    </w:p>
    <w:p>
      <w:r>
        <w:drawing>
          <wp:inline xmlns:a="http://schemas.openxmlformats.org/drawingml/2006/main" xmlns:pic="http://schemas.openxmlformats.org/drawingml/2006/picture">
            <wp:extent cx="5943600" cy="3653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hase1_vs_Phas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Phase-1 development checkpoint versus Phase-2 independent Graph Encoder evaluation.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