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990" w:rsidRPr="00D52D39" w:rsidRDefault="003E3FF5" w:rsidP="003E3FF5">
      <w:pPr>
        <w:spacing w:after="0" w:line="240" w:lineRule="auto"/>
        <w:jc w:val="center"/>
        <w:rPr>
          <w:b/>
        </w:rPr>
      </w:pPr>
      <w:r w:rsidRPr="00D52D39">
        <w:rPr>
          <w:b/>
        </w:rPr>
        <w:t>Developmental Delays in Vulnerable Children</w:t>
      </w:r>
    </w:p>
    <w:p w:rsidR="00003A01" w:rsidRPr="00D52D39" w:rsidRDefault="00003A01" w:rsidP="00003A01">
      <w:pPr>
        <w:spacing w:after="0" w:line="240" w:lineRule="auto"/>
      </w:pPr>
    </w:p>
    <w:p w:rsidR="0051171D" w:rsidRPr="00D52D39" w:rsidRDefault="003E5E3E" w:rsidP="0032464D">
      <w:pPr>
        <w:spacing w:after="0" w:line="240" w:lineRule="auto"/>
        <w:jc w:val="center"/>
        <w:rPr>
          <w:b/>
        </w:rPr>
      </w:pPr>
      <w:r w:rsidRPr="00D52D39">
        <w:rPr>
          <w:b/>
        </w:rPr>
        <w:t>Abstract</w:t>
      </w:r>
    </w:p>
    <w:p w:rsidR="00DD3B32" w:rsidRPr="00D52D39" w:rsidRDefault="00DD3B32" w:rsidP="00003A01">
      <w:pPr>
        <w:spacing w:after="0" w:line="240" w:lineRule="auto"/>
      </w:pPr>
    </w:p>
    <w:p w:rsidR="0083062C" w:rsidRPr="006C262B" w:rsidRDefault="006C262B" w:rsidP="008856DA">
      <w:pPr>
        <w:spacing w:after="240" w:line="360" w:lineRule="auto"/>
        <w:rPr>
          <w:b/>
        </w:rPr>
      </w:pPr>
      <w:r w:rsidRPr="006C262B">
        <w:rPr>
          <w:b/>
        </w:rPr>
        <w:t>Objective:</w:t>
      </w:r>
      <w:r>
        <w:t xml:space="preserve"> </w:t>
      </w:r>
      <w:r w:rsidRPr="00D52D39">
        <w:t>Developmental and behavioral difficulties (DBDs) are estimated to cost society nearly 250 billion dollars per year</w:t>
      </w:r>
      <w:r>
        <w:t xml:space="preserve">.  </w:t>
      </w:r>
      <w:r>
        <w:rPr>
          <w:b/>
        </w:rPr>
        <w:t>Method:</w:t>
      </w:r>
      <w:r w:rsidRPr="006C262B">
        <w:rPr>
          <w:rFonts w:cstheme="minorHAnsi"/>
        </w:rPr>
        <w:t xml:space="preserve"> </w:t>
      </w:r>
      <w:r>
        <w:rPr>
          <w:rFonts w:cstheme="minorHAnsi"/>
        </w:rPr>
        <w:t>Utilizing a longitudinal REDCap survey given in the hom, this</w:t>
      </w:r>
      <w:r w:rsidRPr="00D52D39">
        <w:rPr>
          <w:rFonts w:cstheme="minorHAnsi"/>
        </w:rPr>
        <w:t xml:space="preserve"> study is </w:t>
      </w:r>
      <w:r>
        <w:rPr>
          <w:rFonts w:cstheme="minorHAnsi"/>
        </w:rPr>
        <w:t>collecting data from vulnerable</w:t>
      </w:r>
      <w:r w:rsidRPr="00D52D39">
        <w:rPr>
          <w:rFonts w:cstheme="minorHAnsi"/>
        </w:rPr>
        <w:t xml:space="preserve"> families in four Oklahoma counties (Oklahoma, Tuls</w:t>
      </w:r>
      <w:r>
        <w:rPr>
          <w:rFonts w:cstheme="minorHAnsi"/>
        </w:rPr>
        <w:t xml:space="preserve">a, Muskogee, and Comanche).  </w:t>
      </w:r>
      <w:r w:rsidRPr="00D52D39">
        <w:rPr>
          <w:rFonts w:cstheme="minorHAnsi"/>
        </w:rPr>
        <w:t xml:space="preserve"> </w:t>
      </w:r>
      <w:r>
        <w:rPr>
          <w:rFonts w:cstheme="minorHAnsi"/>
        </w:rPr>
        <w:t xml:space="preserve">This in-home survey was given to 1204 vulnerable families.  The survey included several screening questions regaring general developmentla and emotional delays, autism spectrum disorders, child sexual behavior problems, and child abuse potential.  </w:t>
      </w:r>
      <w:bookmarkStart w:id="0" w:name="_GoBack"/>
      <w:bookmarkEnd w:id="0"/>
    </w:p>
    <w:p w:rsidR="00DD3B32" w:rsidRDefault="0083062C" w:rsidP="0083062C">
      <w:pPr>
        <w:spacing w:after="240" w:line="360" w:lineRule="auto"/>
        <w:jc w:val="center"/>
        <w:rPr>
          <w:b/>
        </w:rPr>
      </w:pPr>
      <w:r>
        <w:rPr>
          <w:b/>
        </w:rPr>
        <w:t>Introduction</w:t>
      </w:r>
    </w:p>
    <w:p w:rsidR="0083062C" w:rsidRDefault="0083062C" w:rsidP="0083062C">
      <w:pPr>
        <w:spacing w:after="240" w:line="360" w:lineRule="auto"/>
      </w:pPr>
      <w:r w:rsidRPr="00D52D39">
        <w:t xml:space="preserve">Developmental and behavioral difficulties (DBDs) are estimated to cost society nearly 250 billion dollars per year. </w:t>
      </w:r>
      <w:r>
        <w:t>These costs include, but are not limited to healthcare, special education services, juvenile just services, and decreased productivity.  Children with DBD’s often grown up to have issues with substance abuse and criminal behavior, suicidal tendencies</w:t>
      </w:r>
      <w:proofErr w:type="gramStart"/>
      <w:r>
        <w:t>,  or</w:t>
      </w:r>
      <w:proofErr w:type="gramEnd"/>
      <w:r>
        <w:t xml:space="preserve"> other risk-taking behaviors (CDC 2013).  It is also common for these children to have more chronic health problems as they age into adulthood.  </w:t>
      </w:r>
      <w:r w:rsidRPr="00D52D39">
        <w:t>With prevalence of DBDs on the rise, the economic gradient is steepening.  DBDs predominantly persist among two groups of vulnerable children: 1) those susceptible to child abuse or neglect due to insufficient care or nurturance; and 2) those, who despite adequate care, suffer developmental and/or behavioral delays or disorders from a very early age.  Both groups of children are disproportionately represented among low SES families.  When gone unnoticed and untreated, the price of DBDs and the number of ensuing negative impacts increases. Fortunately, early interventions have proven effective at remediating and preventing many DBDs, but current resources for early DBD identification are extremely limited.  The present study examines prevalence of DBDs among a sample of highly vulnerable children in Oklahoma, and attempts build the case for wise use of existing and future resources aimed at targeted therapeutic efforts</w:t>
      </w:r>
      <w:r>
        <w:t>.</w:t>
      </w:r>
    </w:p>
    <w:p w:rsidR="00F56990" w:rsidRPr="00D52D39" w:rsidRDefault="00F56990" w:rsidP="008856DA">
      <w:pPr>
        <w:spacing w:after="240" w:line="360" w:lineRule="auto"/>
        <w:jc w:val="center"/>
        <w:rPr>
          <w:b/>
        </w:rPr>
      </w:pPr>
      <w:r w:rsidRPr="00D52D39">
        <w:rPr>
          <w:b/>
        </w:rPr>
        <w:t>Method</w:t>
      </w:r>
      <w:r w:rsidR="008856DA">
        <w:rPr>
          <w:b/>
        </w:rPr>
        <w:t>s</w:t>
      </w:r>
    </w:p>
    <w:p w:rsidR="00B35CF3" w:rsidRPr="00D52D39" w:rsidRDefault="00B35CF3" w:rsidP="008856DA">
      <w:pPr>
        <w:spacing w:after="240" w:line="360" w:lineRule="auto"/>
        <w:jc w:val="center"/>
        <w:rPr>
          <w:b/>
        </w:rPr>
      </w:pPr>
      <w:r w:rsidRPr="00D52D39">
        <w:rPr>
          <w:b/>
        </w:rPr>
        <w:t>Study Design</w:t>
      </w:r>
    </w:p>
    <w:p w:rsidR="00B35CF3" w:rsidRPr="00D52D39" w:rsidRDefault="00B35CF3" w:rsidP="008856DA">
      <w:pPr>
        <w:spacing w:after="240" w:line="360" w:lineRule="auto"/>
        <w:rPr>
          <w:rFonts w:cstheme="minorHAnsi"/>
        </w:rPr>
      </w:pPr>
      <w:r w:rsidRPr="00D52D39">
        <w:rPr>
          <w:rFonts w:cstheme="minorHAnsi"/>
        </w:rPr>
        <w:t>This evaluation is a part of a bigger research study that is evaluating home-visiting program in accordance with the Maternal Infant Early Childhood Home-Visitation</w:t>
      </w:r>
      <w:r w:rsidR="00BC01F2" w:rsidRPr="00D52D39">
        <w:rPr>
          <w:rFonts w:cstheme="minorHAnsi"/>
        </w:rPr>
        <w:t xml:space="preserve"> (MIECHV) evaluation</w:t>
      </w:r>
      <w:r w:rsidRPr="00D52D39">
        <w:rPr>
          <w:rFonts w:cstheme="minorHAnsi"/>
        </w:rPr>
        <w:t xml:space="preserve">.  Using a </w:t>
      </w:r>
      <w:r w:rsidRPr="00D52D39">
        <w:rPr>
          <w:rFonts w:cstheme="minorHAnsi"/>
        </w:rPr>
        <w:lastRenderedPageBreak/>
        <w:t xml:space="preserve">mixed-method (quantitative/qualitative) approach, the study is employing a community survey to </w:t>
      </w:r>
      <w:r w:rsidR="006C262B">
        <w:rPr>
          <w:rFonts w:cstheme="minorHAnsi"/>
          <w:b/>
        </w:rPr>
        <w:t>vulnerable</w:t>
      </w:r>
      <w:r w:rsidRPr="00D52D39">
        <w:rPr>
          <w:rFonts w:cstheme="minorHAnsi"/>
        </w:rPr>
        <w:t xml:space="preserve"> families in four Oklahoma counties (Oklahoma, Tulsa, Muskogee, and Comanche).  These families are participating in a longitudinal survey that is given in their home </w:t>
      </w:r>
      <w:r w:rsidR="00BC01F2" w:rsidRPr="00D52D39">
        <w:rPr>
          <w:rFonts w:cstheme="minorHAnsi"/>
        </w:rPr>
        <w:t xml:space="preserve">using REDCap data capture software on laptop computers.  </w:t>
      </w:r>
    </w:p>
    <w:p w:rsidR="00BC01F2" w:rsidRPr="00D52D39" w:rsidRDefault="00BC01F2" w:rsidP="008856DA">
      <w:pPr>
        <w:spacing w:after="240" w:line="360" w:lineRule="auto"/>
        <w:rPr>
          <w:rFonts w:cstheme="minorHAnsi"/>
        </w:rPr>
      </w:pPr>
    </w:p>
    <w:p w:rsidR="00BC01F2" w:rsidRPr="00D52D39" w:rsidRDefault="00BC01F2" w:rsidP="008856DA">
      <w:pPr>
        <w:spacing w:after="240" w:line="360" w:lineRule="auto"/>
      </w:pPr>
      <w:r w:rsidRPr="00D52D39">
        <w:rPr>
          <w:rFonts w:cstheme="minorHAnsi"/>
        </w:rPr>
        <w:t>While this evaluation is addressing five subaims related to the MIECHV evaluation goals.  This paper looks specifically at the epidemiology of disadvantaged early childhood populations with regards to developmental delays (psychometric evaluation of screen</w:t>
      </w:r>
      <w:r w:rsidR="001D30F0" w:rsidRPr="00D52D39">
        <w:rPr>
          <w:rFonts w:cstheme="minorHAnsi"/>
        </w:rPr>
        <w:t xml:space="preserve">ing instruments for Autism), </w:t>
      </w:r>
      <w:r w:rsidRPr="00D52D39">
        <w:rPr>
          <w:rFonts w:cstheme="minorHAnsi"/>
        </w:rPr>
        <w:t>child sexual behavior problems</w:t>
      </w:r>
      <w:r w:rsidR="001D30F0" w:rsidRPr="00D52D39">
        <w:rPr>
          <w:rFonts w:cstheme="minorHAnsi"/>
        </w:rPr>
        <w:t>, and child abuse and neglect potential</w:t>
      </w:r>
      <w:r w:rsidRPr="00D52D39">
        <w:rPr>
          <w:rFonts w:cstheme="minorHAnsi"/>
        </w:rPr>
        <w:t>.</w:t>
      </w:r>
    </w:p>
    <w:p w:rsidR="00BC01F2" w:rsidRPr="00D52D39" w:rsidRDefault="00BC01F2" w:rsidP="008856DA">
      <w:pPr>
        <w:spacing w:after="240" w:line="360" w:lineRule="auto"/>
      </w:pPr>
    </w:p>
    <w:p w:rsidR="00B35CF3" w:rsidRPr="00D52D39" w:rsidRDefault="00B35CF3" w:rsidP="008856DA">
      <w:pPr>
        <w:spacing w:after="240" w:line="360" w:lineRule="auto"/>
      </w:pPr>
      <w:r w:rsidRPr="00D52D39">
        <w:rPr>
          <w:rFonts w:cstheme="minorHAnsi"/>
        </w:rPr>
        <w:t>All enrolled participants</w:t>
      </w:r>
      <w:r w:rsidR="00BC01F2" w:rsidRPr="00D52D39">
        <w:rPr>
          <w:rFonts w:cstheme="minorHAnsi"/>
        </w:rPr>
        <w:t xml:space="preserve"> participate in an in-home survey that administers multiple psychometric evaluations, including multiple autism screeners and selected child sexual behavior questions.  Participa</w:t>
      </w:r>
      <w:r w:rsidR="00C758BF">
        <w:rPr>
          <w:rFonts w:cstheme="minorHAnsi"/>
        </w:rPr>
        <w:t>n</w:t>
      </w:r>
      <w:r w:rsidR="00BC01F2" w:rsidRPr="00D52D39">
        <w:rPr>
          <w:rFonts w:cstheme="minorHAnsi"/>
        </w:rPr>
        <w:t xml:space="preserve">ts are followed for the </w:t>
      </w:r>
      <w:r w:rsidRPr="00D52D39">
        <w:rPr>
          <w:rFonts w:cstheme="minorHAnsi"/>
        </w:rPr>
        <w:t>duration of the project with schedule</w:t>
      </w:r>
      <w:r w:rsidR="00AD1EEE" w:rsidRPr="00D52D39">
        <w:rPr>
          <w:rFonts w:cstheme="minorHAnsi"/>
        </w:rPr>
        <w:t>d annual longitudinal interview</w:t>
      </w:r>
      <w:r w:rsidRPr="00D52D39">
        <w:rPr>
          <w:rFonts w:cstheme="minorHAnsi"/>
        </w:rPr>
        <w:t xml:space="preserve"> to follow </w:t>
      </w:r>
      <w:r w:rsidR="00AD1EEE" w:rsidRPr="00D52D39">
        <w:rPr>
          <w:rFonts w:cstheme="minorHAnsi"/>
        </w:rPr>
        <w:t xml:space="preserve">the </w:t>
      </w:r>
      <w:r w:rsidRPr="00D52D39">
        <w:rPr>
          <w:rFonts w:cstheme="minorHAnsi"/>
        </w:rPr>
        <w:t>initial baseline assessment.</w:t>
      </w:r>
      <w:r w:rsidR="00AD1EEE" w:rsidRPr="00D52D39">
        <w:rPr>
          <w:rFonts w:cstheme="minorHAnsi"/>
        </w:rPr>
        <w:t xml:space="preserve">  </w:t>
      </w:r>
    </w:p>
    <w:p w:rsidR="00FF6E35" w:rsidRPr="00D52D39" w:rsidRDefault="00FF6E35" w:rsidP="008856DA">
      <w:pPr>
        <w:spacing w:after="240" w:line="360" w:lineRule="auto"/>
        <w:jc w:val="center"/>
        <w:rPr>
          <w:rFonts w:cstheme="minorHAnsi"/>
          <w:b/>
        </w:rPr>
      </w:pPr>
      <w:r w:rsidRPr="00D52D39">
        <w:rPr>
          <w:rFonts w:cstheme="minorHAnsi"/>
          <w:b/>
        </w:rPr>
        <w:t>Selection of Subjects</w:t>
      </w:r>
    </w:p>
    <w:p w:rsidR="00B35CF3" w:rsidRPr="00D52D39" w:rsidRDefault="00B35CF3" w:rsidP="008856DA">
      <w:pPr>
        <w:spacing w:after="240" w:line="360" w:lineRule="auto"/>
        <w:rPr>
          <w:rFonts w:cstheme="minorHAnsi"/>
        </w:rPr>
      </w:pPr>
      <w:r w:rsidRPr="00D52D39">
        <w:rPr>
          <w:rFonts w:cstheme="minorHAnsi"/>
        </w:rPr>
        <w:t>In cooperation with the Oklahoma Health Care Authority and the O</w:t>
      </w:r>
      <w:r w:rsidR="007765ED" w:rsidRPr="00D52D39">
        <w:rPr>
          <w:rFonts w:cstheme="minorHAnsi"/>
        </w:rPr>
        <w:t xml:space="preserve">klahoma </w:t>
      </w:r>
      <w:r w:rsidRPr="00D52D39">
        <w:rPr>
          <w:rFonts w:cstheme="minorHAnsi"/>
        </w:rPr>
        <w:t>S</w:t>
      </w:r>
      <w:r w:rsidR="007765ED" w:rsidRPr="00D52D39">
        <w:rPr>
          <w:rFonts w:cstheme="minorHAnsi"/>
        </w:rPr>
        <w:t xml:space="preserve">tate </w:t>
      </w:r>
      <w:r w:rsidRPr="00D52D39">
        <w:rPr>
          <w:rFonts w:cstheme="minorHAnsi"/>
        </w:rPr>
        <w:t>D</w:t>
      </w:r>
      <w:r w:rsidR="007765ED" w:rsidRPr="00D52D39">
        <w:rPr>
          <w:rFonts w:cstheme="minorHAnsi"/>
        </w:rPr>
        <w:t xml:space="preserve">epartment of </w:t>
      </w:r>
      <w:r w:rsidRPr="00D52D39">
        <w:rPr>
          <w:rFonts w:cstheme="minorHAnsi"/>
        </w:rPr>
        <w:t>H</w:t>
      </w:r>
      <w:r w:rsidR="007765ED" w:rsidRPr="00D52D39">
        <w:rPr>
          <w:rFonts w:cstheme="minorHAnsi"/>
        </w:rPr>
        <w:t>ealth</w:t>
      </w:r>
      <w:r w:rsidRPr="00D52D39">
        <w:rPr>
          <w:rFonts w:cstheme="minorHAnsi"/>
        </w:rPr>
        <w:t>, a random sample of participants from Medicaid and Women Infant and Children (WIC) records were selected for longitudinal follow-up throughout project duration.  The sampling procedure involved stratification of participants by criteria germane to each of the three OSDH recognized EBHV programs (the Nurse-Family Partnership model provided by OK’s Children First program, the Healthy Families America model provided by the OSDH Office of Child Abuse Prevention (OCAP) Start Right program, and the Oklahoma Parents As Teachers programed offered by the ODE) .  Specifically, within each county, we sample the following Medicaid-enrolled strata: 1) first-time mothers who are either pregnant or have given birth within the last 6 months; 2) women with a first child between 6 and 12 months of age and women who are either expecting or have given birth to a 2</w:t>
      </w:r>
      <w:r w:rsidRPr="00D52D39">
        <w:rPr>
          <w:rFonts w:cstheme="minorHAnsi"/>
          <w:vertAlign w:val="superscript"/>
        </w:rPr>
        <w:t>nd</w:t>
      </w:r>
      <w:r w:rsidRPr="00D52D39">
        <w:rPr>
          <w:rFonts w:cstheme="minorHAnsi"/>
        </w:rPr>
        <w:t xml:space="preserve"> or subsequent child who is less than 12 months of age; and 3) families with a child between the ages of 12 and 36 months of age.  </w:t>
      </w:r>
    </w:p>
    <w:p w:rsidR="00B35CF3" w:rsidRPr="00D52D39" w:rsidRDefault="00B35CF3" w:rsidP="008856DA">
      <w:pPr>
        <w:spacing w:after="240" w:line="360" w:lineRule="auto"/>
        <w:rPr>
          <w:rFonts w:cstheme="minorHAnsi"/>
          <w:b/>
          <w:bCs/>
        </w:rPr>
      </w:pPr>
      <w:r w:rsidRPr="00D52D39">
        <w:rPr>
          <w:rFonts w:cstheme="minorHAnsi"/>
          <w:bCs/>
        </w:rPr>
        <w:t xml:space="preserve">Recruitment pools </w:t>
      </w:r>
      <w:r w:rsidR="007765ED" w:rsidRPr="00D52D39">
        <w:rPr>
          <w:rFonts w:cstheme="minorHAnsi"/>
          <w:bCs/>
        </w:rPr>
        <w:t>are</w:t>
      </w:r>
      <w:r w:rsidRPr="00D52D39">
        <w:rPr>
          <w:rFonts w:cstheme="minorHAnsi"/>
          <w:bCs/>
        </w:rPr>
        <w:t xml:space="preserve"> constructed by evaluation team staff based on </w:t>
      </w:r>
      <w:r w:rsidR="007765ED" w:rsidRPr="00D52D39">
        <w:rPr>
          <w:rFonts w:cstheme="minorHAnsi"/>
          <w:bCs/>
        </w:rPr>
        <w:t>periodic</w:t>
      </w:r>
      <w:r w:rsidRPr="00D52D39">
        <w:rPr>
          <w:rFonts w:cstheme="minorHAnsi"/>
          <w:bCs/>
        </w:rPr>
        <w:t xml:space="preserve"> queries of eligible participants from Medicaid and WIC data.</w:t>
      </w:r>
      <w:r w:rsidR="007765ED" w:rsidRPr="00D52D39">
        <w:rPr>
          <w:rFonts w:cstheme="minorHAnsi"/>
          <w:bCs/>
        </w:rPr>
        <w:t xml:space="preserve">  </w:t>
      </w:r>
      <w:r w:rsidRPr="00D52D39">
        <w:rPr>
          <w:rFonts w:cstheme="minorHAnsi"/>
          <w:bCs/>
        </w:rPr>
        <w:t xml:space="preserve">Mailed study advertisements </w:t>
      </w:r>
      <w:r w:rsidR="007765ED" w:rsidRPr="00D52D39">
        <w:rPr>
          <w:rFonts w:cstheme="minorHAnsi"/>
          <w:bCs/>
        </w:rPr>
        <w:t xml:space="preserve">have been </w:t>
      </w:r>
      <w:r w:rsidRPr="00D52D39">
        <w:rPr>
          <w:rFonts w:cstheme="minorHAnsi"/>
          <w:bCs/>
        </w:rPr>
        <w:t xml:space="preserve">sent to all </w:t>
      </w:r>
      <w:r w:rsidRPr="00D52D39">
        <w:rPr>
          <w:rFonts w:cstheme="minorHAnsi"/>
          <w:bCs/>
        </w:rPr>
        <w:lastRenderedPageBreak/>
        <w:t xml:space="preserve">participants selected for recruitment.  Respondents </w:t>
      </w:r>
      <w:r w:rsidR="007765ED" w:rsidRPr="00D52D39">
        <w:rPr>
          <w:rFonts w:cstheme="minorHAnsi"/>
          <w:bCs/>
        </w:rPr>
        <w:t>can</w:t>
      </w:r>
      <w:r w:rsidRPr="00D52D39">
        <w:rPr>
          <w:rFonts w:cstheme="minorHAnsi"/>
          <w:bCs/>
        </w:rPr>
        <w:t xml:space="preserve"> enroll immediately after receiving the study advertisement by actively calling an assigned data collector or by waiting for the advertised recruitment call from data collection staff.    The population inferences are intended to describe those on Medicaid or WIC who qualify for at least one of the three identified MIECHV EBHV programs.  </w:t>
      </w:r>
      <w:r w:rsidR="007765ED" w:rsidRPr="00D52D39">
        <w:rPr>
          <w:rFonts w:cstheme="minorHAnsi"/>
          <w:bCs/>
        </w:rPr>
        <w:t xml:space="preserve">Although, it is </w:t>
      </w:r>
      <w:r w:rsidRPr="00D52D39">
        <w:rPr>
          <w:rFonts w:cstheme="minorHAnsi"/>
          <w:bCs/>
        </w:rPr>
        <w:t>acknowledge</w:t>
      </w:r>
      <w:r w:rsidR="007765ED" w:rsidRPr="00D52D39">
        <w:rPr>
          <w:rFonts w:cstheme="minorHAnsi"/>
          <w:bCs/>
        </w:rPr>
        <w:t>d</w:t>
      </w:r>
      <w:r w:rsidRPr="00D52D39">
        <w:rPr>
          <w:rFonts w:cstheme="minorHAnsi"/>
          <w:bCs/>
        </w:rPr>
        <w:t xml:space="preserve"> that Medicaid and WIC standing do not fully capture all possible EBHV consumers, </w:t>
      </w:r>
      <w:r w:rsidR="007765ED" w:rsidRPr="00D52D39">
        <w:rPr>
          <w:rFonts w:cstheme="minorHAnsi"/>
          <w:bCs/>
        </w:rPr>
        <w:t xml:space="preserve">it is believed </w:t>
      </w:r>
      <w:r w:rsidRPr="00D52D39">
        <w:rPr>
          <w:rFonts w:cstheme="minorHAnsi"/>
          <w:bCs/>
        </w:rPr>
        <w:t>that this is reasonable high-risk catchment population that is likely to reveal significant areas of needed improvement</w:t>
      </w:r>
      <w:r w:rsidR="007765ED" w:rsidRPr="00D52D39">
        <w:rPr>
          <w:rFonts w:cstheme="minorHAnsi"/>
          <w:bCs/>
        </w:rPr>
        <w:t xml:space="preserve">.  </w:t>
      </w:r>
      <w:r w:rsidRPr="00D52D39">
        <w:rPr>
          <w:rFonts w:cstheme="minorHAnsi"/>
          <w:bCs/>
        </w:rPr>
        <w:t xml:space="preserve">Recruited individuals </w:t>
      </w:r>
      <w:r w:rsidR="007765ED" w:rsidRPr="00D52D39">
        <w:rPr>
          <w:rFonts w:cstheme="minorHAnsi"/>
          <w:bCs/>
        </w:rPr>
        <w:t xml:space="preserve">are </w:t>
      </w:r>
      <w:r w:rsidRPr="00D52D39">
        <w:rPr>
          <w:rFonts w:cstheme="minorHAnsi"/>
          <w:bCs/>
        </w:rPr>
        <w:t xml:space="preserve">excluded from this data collection effort when </w:t>
      </w:r>
      <w:r w:rsidRPr="00D52D39">
        <w:rPr>
          <w:rFonts w:cstheme="minorHAnsi"/>
        </w:rPr>
        <w:t xml:space="preserve">conditions prevent the primary caregiver from providing valid self-report data (e.g., severe psychosis, severe mental retardation, etc.).  </w:t>
      </w:r>
      <w:r w:rsidRPr="00D52D39">
        <w:rPr>
          <w:rFonts w:cstheme="minorHAnsi"/>
          <w:bCs/>
        </w:rPr>
        <w:t xml:space="preserve">  </w:t>
      </w:r>
    </w:p>
    <w:p w:rsidR="00B35CF3" w:rsidRPr="00D52D39" w:rsidRDefault="00B35CF3" w:rsidP="008856DA">
      <w:pPr>
        <w:spacing w:after="240" w:line="360" w:lineRule="auto"/>
        <w:rPr>
          <w:rFonts w:cstheme="minorHAnsi"/>
        </w:rPr>
      </w:pPr>
    </w:p>
    <w:p w:rsidR="00F56990" w:rsidRPr="00D52D39" w:rsidRDefault="003E3FF5" w:rsidP="008856DA">
      <w:pPr>
        <w:spacing w:after="240" w:line="360" w:lineRule="auto"/>
        <w:jc w:val="center"/>
        <w:rPr>
          <w:b/>
        </w:rPr>
      </w:pPr>
      <w:r w:rsidRPr="00D52D39">
        <w:rPr>
          <w:b/>
        </w:rPr>
        <w:t>Results</w:t>
      </w:r>
    </w:p>
    <w:p w:rsidR="00184E3D" w:rsidRPr="00D52D39" w:rsidRDefault="00184E3D" w:rsidP="008856DA">
      <w:pPr>
        <w:spacing w:after="240" w:line="360" w:lineRule="auto"/>
      </w:pPr>
    </w:p>
    <w:p w:rsidR="005F0675" w:rsidRPr="00D52D39" w:rsidRDefault="005F0675" w:rsidP="008856DA">
      <w:pPr>
        <w:spacing w:after="240" w:line="360" w:lineRule="auto"/>
      </w:pPr>
    </w:p>
    <w:p w:rsidR="00DD3B32" w:rsidRPr="00D52D39" w:rsidRDefault="00DD3B32" w:rsidP="008856DA">
      <w:pPr>
        <w:spacing w:after="240" w:line="360" w:lineRule="auto"/>
        <w:rPr>
          <w:rFonts w:cstheme="minorHAnsi"/>
        </w:rPr>
      </w:pPr>
      <w:r w:rsidRPr="00D52D39">
        <w:rPr>
          <w:rFonts w:cstheme="minorHAnsi"/>
        </w:rPr>
        <w:t>The ASQ-3 “at-risk” cut-scores are intended to reflect the bottom 2.5% of the population.  Sample percentages in this study were as follows: 22% for Communication, 11% for Gross Motor skills, 20% for Fine Motor Skills, 12% for Problem Solving, and 13% for Personal-Social problems.  When screening for ASD, 17% of the eligible participants (n=240) were classified “at risk” on the MCHAT (compared to 7% nationally), 26% on the ASRS (n=180) qualified for the “very elevated risk” category (98</w:t>
      </w:r>
      <w:r w:rsidRPr="00D52D39">
        <w:rPr>
          <w:rFonts w:cstheme="minorHAnsi"/>
          <w:vertAlign w:val="superscript"/>
        </w:rPr>
        <w:t>th</w:t>
      </w:r>
      <w:r w:rsidRPr="00D52D39">
        <w:rPr>
          <w:rFonts w:cstheme="minorHAnsi"/>
        </w:rPr>
        <w:t xml:space="preserve"> percentile nationally), and 18% on the CSBS were “at risk” (n=658; 90</w:t>
      </w:r>
      <w:r w:rsidRPr="00D52D39">
        <w:rPr>
          <w:rFonts w:cstheme="minorHAnsi"/>
          <w:vertAlign w:val="superscript"/>
        </w:rPr>
        <w:t>th</w:t>
      </w:r>
      <w:r w:rsidRPr="00D52D39">
        <w:rPr>
          <w:rFonts w:cstheme="minorHAnsi"/>
        </w:rPr>
        <w:t xml:space="preserve"> percentile nationally).  The CBCL questions had responses ranging from 0% to 4% with no significant difference from the national norms. The BCAP child abuse scale indicated that 29% fell into the “at risk” category (n=568).</w:t>
      </w:r>
    </w:p>
    <w:p w:rsidR="00F56990" w:rsidRPr="00D52D39" w:rsidRDefault="003E3FF5" w:rsidP="008856DA">
      <w:pPr>
        <w:spacing w:after="240" w:line="360" w:lineRule="auto"/>
        <w:jc w:val="center"/>
        <w:rPr>
          <w:b/>
        </w:rPr>
      </w:pPr>
      <w:r w:rsidRPr="00D52D39">
        <w:rPr>
          <w:b/>
        </w:rPr>
        <w:t>Conclusion</w:t>
      </w:r>
    </w:p>
    <w:p w:rsidR="00DD3B32" w:rsidRDefault="00DD3B32" w:rsidP="008856DA">
      <w:pPr>
        <w:spacing w:after="240" w:line="360" w:lineRule="auto"/>
      </w:pPr>
      <w:r w:rsidRPr="00D52D39">
        <w:rPr>
          <w:rFonts w:cstheme="minorHAnsi"/>
        </w:rPr>
        <w:t xml:space="preserve">The results show that the </w:t>
      </w:r>
      <w:proofErr w:type="gramStart"/>
      <w:r w:rsidRPr="00D52D39">
        <w:rPr>
          <w:rFonts w:cstheme="minorHAnsi"/>
        </w:rPr>
        <w:t>proportion at-risk for nearly all developmental markers far exceed</w:t>
      </w:r>
      <w:proofErr w:type="gramEnd"/>
      <w:r w:rsidRPr="00D52D39">
        <w:rPr>
          <w:rFonts w:cstheme="minorHAnsi"/>
        </w:rPr>
        <w:t xml:space="preserve"> normative expectations.  </w:t>
      </w:r>
      <w:r w:rsidRPr="00D52D39">
        <w:t xml:space="preserve">These findings suggest that targeted screening and subsequent referrals for this population would be highly cost-effective use of existing early identification resources. </w:t>
      </w:r>
      <w:r w:rsidR="004D3E81">
        <w:t xml:space="preserve">  </w:t>
      </w:r>
      <w:r w:rsidR="003C4385">
        <w:t>Two years of intervention prior to kindergarten produces substantial economic, academic, and social benefits and saves society between $30,000 and $100,000 per child (Glascoe 2000)</w:t>
      </w:r>
    </w:p>
    <w:p w:rsidR="003C4385" w:rsidRDefault="003C4385" w:rsidP="008856DA">
      <w:pPr>
        <w:spacing w:after="240" w:line="360" w:lineRule="auto"/>
      </w:pPr>
    </w:p>
    <w:p w:rsidR="003C4385" w:rsidRDefault="003C4385" w:rsidP="008856DA">
      <w:pPr>
        <w:spacing w:after="240" w:line="360" w:lineRule="auto"/>
      </w:pPr>
    </w:p>
    <w:p w:rsidR="003C4385" w:rsidRDefault="003C4385" w:rsidP="008856DA">
      <w:pPr>
        <w:spacing w:after="240" w:line="360" w:lineRule="auto"/>
      </w:pP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Two years of intervention prior to</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kindergarten</w:t>
      </w:r>
      <w:proofErr w:type="gramEnd"/>
      <w:r>
        <w:rPr>
          <w:rFonts w:ascii="Times New Roman" w:hAnsi="Times New Roman" w:cs="Times New Roman"/>
          <w:sz w:val="20"/>
          <w:szCs w:val="20"/>
        </w:rPr>
        <w:t xml:space="preserve"> produces substantial</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economic</w:t>
      </w:r>
      <w:proofErr w:type="gramEnd"/>
      <w:r>
        <w:rPr>
          <w:rFonts w:ascii="Times New Roman" w:hAnsi="Times New Roman" w:cs="Times New Roman"/>
          <w:sz w:val="20"/>
          <w:szCs w:val="20"/>
        </w:rPr>
        <w:t>, academic, and social benefits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saves society between</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$30,000 and $100,000 per child (see</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Meisels and Shonkoff in Suggested</w:t>
      </w:r>
    </w:p>
    <w:p w:rsidR="004D3E81" w:rsidRDefault="004D3E81" w:rsidP="004D3E81">
      <w:pPr>
        <w:spacing w:after="240" w:line="360" w:lineRule="auto"/>
        <w:rPr>
          <w:rFonts w:ascii="Times New Roman" w:hAnsi="Times New Roman" w:cs="Times New Roman"/>
          <w:sz w:val="20"/>
          <w:szCs w:val="20"/>
        </w:rPr>
      </w:pPr>
      <w:proofErr w:type="gramStart"/>
      <w:r>
        <w:rPr>
          <w:rFonts w:ascii="Times New Roman" w:hAnsi="Times New Roman" w:cs="Times New Roman"/>
          <w:sz w:val="20"/>
          <w:szCs w:val="20"/>
        </w:rPr>
        <w:t>Reading for additional information).</w:t>
      </w:r>
      <w:proofErr w:type="gramEnd"/>
    </w:p>
    <w:p w:rsidR="004D3E81" w:rsidRPr="00D52D39" w:rsidRDefault="004D3E81" w:rsidP="004D3E81">
      <w:pPr>
        <w:spacing w:after="240" w:line="360" w:lineRule="auto"/>
      </w:pPr>
      <w:r>
        <w:rPr>
          <w:rFonts w:ascii="Times New Roman" w:hAnsi="Times New Roman" w:cs="Times New Roman"/>
          <w:sz w:val="20"/>
          <w:szCs w:val="20"/>
        </w:rPr>
        <w:t>Glascoe (2000)</w:t>
      </w:r>
    </w:p>
    <w:p w:rsidR="00F56990" w:rsidRPr="00D52D39" w:rsidRDefault="00F56990" w:rsidP="008856DA">
      <w:pPr>
        <w:spacing w:after="240" w:line="360" w:lineRule="auto"/>
      </w:pPr>
    </w:p>
    <w:p w:rsidR="00B10D31" w:rsidRDefault="00B10D31" w:rsidP="00B10D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Approximately 15% to 18% of children</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the United States have</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developmental</w:t>
      </w:r>
      <w:proofErr w:type="gramEnd"/>
      <w:r>
        <w:rPr>
          <w:rFonts w:ascii="Times New Roman" w:hAnsi="Times New Roman" w:cs="Times New Roman"/>
          <w:sz w:val="20"/>
          <w:szCs w:val="20"/>
        </w:rPr>
        <w:t xml:space="preserve"> or behavioral disabilities.</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 additional 7% to 10%</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experience</w:t>
      </w:r>
      <w:proofErr w:type="gramEnd"/>
      <w:r>
        <w:rPr>
          <w:rFonts w:ascii="Times New Roman" w:hAnsi="Times New Roman" w:cs="Times New Roman"/>
          <w:sz w:val="20"/>
          <w:szCs w:val="20"/>
        </w:rPr>
        <w:t xml:space="preserve"> substantive school failure</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drop out before completing high</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school</w:t>
      </w:r>
      <w:proofErr w:type="gramEnd"/>
      <w:r>
        <w:rPr>
          <w:rFonts w:ascii="Times New Roman" w:hAnsi="Times New Roman" w:cs="Times New Roman"/>
          <w:sz w:val="20"/>
          <w:szCs w:val="20"/>
        </w:rPr>
        <w:t>. Overall, one in four children</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serious psychosocial problems.</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ensure that these children are</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detected</w:t>
      </w:r>
      <w:proofErr w:type="gramEnd"/>
      <w:r>
        <w:rPr>
          <w:rFonts w:ascii="Times New Roman" w:hAnsi="Times New Roman" w:cs="Times New Roman"/>
          <w:sz w:val="20"/>
          <w:szCs w:val="20"/>
        </w:rPr>
        <w:t xml:space="preserve"> early and their difficulties</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addressed</w:t>
      </w:r>
      <w:proofErr w:type="gramEnd"/>
      <w:r>
        <w:rPr>
          <w:rFonts w:ascii="Times New Roman" w:hAnsi="Times New Roman" w:cs="Times New Roman"/>
          <w:sz w:val="20"/>
          <w:szCs w:val="20"/>
        </w:rPr>
        <w:t>, the American Academy</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Pediatrics’ Committee on Children</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with</w:t>
      </w:r>
      <w:proofErr w:type="gramEnd"/>
      <w:r>
        <w:rPr>
          <w:rFonts w:ascii="Times New Roman" w:hAnsi="Times New Roman" w:cs="Times New Roman"/>
          <w:sz w:val="20"/>
          <w:szCs w:val="20"/>
        </w:rPr>
        <w:t xml:space="preserve"> Disabilities recommends</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that</w:t>
      </w:r>
      <w:proofErr w:type="gramEnd"/>
      <w:r>
        <w:rPr>
          <w:rFonts w:ascii="Times New Roman" w:hAnsi="Times New Roman" w:cs="Times New Roman"/>
          <w:sz w:val="20"/>
          <w:szCs w:val="20"/>
        </w:rPr>
        <w:t xml:space="preserve"> pediatricians use validated</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screening</w:t>
      </w:r>
      <w:proofErr w:type="gramEnd"/>
      <w:r>
        <w:rPr>
          <w:rFonts w:ascii="Times New Roman" w:hAnsi="Times New Roman" w:cs="Times New Roman"/>
          <w:sz w:val="20"/>
          <w:szCs w:val="20"/>
        </w:rPr>
        <w:t xml:space="preserve"> tools at each health supervision</w:t>
      </w:r>
    </w:p>
    <w:p w:rsidR="00F56990" w:rsidRDefault="00B10D31" w:rsidP="00B10D31">
      <w:pPr>
        <w:spacing w:after="240" w:line="360" w:lineRule="auto"/>
        <w:rPr>
          <w:rFonts w:ascii="Times New Roman" w:hAnsi="Times New Roman" w:cs="Times New Roman"/>
          <w:sz w:val="20"/>
          <w:szCs w:val="20"/>
        </w:rPr>
      </w:pPr>
      <w:proofErr w:type="gramStart"/>
      <w:r>
        <w:rPr>
          <w:rFonts w:ascii="Times New Roman" w:hAnsi="Times New Roman" w:cs="Times New Roman"/>
          <w:sz w:val="20"/>
          <w:szCs w:val="20"/>
        </w:rPr>
        <w:t>visit</w:t>
      </w:r>
      <w:proofErr w:type="gramEnd"/>
      <w:r>
        <w:rPr>
          <w:rFonts w:ascii="Times New Roman" w:hAnsi="Times New Roman" w:cs="Times New Roman"/>
          <w:sz w:val="20"/>
          <w:szCs w:val="20"/>
        </w:rPr>
        <w:t>.</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Development is also a “moving</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target</w:t>
      </w:r>
      <w:proofErr w:type="gramEnd"/>
      <w:r>
        <w:rPr>
          <w:rFonts w:ascii="Times New Roman" w:hAnsi="Times New Roman" w:cs="Times New Roman"/>
          <w:sz w:val="20"/>
          <w:szCs w:val="20"/>
        </w:rPr>
        <w:t>.” Developmental disabilities</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develop</w:t>
      </w:r>
      <w:proofErr w:type="gramEnd"/>
      <w:r>
        <w:rPr>
          <w:rFonts w:ascii="Times New Roman" w:hAnsi="Times New Roman" w:cs="Times New Roman"/>
          <w:sz w:val="20"/>
          <w:szCs w:val="20"/>
        </w:rPr>
        <w:t xml:space="preserve"> just as normal development</w:t>
      </w:r>
    </w:p>
    <w:p w:rsidR="00B10D31" w:rsidRDefault="00B10D31" w:rsidP="00B10D31">
      <w:pPr>
        <w:spacing w:after="240" w:line="360" w:lineRule="auto"/>
        <w:rPr>
          <w:rFonts w:ascii="Times New Roman" w:hAnsi="Times New Roman" w:cs="Times New Roman"/>
          <w:sz w:val="20"/>
          <w:szCs w:val="20"/>
        </w:rPr>
      </w:pPr>
      <w:proofErr w:type="gramStart"/>
      <w:r>
        <w:rPr>
          <w:rFonts w:ascii="Times New Roman" w:hAnsi="Times New Roman" w:cs="Times New Roman"/>
          <w:sz w:val="20"/>
          <w:szCs w:val="20"/>
        </w:rPr>
        <w:t>does</w:t>
      </w:r>
      <w:proofErr w:type="gramEnd"/>
      <w:r>
        <w:rPr>
          <w:rFonts w:ascii="Times New Roman" w:hAnsi="Times New Roman" w:cs="Times New Roman"/>
          <w:sz w:val="20"/>
          <w:szCs w:val="20"/>
        </w:rPr>
        <w:t>.</w:t>
      </w:r>
    </w:p>
    <w:p w:rsidR="00B10D31" w:rsidRDefault="00B10D31" w:rsidP="00B10D31">
      <w:pPr>
        <w:autoSpaceDE w:val="0"/>
        <w:autoSpaceDN w:val="0"/>
        <w:adjustRightInd w:val="0"/>
        <w:spacing w:after="0" w:line="240" w:lineRule="auto"/>
        <w:rPr>
          <w:rFonts w:ascii="HelveticaNeue-Bold" w:hAnsi="HelveticaNeue-Bold" w:cs="HelveticaNeue-Bold"/>
          <w:b/>
          <w:bCs/>
        </w:rPr>
      </w:pPr>
      <w:r>
        <w:rPr>
          <w:rFonts w:ascii="HelveticaNeue-Bold" w:hAnsi="HelveticaNeue-Bold" w:cs="HelveticaNeue-Bold"/>
          <w:b/>
          <w:bCs/>
        </w:rPr>
        <w:t>The Value and Availability of</w:t>
      </w:r>
    </w:p>
    <w:p w:rsidR="00B10D31" w:rsidRDefault="00B10D31" w:rsidP="00B10D31">
      <w:pPr>
        <w:autoSpaceDE w:val="0"/>
        <w:autoSpaceDN w:val="0"/>
        <w:adjustRightInd w:val="0"/>
        <w:spacing w:after="0" w:line="240" w:lineRule="auto"/>
        <w:rPr>
          <w:rFonts w:ascii="HelveticaNeue-Bold" w:hAnsi="HelveticaNeue-Bold" w:cs="HelveticaNeue-Bold"/>
          <w:b/>
          <w:bCs/>
        </w:rPr>
      </w:pPr>
      <w:r>
        <w:rPr>
          <w:rFonts w:ascii="HelveticaNeue-Bold" w:hAnsi="HelveticaNeue-Bold" w:cs="HelveticaNeue-Bold"/>
          <w:b/>
          <w:bCs/>
        </w:rPr>
        <w:t>Early Intervention</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Early intervention is effective</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because</w:t>
      </w:r>
      <w:proofErr w:type="gramEnd"/>
      <w:r>
        <w:rPr>
          <w:rFonts w:ascii="Times New Roman" w:hAnsi="Times New Roman" w:cs="Times New Roman"/>
          <w:sz w:val="20"/>
          <w:szCs w:val="20"/>
        </w:rPr>
        <w:t xml:space="preserve"> development is malleable</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readily affected by the environment.</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large part, early intervention</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works</w:t>
      </w:r>
      <w:proofErr w:type="gramEnd"/>
      <w:r>
        <w:rPr>
          <w:rFonts w:ascii="Times New Roman" w:hAnsi="Times New Roman" w:cs="Times New Roman"/>
          <w:sz w:val="20"/>
          <w:szCs w:val="20"/>
        </w:rPr>
        <w:t xml:space="preserve"> by systematically removing</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external</w:t>
      </w:r>
      <w:proofErr w:type="gramEnd"/>
      <w:r>
        <w:rPr>
          <w:rFonts w:ascii="Times New Roman" w:hAnsi="Times New Roman" w:cs="Times New Roman"/>
          <w:sz w:val="20"/>
          <w:szCs w:val="20"/>
        </w:rPr>
        <w:t xml:space="preserve"> risk factors. Early</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intervention</w:t>
      </w:r>
      <w:proofErr w:type="gramEnd"/>
      <w:r>
        <w:rPr>
          <w:rFonts w:ascii="Times New Roman" w:hAnsi="Times New Roman" w:cs="Times New Roman"/>
          <w:sz w:val="20"/>
          <w:szCs w:val="20"/>
        </w:rPr>
        <w:t xml:space="preserve"> programs place children</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developmentally enriching settings,</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train</w:t>
      </w:r>
      <w:proofErr w:type="gramEnd"/>
      <w:r>
        <w:rPr>
          <w:rFonts w:ascii="Times New Roman" w:hAnsi="Times New Roman" w:cs="Times New Roman"/>
          <w:sz w:val="20"/>
          <w:szCs w:val="20"/>
        </w:rPr>
        <w:t xml:space="preserve"> parents in responsiveness</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effectiveness, and provide continuous</w:t>
      </w:r>
    </w:p>
    <w:p w:rsidR="00B10D31" w:rsidRDefault="00B10D31" w:rsidP="00B10D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positive</w:t>
      </w:r>
      <w:proofErr w:type="gramEnd"/>
      <w:r>
        <w:rPr>
          <w:rFonts w:ascii="Times New Roman" w:hAnsi="Times New Roman" w:cs="Times New Roman"/>
          <w:sz w:val="20"/>
          <w:szCs w:val="20"/>
        </w:rPr>
        <w:t xml:space="preserve"> redirection and</w:t>
      </w:r>
    </w:p>
    <w:p w:rsidR="00B10D31" w:rsidRDefault="00B10D31" w:rsidP="00B10D31">
      <w:pPr>
        <w:spacing w:after="240" w:line="360" w:lineRule="auto"/>
        <w:rPr>
          <w:rFonts w:ascii="Times New Roman" w:hAnsi="Times New Roman" w:cs="Times New Roman"/>
          <w:sz w:val="20"/>
          <w:szCs w:val="20"/>
        </w:rPr>
      </w:pPr>
      <w:proofErr w:type="gramStart"/>
      <w:r>
        <w:rPr>
          <w:rFonts w:ascii="Times New Roman" w:hAnsi="Times New Roman" w:cs="Times New Roman"/>
          <w:sz w:val="20"/>
          <w:szCs w:val="20"/>
        </w:rPr>
        <w:t>focused</w:t>
      </w:r>
      <w:proofErr w:type="gramEnd"/>
      <w:r>
        <w:rPr>
          <w:rFonts w:ascii="Times New Roman" w:hAnsi="Times New Roman" w:cs="Times New Roman"/>
          <w:sz w:val="20"/>
          <w:szCs w:val="20"/>
        </w:rPr>
        <w:t xml:space="preserve"> building of skills.</w:t>
      </w:r>
    </w:p>
    <w:p w:rsidR="004D3E81" w:rsidRDefault="004D3E81" w:rsidP="00B10D31">
      <w:pPr>
        <w:spacing w:after="240" w:line="360" w:lineRule="auto"/>
        <w:rPr>
          <w:rFonts w:ascii="Times New Roman" w:hAnsi="Times New Roman" w:cs="Times New Roman"/>
          <w:sz w:val="20"/>
          <w:szCs w:val="20"/>
        </w:rPr>
      </w:pP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Even so, good</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developmental/behavioral</w:t>
      </w:r>
      <w:proofErr w:type="gramEnd"/>
      <w:r>
        <w:rPr>
          <w:rFonts w:ascii="Times New Roman" w:hAnsi="Times New Roman" w:cs="Times New Roman"/>
          <w:sz w:val="20"/>
          <w:szCs w:val="20"/>
        </w:rPr>
        <w:t xml:space="preserve"> tools have</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sensitivity</w:t>
      </w:r>
      <w:proofErr w:type="gramEnd"/>
      <w:r>
        <w:rPr>
          <w:rFonts w:ascii="Times New Roman" w:hAnsi="Times New Roman" w:cs="Times New Roman"/>
          <w:sz w:val="20"/>
          <w:szCs w:val="20"/>
        </w:rPr>
        <w:t xml:space="preserve"> to psychosocial problems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70% to 80% and specificity to</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normal</w:t>
      </w:r>
      <w:proofErr w:type="gramEnd"/>
      <w:r>
        <w:rPr>
          <w:rFonts w:ascii="Times New Roman" w:hAnsi="Times New Roman" w:cs="Times New Roman"/>
          <w:sz w:val="20"/>
          <w:szCs w:val="20"/>
        </w:rPr>
        <w:t xml:space="preserve"> development of 70% to 80%.</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Although 20% to 30% of children</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will</w:t>
      </w:r>
      <w:proofErr w:type="gramEnd"/>
      <w:r>
        <w:rPr>
          <w:rFonts w:ascii="Times New Roman" w:hAnsi="Times New Roman" w:cs="Times New Roman"/>
          <w:sz w:val="20"/>
          <w:szCs w:val="20"/>
        </w:rPr>
        <w:t xml:space="preserve"> be over-referred, false-positive</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identifications</w:t>
      </w:r>
      <w:proofErr w:type="gramEnd"/>
      <w:r>
        <w:rPr>
          <w:rFonts w:ascii="Times New Roman" w:hAnsi="Times New Roman" w:cs="Times New Roman"/>
          <w:sz w:val="20"/>
          <w:szCs w:val="20"/>
        </w:rPr>
        <w:t xml:space="preserve"> often are children</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whose</w:t>
      </w:r>
      <w:proofErr w:type="gramEnd"/>
      <w:r>
        <w:rPr>
          <w:rFonts w:ascii="Times New Roman" w:hAnsi="Times New Roman" w:cs="Times New Roman"/>
          <w:sz w:val="20"/>
          <w:szCs w:val="20"/>
        </w:rPr>
        <w:t xml:space="preserve"> intellectual, language, or academic</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skills</w:t>
      </w:r>
      <w:proofErr w:type="gramEnd"/>
      <w:r>
        <w:rPr>
          <w:rFonts w:ascii="Times New Roman" w:hAnsi="Times New Roman" w:cs="Times New Roman"/>
          <w:sz w:val="20"/>
          <w:szCs w:val="20"/>
        </w:rPr>
        <w:t xml:space="preserve"> are below average.</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These children may not qualify for</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special</w:t>
      </w:r>
      <w:proofErr w:type="gramEnd"/>
      <w:r>
        <w:rPr>
          <w:rFonts w:ascii="Times New Roman" w:hAnsi="Times New Roman" w:cs="Times New Roman"/>
          <w:sz w:val="20"/>
          <w:szCs w:val="20"/>
        </w:rPr>
        <w:t xml:space="preserve"> education, but they still need</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unique</w:t>
      </w:r>
      <w:proofErr w:type="gramEnd"/>
      <w:r>
        <w:rPr>
          <w:rFonts w:ascii="Times New Roman" w:hAnsi="Times New Roman" w:cs="Times New Roman"/>
          <w:sz w:val="20"/>
          <w:szCs w:val="20"/>
        </w:rPr>
        <w:t xml:space="preserve"> care from clinicians (eg, their</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parents</w:t>
      </w:r>
      <w:proofErr w:type="gramEnd"/>
      <w:r>
        <w:rPr>
          <w:rFonts w:ascii="Times New Roman" w:hAnsi="Times New Roman" w:cs="Times New Roman"/>
          <w:sz w:val="20"/>
          <w:szCs w:val="20"/>
        </w:rPr>
        <w:t xml:space="preserve"> will benefit from suggestions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developmental promotion and</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children</w:t>
      </w:r>
      <w:proofErr w:type="gramEnd"/>
      <w:r>
        <w:rPr>
          <w:rFonts w:ascii="Times New Roman" w:hAnsi="Times New Roman" w:cs="Times New Roman"/>
          <w:sz w:val="20"/>
          <w:szCs w:val="20"/>
        </w:rPr>
        <w:t xml:space="preserve"> will benefit from Head</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Start or other developmental stimulation</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programs</w:t>
      </w:r>
      <w:proofErr w:type="gramEnd"/>
      <w:r>
        <w:rPr>
          <w:rFonts w:ascii="Times New Roman" w:hAnsi="Times New Roman" w:cs="Times New Roman"/>
          <w:sz w:val="20"/>
          <w:szCs w:val="20"/>
        </w:rPr>
        <w:t>, summer school,</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tutoring</w:t>
      </w:r>
      <w:proofErr w:type="gramEnd"/>
      <w:r>
        <w:rPr>
          <w:rFonts w:ascii="Times New Roman" w:hAnsi="Times New Roman" w:cs="Times New Roman"/>
          <w:sz w:val="20"/>
          <w:szCs w:val="20"/>
        </w:rPr>
        <w:t>, and vigilant clinical monitoring</w:t>
      </w:r>
    </w:p>
    <w:p w:rsidR="004D3E81" w:rsidRDefault="004D3E81" w:rsidP="004D3E81">
      <w:pPr>
        <w:spacing w:after="240" w:line="360" w:lineRule="auto"/>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detect emerging disabilities)</w:t>
      </w:r>
    </w:p>
    <w:p w:rsidR="004D3E81" w:rsidRDefault="004D3E81" w:rsidP="004D3E81">
      <w:pPr>
        <w:spacing w:after="240" w:line="360" w:lineRule="auto"/>
        <w:rPr>
          <w:rFonts w:ascii="Times New Roman" w:hAnsi="Times New Roman" w:cs="Times New Roman"/>
          <w:sz w:val="20"/>
          <w:szCs w:val="20"/>
        </w:rPr>
      </w:pP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most effective tools for use in</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primary</w:t>
      </w:r>
      <w:proofErr w:type="gramEnd"/>
      <w:r>
        <w:rPr>
          <w:rFonts w:ascii="Times New Roman" w:hAnsi="Times New Roman" w:cs="Times New Roman"/>
          <w:sz w:val="20"/>
          <w:szCs w:val="20"/>
        </w:rPr>
        <w:t xml:space="preserve"> care are those that rely on</w:t>
      </w:r>
    </w:p>
    <w:p w:rsidR="004D3E81" w:rsidRDefault="004D3E81" w:rsidP="004D3E81">
      <w:pPr>
        <w:spacing w:after="240" w:line="360" w:lineRule="auto"/>
        <w:rPr>
          <w:rFonts w:ascii="Times New Roman" w:hAnsi="Times New Roman" w:cs="Times New Roman"/>
          <w:sz w:val="20"/>
          <w:szCs w:val="20"/>
        </w:rPr>
      </w:pPr>
      <w:proofErr w:type="gramStart"/>
      <w:r>
        <w:rPr>
          <w:rFonts w:ascii="Times New Roman" w:hAnsi="Times New Roman" w:cs="Times New Roman"/>
          <w:sz w:val="20"/>
          <w:szCs w:val="20"/>
        </w:rPr>
        <w:t>information</w:t>
      </w:r>
      <w:proofErr w:type="gramEnd"/>
      <w:r>
        <w:rPr>
          <w:rFonts w:ascii="Times New Roman" w:hAnsi="Times New Roman" w:cs="Times New Roman"/>
          <w:sz w:val="20"/>
          <w:szCs w:val="20"/>
        </w:rPr>
        <w:t xml:space="preserve"> from parents.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question has been raised</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whether</w:t>
      </w:r>
      <w:proofErr w:type="gramEnd"/>
      <w:r>
        <w:rPr>
          <w:rFonts w:ascii="Times New Roman" w:hAnsi="Times New Roman" w:cs="Times New Roman"/>
          <w:sz w:val="20"/>
          <w:szCs w:val="20"/>
        </w:rPr>
        <w:t xml:space="preserve"> information from parents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be trusted. What about parents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who</w:t>
      </w:r>
      <w:proofErr w:type="gramEnd"/>
      <w:r>
        <w:rPr>
          <w:rFonts w:ascii="Times New Roman" w:hAnsi="Times New Roman" w:cs="Times New Roman"/>
          <w:sz w:val="20"/>
          <w:szCs w:val="20"/>
        </w:rPr>
        <w:t xml:space="preserve"> are less educated, live in isolated</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rural</w:t>
      </w:r>
      <w:proofErr w:type="gramEnd"/>
      <w:r>
        <w:rPr>
          <w:rFonts w:ascii="Times New Roman" w:hAnsi="Times New Roman" w:cs="Times New Roman"/>
          <w:sz w:val="20"/>
          <w:szCs w:val="20"/>
        </w:rPr>
        <w:t xml:space="preserve"> areas, have little parenting</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experience</w:t>
      </w:r>
      <w:proofErr w:type="gramEnd"/>
      <w:r>
        <w:rPr>
          <w:rFonts w:ascii="Times New Roman" w:hAnsi="Times New Roman" w:cs="Times New Roman"/>
          <w:sz w:val="20"/>
          <w:szCs w:val="20"/>
        </w:rPr>
        <w:t>, or appear highly</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anxious</w:t>
      </w:r>
      <w:proofErr w:type="gramEnd"/>
      <w:r>
        <w:rPr>
          <w:rFonts w:ascii="Times New Roman" w:hAnsi="Times New Roman" w:cs="Times New Roman"/>
          <w:sz w:val="20"/>
          <w:szCs w:val="20"/>
        </w:rPr>
        <w:t xml:space="preserve"> or depressed? Research</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shows</w:t>
      </w:r>
      <w:proofErr w:type="gramEnd"/>
      <w:r>
        <w:rPr>
          <w:rFonts w:ascii="Times New Roman" w:hAnsi="Times New Roman" w:cs="Times New Roman"/>
          <w:sz w:val="20"/>
          <w:szCs w:val="20"/>
        </w:rPr>
        <w:t xml:space="preserve"> that almost all parents, if presented</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with</w:t>
      </w:r>
      <w:proofErr w:type="gramEnd"/>
      <w:r>
        <w:rPr>
          <w:rFonts w:ascii="Times New Roman" w:hAnsi="Times New Roman" w:cs="Times New Roman"/>
          <w:sz w:val="20"/>
          <w:szCs w:val="20"/>
        </w:rPr>
        <w:t xml:space="preserve"> well-constructed questions,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give accurate information</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about</w:t>
      </w:r>
      <w:proofErr w:type="gramEnd"/>
      <w:r>
        <w:rPr>
          <w:rFonts w:ascii="Times New Roman" w:hAnsi="Times New Roman" w:cs="Times New Roman"/>
          <w:sz w:val="20"/>
          <w:szCs w:val="20"/>
        </w:rPr>
        <w:t xml:space="preserve"> their child, regardless of differences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socioeconomic status,</w:t>
      </w:r>
    </w:p>
    <w:p w:rsidR="004D3E81" w:rsidRDefault="004D3E81" w:rsidP="004D3E8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geographic</w:t>
      </w:r>
      <w:proofErr w:type="gramEnd"/>
      <w:r>
        <w:rPr>
          <w:rFonts w:ascii="Times New Roman" w:hAnsi="Times New Roman" w:cs="Times New Roman"/>
          <w:sz w:val="20"/>
          <w:szCs w:val="20"/>
        </w:rPr>
        <w:t xml:space="preserve"> location, or parental</w:t>
      </w:r>
    </w:p>
    <w:p w:rsidR="004D3E81" w:rsidRDefault="004D3E81" w:rsidP="004D3E81">
      <w:pPr>
        <w:spacing w:after="240" w:line="360" w:lineRule="auto"/>
        <w:rPr>
          <w:rFonts w:ascii="Times New Roman" w:hAnsi="Times New Roman" w:cs="Times New Roman"/>
          <w:sz w:val="20"/>
          <w:szCs w:val="20"/>
        </w:rPr>
      </w:pPr>
      <w:proofErr w:type="gramStart"/>
      <w:r>
        <w:rPr>
          <w:rFonts w:ascii="Times New Roman" w:hAnsi="Times New Roman" w:cs="Times New Roman"/>
          <w:sz w:val="20"/>
          <w:szCs w:val="20"/>
        </w:rPr>
        <w:t>well-being</w:t>
      </w:r>
      <w:proofErr w:type="gramEnd"/>
    </w:p>
    <w:p w:rsidR="004D3E81" w:rsidRDefault="004D3E81" w:rsidP="004D3E81">
      <w:pPr>
        <w:spacing w:after="240" w:line="360" w:lineRule="auto"/>
        <w:rPr>
          <w:rFonts w:ascii="Times New Roman" w:hAnsi="Times New Roman" w:cs="Times New Roman"/>
          <w:sz w:val="20"/>
          <w:szCs w:val="20"/>
        </w:rPr>
      </w:pPr>
    </w:p>
    <w:p w:rsidR="004D3E81" w:rsidRDefault="004D3E81" w:rsidP="004D3E81">
      <w:pPr>
        <w:spacing w:after="240" w:line="360" w:lineRule="auto"/>
        <w:rPr>
          <w:rFonts w:ascii="Times New Roman" w:hAnsi="Times New Roman" w:cs="Times New Roman"/>
          <w:sz w:val="20"/>
          <w:szCs w:val="20"/>
        </w:rPr>
      </w:pPr>
    </w:p>
    <w:p w:rsidR="004D3E81" w:rsidRDefault="004D3E81" w:rsidP="004D3E81">
      <w:pPr>
        <w:spacing w:after="240" w:line="360" w:lineRule="auto"/>
        <w:rPr>
          <w:rFonts w:ascii="Times New Roman" w:hAnsi="Times New Roman" w:cs="Times New Roman"/>
          <w:sz w:val="20"/>
          <w:szCs w:val="20"/>
        </w:rPr>
      </w:pPr>
    </w:p>
    <w:p w:rsidR="00B10D31" w:rsidRDefault="00B10D31" w:rsidP="00B10D31">
      <w:pPr>
        <w:spacing w:after="240" w:line="360" w:lineRule="auto"/>
        <w:rPr>
          <w:rFonts w:ascii="Times New Roman" w:hAnsi="Times New Roman" w:cs="Times New Roman"/>
          <w:sz w:val="20"/>
          <w:szCs w:val="20"/>
        </w:rPr>
      </w:pPr>
      <w:r>
        <w:rPr>
          <w:rFonts w:ascii="Times New Roman" w:hAnsi="Times New Roman" w:cs="Times New Roman"/>
          <w:sz w:val="20"/>
          <w:szCs w:val="20"/>
        </w:rPr>
        <w:t>Glascoe</w:t>
      </w:r>
    </w:p>
    <w:p w:rsidR="00B10D31" w:rsidRDefault="00B10D31" w:rsidP="00B10D31">
      <w:pPr>
        <w:spacing w:after="240" w:line="360" w:lineRule="auto"/>
        <w:rPr>
          <w:rFonts w:ascii="Times New Roman" w:hAnsi="Times New Roman" w:cs="Times New Roman"/>
          <w:sz w:val="20"/>
          <w:szCs w:val="20"/>
        </w:rPr>
      </w:pPr>
      <w:r>
        <w:rPr>
          <w:rFonts w:ascii="Times New Roman" w:hAnsi="Times New Roman" w:cs="Times New Roman"/>
          <w:sz w:val="20"/>
          <w:szCs w:val="20"/>
        </w:rPr>
        <w:t>Early Detection of Developmental and Behavioral Problems</w:t>
      </w:r>
    </w:p>
    <w:p w:rsidR="004D3E81" w:rsidRDefault="004D3E81" w:rsidP="00B10D31">
      <w:pPr>
        <w:spacing w:after="240" w:line="360" w:lineRule="auto"/>
        <w:rPr>
          <w:rFonts w:ascii="Times New Roman" w:hAnsi="Times New Roman" w:cs="Times New Roman"/>
          <w:sz w:val="20"/>
          <w:szCs w:val="20"/>
        </w:rPr>
      </w:pPr>
      <w:r>
        <w:rPr>
          <w:rFonts w:ascii="Times New Roman" w:hAnsi="Times New Roman" w:cs="Times New Roman"/>
          <w:sz w:val="20"/>
          <w:szCs w:val="20"/>
        </w:rPr>
        <w:t>Pediatrics in Review vol 21 No 8 August 2000</w:t>
      </w:r>
    </w:p>
    <w:p w:rsidR="004D3E81" w:rsidRDefault="004D3E81" w:rsidP="00B10D31">
      <w:pPr>
        <w:spacing w:after="240" w:line="360" w:lineRule="auto"/>
        <w:rPr>
          <w:rFonts w:ascii="Times New Roman" w:hAnsi="Times New Roman" w:cs="Times New Roman"/>
          <w:sz w:val="20"/>
          <w:szCs w:val="20"/>
        </w:rPr>
      </w:pPr>
    </w:p>
    <w:p w:rsidR="004D3E81" w:rsidRDefault="004D3E81" w:rsidP="00B10D31">
      <w:pPr>
        <w:spacing w:after="240" w:line="360" w:lineRule="auto"/>
        <w:rPr>
          <w:rFonts w:ascii="Times New Roman" w:hAnsi="Times New Roman" w:cs="Times New Roman"/>
          <w:sz w:val="20"/>
          <w:szCs w:val="20"/>
        </w:rPr>
      </w:pPr>
    </w:p>
    <w:p w:rsidR="004D3E81" w:rsidRDefault="004D3E81" w:rsidP="00B10D31">
      <w:pPr>
        <w:spacing w:after="240" w:line="360" w:lineRule="auto"/>
        <w:rPr>
          <w:rFonts w:ascii="Times New Roman" w:hAnsi="Times New Roman" w:cs="Times New Roman"/>
          <w:sz w:val="20"/>
          <w:szCs w:val="20"/>
        </w:rPr>
      </w:pPr>
      <w:r>
        <w:rPr>
          <w:rFonts w:ascii="Times New Roman" w:hAnsi="Times New Roman" w:cs="Times New Roman"/>
          <w:sz w:val="20"/>
          <w:szCs w:val="20"/>
        </w:rPr>
        <w:t>Francis Page Glascoe</w:t>
      </w:r>
    </w:p>
    <w:p w:rsidR="004D3E81" w:rsidRDefault="004D3E81" w:rsidP="00B10D31">
      <w:pPr>
        <w:spacing w:after="240" w:line="360" w:lineRule="auto"/>
        <w:rPr>
          <w:rFonts w:ascii="Times New Roman" w:hAnsi="Times New Roman" w:cs="Times New Roman"/>
          <w:sz w:val="20"/>
          <w:szCs w:val="20"/>
        </w:rPr>
      </w:pPr>
      <w:r>
        <w:rPr>
          <w:rFonts w:ascii="Times New Roman" w:hAnsi="Times New Roman" w:cs="Times New Roman"/>
          <w:sz w:val="20"/>
          <w:szCs w:val="20"/>
        </w:rPr>
        <w:t>Kevin P. Marks</w:t>
      </w:r>
    </w:p>
    <w:p w:rsidR="004D3E81" w:rsidRDefault="004D3E81" w:rsidP="00B10D31">
      <w:pPr>
        <w:spacing w:after="240" w:line="360" w:lineRule="auto"/>
      </w:pPr>
      <w:r>
        <w:t>Detecting children with developmental-behavioral problems: the value of collaborating with parents</w:t>
      </w:r>
    </w:p>
    <w:p w:rsidR="004D3E81" w:rsidRDefault="004D3E81" w:rsidP="00B10D31">
      <w:pPr>
        <w:spacing w:after="240" w:line="360" w:lineRule="auto"/>
      </w:pPr>
      <w:r>
        <w:t>Psychological Test and Assessment Modeling, Volume 53, 2011(2) 258-279</w:t>
      </w:r>
    </w:p>
    <w:p w:rsidR="004D3E81" w:rsidRDefault="004D3E81" w:rsidP="00B10D31">
      <w:pPr>
        <w:spacing w:after="240" w:line="360" w:lineRule="auto"/>
      </w:pPr>
    </w:p>
    <w:p w:rsidR="00980B7C" w:rsidRDefault="00980B7C" w:rsidP="00980B7C">
      <w:pPr>
        <w:autoSpaceDE w:val="0"/>
        <w:autoSpaceDN w:val="0"/>
        <w:adjustRightInd w:val="0"/>
        <w:spacing w:after="0" w:line="240" w:lineRule="auto"/>
        <w:rPr>
          <w:rFonts w:ascii="AGaramond-Semibold" w:hAnsi="AGaramond-Semibold" w:cs="AGaramond-Semibold"/>
          <w:sz w:val="24"/>
          <w:szCs w:val="24"/>
        </w:rPr>
      </w:pPr>
      <w:r>
        <w:rPr>
          <w:rFonts w:ascii="AGaramond-Semibold" w:hAnsi="AGaramond-Semibold" w:cs="AGaramond-Semibold"/>
          <w:sz w:val="24"/>
          <w:szCs w:val="24"/>
        </w:rPr>
        <w:t>Ten Principles to Guide Policy, Practice, and Advocacy</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1) Start with the parents, but connect with the whole family—not just the mother and the</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young</w:t>
      </w:r>
      <w:proofErr w:type="gramEnd"/>
      <w:r>
        <w:rPr>
          <w:rFonts w:ascii="AGaramond-Regular" w:hAnsi="AGaramond-Regular" w:cs="AGaramond-Regular"/>
        </w:rPr>
        <w:t xml:space="preserve"> child—and don’t forget the fathers, wherever they are.</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2) Work in partnership with community leaders (promoters, mentors, resource moms, and</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others</w:t>
      </w:r>
      <w:proofErr w:type="gramEnd"/>
      <w:r>
        <w:rPr>
          <w:rFonts w:ascii="AGaramond-Regular" w:hAnsi="AGaramond-Regular" w:cs="AGaramond-Regular"/>
        </w:rPr>
        <w:t>).</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3) Target important moments and transitions in families’ lives (such as pregnancy, birth,</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entrance</w:t>
      </w:r>
      <w:proofErr w:type="gramEnd"/>
      <w:r>
        <w:rPr>
          <w:rFonts w:ascii="AGaramond-Regular" w:hAnsi="AGaramond-Regular" w:cs="AGaramond-Regular"/>
        </w:rPr>
        <w:t xml:space="preserve"> into early childhood programs, probation/incarceration).</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4) Connect with families as early as possible (starting during prenatal care is best).</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5) Connect with families across as many settings as possible (such as churches, other faithbased</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organizations</w:t>
      </w:r>
      <w:proofErr w:type="gramEnd"/>
      <w:r>
        <w:rPr>
          <w:rFonts w:ascii="AGaramond-Regular" w:hAnsi="AGaramond-Regular" w:cs="AGaramond-Regular"/>
        </w:rPr>
        <w:t>, informal child care providers, and resource and referral agencies).</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6) Use multiple entry points for access to family-focused screening, assessment, prevention,</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and</w:t>
      </w:r>
      <w:proofErr w:type="gramEnd"/>
      <w:r>
        <w:rPr>
          <w:rFonts w:ascii="AGaramond-Regular" w:hAnsi="AGaramond-Regular" w:cs="AGaramond-Regular"/>
        </w:rPr>
        <w:t xml:space="preserve"> more intensive treatment (such as community health clinics, family court, juvenile</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justice</w:t>
      </w:r>
      <w:proofErr w:type="gramEnd"/>
      <w:r>
        <w:rPr>
          <w:rFonts w:ascii="AGaramond-Regular" w:hAnsi="AGaramond-Regular" w:cs="AGaramond-Regular"/>
        </w:rPr>
        <w:t xml:space="preserve"> system, substance abuse programs, and shelters).</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 xml:space="preserve">7) </w:t>
      </w:r>
      <w:proofErr w:type="gramStart"/>
      <w:r>
        <w:rPr>
          <w:rFonts w:ascii="AGaramond-Regular" w:hAnsi="AGaramond-Regular" w:cs="AGaramond-Regular"/>
        </w:rPr>
        <w:t>Make</w:t>
      </w:r>
      <w:proofErr w:type="gramEnd"/>
      <w:r>
        <w:rPr>
          <w:rFonts w:ascii="AGaramond-Regular" w:hAnsi="AGaramond-Regular" w:cs="AGaramond-Regular"/>
        </w:rPr>
        <w:t xml:space="preserve"> sure that parenting programs are responsive to the special needs of more vulnerable</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families</w:t>
      </w:r>
      <w:proofErr w:type="gramEnd"/>
      <w:r>
        <w:rPr>
          <w:rFonts w:ascii="AGaramond-Regular" w:hAnsi="AGaramond-Regular" w:cs="AGaramond-Regular"/>
        </w:rPr>
        <w:t>.</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8) Nurture the staff. Make sure there are supports for child care staff that are depressed,</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stressed</w:t>
      </w:r>
      <w:proofErr w:type="gramEnd"/>
      <w:r>
        <w:rPr>
          <w:rFonts w:ascii="AGaramond-Regular" w:hAnsi="AGaramond-Regular" w:cs="AGaramond-Regular"/>
        </w:rPr>
        <w:t>, and burnt out (such as access to early childhood mental health consultation).</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9) Find ways to use existing funding more efficiently, and then seek new funding for</w:t>
      </w:r>
    </w:p>
    <w:p w:rsidR="00980B7C" w:rsidRDefault="00980B7C" w:rsidP="00980B7C">
      <w:pPr>
        <w:autoSpaceDE w:val="0"/>
        <w:autoSpaceDN w:val="0"/>
        <w:adjustRightInd w:val="0"/>
        <w:spacing w:after="0" w:line="240" w:lineRule="auto"/>
        <w:rPr>
          <w:rFonts w:ascii="AGaramond-Regular" w:hAnsi="AGaramond-Regular" w:cs="AGaramond-Regular"/>
          <w:sz w:val="13"/>
          <w:szCs w:val="13"/>
        </w:rPr>
      </w:pPr>
      <w:proofErr w:type="gramStart"/>
      <w:r>
        <w:rPr>
          <w:rFonts w:ascii="AGaramond-Regular" w:hAnsi="AGaramond-Regular" w:cs="AGaramond-Regular"/>
        </w:rPr>
        <w:t>specific</w:t>
      </w:r>
      <w:proofErr w:type="gramEnd"/>
      <w:r>
        <w:rPr>
          <w:rFonts w:ascii="AGaramond-Regular" w:hAnsi="AGaramond-Regular" w:cs="AGaramond-Regular"/>
        </w:rPr>
        <w:t xml:space="preserve"> purposes.</w:t>
      </w:r>
      <w:r>
        <w:rPr>
          <w:rFonts w:ascii="AGaramond-Regular" w:hAnsi="AGaramond-Regular" w:cs="AGaramond-Regular"/>
          <w:sz w:val="13"/>
          <w:szCs w:val="13"/>
        </w:rPr>
        <w:t>11</w:t>
      </w:r>
    </w:p>
    <w:p w:rsidR="00980B7C" w:rsidRDefault="00980B7C" w:rsidP="00980B7C">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10) Train the next generation of professionals with real families as their teachers, especially</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families</w:t>
      </w:r>
      <w:proofErr w:type="gramEnd"/>
      <w:r>
        <w:rPr>
          <w:rFonts w:ascii="AGaramond-Regular" w:hAnsi="AGaramond-Regular" w:cs="AGaramond-Regular"/>
        </w:rPr>
        <w:t xml:space="preserve"> who have overcome burdens. For example, assign medical and other graduate</w:t>
      </w:r>
    </w:p>
    <w:p w:rsidR="00980B7C" w:rsidRDefault="00980B7C" w:rsidP="00980B7C">
      <w:pPr>
        <w:autoSpaceDE w:val="0"/>
        <w:autoSpaceDN w:val="0"/>
        <w:adjustRightInd w:val="0"/>
        <w:spacing w:after="0" w:line="240" w:lineRule="auto"/>
        <w:rPr>
          <w:rFonts w:ascii="AGaramond-Regular" w:hAnsi="AGaramond-Regular" w:cs="AGaramond-Regular"/>
        </w:rPr>
      </w:pPr>
      <w:proofErr w:type="gramStart"/>
      <w:r>
        <w:rPr>
          <w:rFonts w:ascii="AGaramond-Regular" w:hAnsi="AGaramond-Regular" w:cs="AGaramond-Regular"/>
        </w:rPr>
        <w:t>students</w:t>
      </w:r>
      <w:proofErr w:type="gramEnd"/>
      <w:r>
        <w:rPr>
          <w:rFonts w:ascii="AGaramond-Regular" w:hAnsi="AGaramond-Regular" w:cs="AGaramond-Regular"/>
        </w:rPr>
        <w:t xml:space="preserve"> for a year to a family with a new baby to understand the context of stressed</w:t>
      </w:r>
    </w:p>
    <w:p w:rsidR="004D3E81" w:rsidRDefault="00980B7C" w:rsidP="00980B7C">
      <w:pPr>
        <w:spacing w:after="240" w:line="360" w:lineRule="auto"/>
      </w:pPr>
      <w:proofErr w:type="gramStart"/>
      <w:r>
        <w:rPr>
          <w:rFonts w:ascii="AGaramond-Regular" w:hAnsi="AGaramond-Regular" w:cs="AGaramond-Regular"/>
        </w:rPr>
        <w:t>families</w:t>
      </w:r>
      <w:proofErr w:type="gramEnd"/>
      <w:r>
        <w:rPr>
          <w:rFonts w:ascii="AGaramond-Regular" w:hAnsi="AGaramond-Regular" w:cs="AGaramond-Regular"/>
        </w:rPr>
        <w:t>’ daily lives, their celebrations, and hardships.</w:t>
      </w:r>
    </w:p>
    <w:p w:rsidR="004D3E81" w:rsidRDefault="004D3E81" w:rsidP="00B10D31">
      <w:pPr>
        <w:spacing w:after="240" w:line="360" w:lineRule="auto"/>
      </w:pPr>
      <w:r>
        <w:lastRenderedPageBreak/>
        <w:t>Jane Knitzer</w:t>
      </w:r>
    </w:p>
    <w:p w:rsidR="004D3E81" w:rsidRDefault="004D3E81" w:rsidP="00B10D31">
      <w:pPr>
        <w:spacing w:after="240" w:line="360" w:lineRule="auto"/>
      </w:pPr>
      <w:r>
        <w:t>Jill Lefkowitz</w:t>
      </w:r>
    </w:p>
    <w:p w:rsidR="004D3E81" w:rsidRDefault="004D3E81" w:rsidP="00B10D31">
      <w:pPr>
        <w:spacing w:after="240" w:line="360" w:lineRule="auto"/>
      </w:pPr>
      <w:r>
        <w:t>Pathways to early school Success</w:t>
      </w:r>
    </w:p>
    <w:p w:rsidR="004D3E81" w:rsidRDefault="004D3E81" w:rsidP="00B10D31">
      <w:pPr>
        <w:spacing w:after="240" w:line="360" w:lineRule="auto"/>
      </w:pPr>
      <w:r>
        <w:t>Issue brief no. 1</w:t>
      </w:r>
    </w:p>
    <w:p w:rsidR="004D3E81" w:rsidRDefault="004D3E81" w:rsidP="00B10D31">
      <w:pPr>
        <w:spacing w:after="240" w:line="360" w:lineRule="auto"/>
      </w:pPr>
      <w:r>
        <w:t>Helping the most vulnerable infants, toddlers, and their families</w:t>
      </w:r>
    </w:p>
    <w:p w:rsidR="004D3E81" w:rsidRDefault="004D3E81" w:rsidP="00B10D31">
      <w:pPr>
        <w:spacing w:after="240" w:line="360" w:lineRule="auto"/>
      </w:pPr>
      <w:r>
        <w:t>January 2006</w:t>
      </w:r>
    </w:p>
    <w:p w:rsidR="004D3E81" w:rsidRDefault="004D3E81" w:rsidP="00B10D31">
      <w:pPr>
        <w:spacing w:after="240" w:line="360" w:lineRule="auto"/>
      </w:pPr>
    </w:p>
    <w:p w:rsidR="0083062C" w:rsidRDefault="0083062C" w:rsidP="00B10D31">
      <w:pPr>
        <w:spacing w:after="240" w:line="360" w:lineRule="auto"/>
      </w:pPr>
    </w:p>
    <w:p w:rsidR="0083062C" w:rsidRDefault="0083062C" w:rsidP="00B10D31">
      <w:pPr>
        <w:spacing w:after="240" w:line="360" w:lineRule="auto"/>
      </w:pPr>
    </w:p>
    <w:p w:rsidR="0083062C" w:rsidRDefault="0083062C" w:rsidP="00B10D31">
      <w:pPr>
        <w:spacing w:after="240" w:line="360" w:lineRule="auto"/>
      </w:pPr>
      <w:r>
        <w:t xml:space="preserve">Mental Health Surveillance </w:t>
      </w:r>
      <w:proofErr w:type="gramStart"/>
      <w:r>
        <w:t>Among</w:t>
      </w:r>
      <w:proofErr w:type="gramEnd"/>
      <w:r>
        <w:t xml:space="preserve"> Children—United States 2005-2011</w:t>
      </w:r>
    </w:p>
    <w:p w:rsidR="0083062C" w:rsidRDefault="0083062C" w:rsidP="00B10D31">
      <w:pPr>
        <w:spacing w:after="240" w:line="360" w:lineRule="auto"/>
      </w:pPr>
      <w:r>
        <w:t>Morbidity andMortality Weekly Report</w:t>
      </w:r>
    </w:p>
    <w:p w:rsidR="0083062C" w:rsidRDefault="0083062C" w:rsidP="00B10D31">
      <w:pPr>
        <w:spacing w:after="240" w:line="360" w:lineRule="auto"/>
      </w:pPr>
      <w:r>
        <w:t>May 17, 2013</w:t>
      </w:r>
    </w:p>
    <w:p w:rsidR="0083062C" w:rsidRDefault="0083062C" w:rsidP="00B10D31">
      <w:pPr>
        <w:spacing w:after="240" w:line="360" w:lineRule="auto"/>
      </w:pPr>
      <w:r>
        <w:t>Supplement Vol. 62 no.2</w:t>
      </w:r>
    </w:p>
    <w:p w:rsidR="0083062C" w:rsidRDefault="0083062C" w:rsidP="00B10D31">
      <w:pPr>
        <w:spacing w:after="240" w:line="360" w:lineRule="auto"/>
      </w:pPr>
      <w:r>
        <w:t>CDC 2013</w:t>
      </w:r>
    </w:p>
    <w:p w:rsidR="0083062C" w:rsidRDefault="0083062C" w:rsidP="00B10D31">
      <w:pPr>
        <w:spacing w:after="240" w:line="360" w:lineRule="auto"/>
      </w:pPr>
    </w:p>
    <w:p w:rsidR="00626876" w:rsidRDefault="00626876" w:rsidP="00B10D31">
      <w:pPr>
        <w:spacing w:after="240" w:line="360" w:lineRule="auto"/>
      </w:pPr>
    </w:p>
    <w:p w:rsidR="00626876" w:rsidRDefault="00626876" w:rsidP="00626876">
      <w:pPr>
        <w:pStyle w:val="Default"/>
      </w:pPr>
    </w:p>
    <w:p w:rsidR="00626876" w:rsidRDefault="00626876" w:rsidP="00626876">
      <w:pPr>
        <w:pStyle w:val="Default"/>
        <w:rPr>
          <w:rFonts w:cstheme="minorBidi"/>
          <w:color w:val="auto"/>
        </w:rPr>
      </w:pPr>
    </w:p>
    <w:p w:rsidR="00626876" w:rsidRDefault="00626876" w:rsidP="00626876">
      <w:pPr>
        <w:spacing w:after="240" w:line="360" w:lineRule="auto"/>
        <w:rPr>
          <w:sz w:val="17"/>
          <w:szCs w:val="17"/>
        </w:rPr>
      </w:pPr>
      <w:r>
        <w:t xml:space="preserve"> </w:t>
      </w:r>
      <w:r>
        <w:rPr>
          <w:sz w:val="17"/>
          <w:szCs w:val="17"/>
        </w:rPr>
        <w:t xml:space="preserve">Adverse childhood experiences (ACEs) are potentially traumatic events that can have negative, lasting effects on health and well-being.¹ </w:t>
      </w:r>
      <w:proofErr w:type="gramStart"/>
      <w:r>
        <w:rPr>
          <w:sz w:val="17"/>
          <w:szCs w:val="17"/>
        </w:rPr>
        <w:t>These</w:t>
      </w:r>
      <w:proofErr w:type="gramEnd"/>
      <w:r>
        <w:rPr>
          <w:sz w:val="17"/>
          <w:szCs w:val="17"/>
        </w:rPr>
        <w:t xml:space="preserve"> experiences range from physical, emotional, or sexual abuse to parental divorce or the incarceration of a parent or guardian.</w:t>
      </w:r>
    </w:p>
    <w:p w:rsidR="00626876" w:rsidRDefault="00626876" w:rsidP="00626876">
      <w:pPr>
        <w:pStyle w:val="Default"/>
      </w:pPr>
    </w:p>
    <w:p w:rsidR="00626876" w:rsidRDefault="00626876" w:rsidP="00626876">
      <w:pPr>
        <w:pStyle w:val="Default"/>
        <w:rPr>
          <w:rFonts w:cstheme="minorBidi"/>
          <w:color w:val="auto"/>
        </w:rPr>
      </w:pPr>
    </w:p>
    <w:p w:rsidR="00626876" w:rsidRDefault="00626876" w:rsidP="00626876">
      <w:pPr>
        <w:pStyle w:val="Pa4"/>
        <w:spacing w:before="80"/>
        <w:rPr>
          <w:sz w:val="17"/>
          <w:szCs w:val="17"/>
        </w:rPr>
      </w:pPr>
      <w:r>
        <w:t xml:space="preserve"> </w:t>
      </w:r>
      <w:r>
        <w:rPr>
          <w:sz w:val="17"/>
          <w:szCs w:val="17"/>
        </w:rPr>
        <w:t xml:space="preserve">Economic hardship is the most common adverse childhood experience (ACE) reported </w:t>
      </w:r>
    </w:p>
    <w:p w:rsidR="00626876" w:rsidRDefault="00626876" w:rsidP="00626876">
      <w:pPr>
        <w:spacing w:after="240" w:line="360" w:lineRule="auto"/>
        <w:rPr>
          <w:sz w:val="17"/>
          <w:szCs w:val="17"/>
        </w:rPr>
      </w:pPr>
      <w:proofErr w:type="gramStart"/>
      <w:r>
        <w:rPr>
          <w:sz w:val="17"/>
          <w:szCs w:val="17"/>
        </w:rPr>
        <w:lastRenderedPageBreak/>
        <w:t>nationally</w:t>
      </w:r>
      <w:proofErr w:type="gramEnd"/>
      <w:r>
        <w:rPr>
          <w:sz w:val="17"/>
          <w:szCs w:val="17"/>
        </w:rPr>
        <w:t xml:space="preserve"> and in almost all states, followed by divorce or separation of a parent or guardian. Only in Iowa, Michigan, and Vermont is divorce or separation more common than economic hardship; in the District of Columbia, having been the victim of or witness to violence has the second-highest prevalence, after economic hardship.</w:t>
      </w:r>
    </w:p>
    <w:p w:rsidR="00626876" w:rsidRDefault="00626876" w:rsidP="00626876">
      <w:pPr>
        <w:pStyle w:val="Default"/>
      </w:pPr>
    </w:p>
    <w:p w:rsidR="00626876" w:rsidRDefault="00626876" w:rsidP="00626876">
      <w:pPr>
        <w:pStyle w:val="Default"/>
        <w:rPr>
          <w:rFonts w:cstheme="minorBidi"/>
          <w:color w:val="auto"/>
        </w:rPr>
      </w:pPr>
    </w:p>
    <w:p w:rsidR="00626876" w:rsidRDefault="00626876" w:rsidP="00626876">
      <w:pPr>
        <w:pStyle w:val="Pa4"/>
        <w:spacing w:before="80"/>
        <w:rPr>
          <w:sz w:val="17"/>
          <w:szCs w:val="17"/>
        </w:rPr>
      </w:pPr>
      <w:r>
        <w:t xml:space="preserve"> </w:t>
      </w:r>
      <w:r>
        <w:rPr>
          <w:sz w:val="17"/>
          <w:szCs w:val="17"/>
        </w:rPr>
        <w:t xml:space="preserve">Abuse of alcohol or drugs, exposure to neighborhood violence, and the occurrence of </w:t>
      </w:r>
    </w:p>
    <w:p w:rsidR="00626876" w:rsidRDefault="00626876" w:rsidP="00626876">
      <w:pPr>
        <w:spacing w:after="240" w:line="360" w:lineRule="auto"/>
        <w:rPr>
          <w:sz w:val="17"/>
          <w:szCs w:val="17"/>
        </w:rPr>
      </w:pPr>
      <w:proofErr w:type="gramStart"/>
      <w:r>
        <w:rPr>
          <w:sz w:val="17"/>
          <w:szCs w:val="17"/>
        </w:rPr>
        <w:t>mental</w:t>
      </w:r>
      <w:proofErr w:type="gramEnd"/>
      <w:r>
        <w:rPr>
          <w:sz w:val="17"/>
          <w:szCs w:val="17"/>
        </w:rPr>
        <w:t xml:space="preserve"> illness are among the most commonly-reported adverse childhood experiences in every state.</w:t>
      </w:r>
    </w:p>
    <w:p w:rsidR="00626876" w:rsidRDefault="00626876" w:rsidP="00626876">
      <w:pPr>
        <w:pStyle w:val="Default"/>
      </w:pPr>
    </w:p>
    <w:p w:rsidR="00626876" w:rsidRDefault="00626876" w:rsidP="00626876">
      <w:pPr>
        <w:pStyle w:val="Default"/>
        <w:rPr>
          <w:rFonts w:cstheme="minorBidi"/>
          <w:color w:val="auto"/>
        </w:rPr>
      </w:pPr>
    </w:p>
    <w:p w:rsidR="00626876" w:rsidRDefault="00626876" w:rsidP="00626876">
      <w:pPr>
        <w:pStyle w:val="Pa4"/>
        <w:spacing w:before="80"/>
        <w:rPr>
          <w:sz w:val="17"/>
          <w:szCs w:val="17"/>
        </w:rPr>
      </w:pPr>
      <w:r>
        <w:t xml:space="preserve"> </w:t>
      </w:r>
      <w:r>
        <w:rPr>
          <w:sz w:val="17"/>
          <w:szCs w:val="17"/>
        </w:rPr>
        <w:t xml:space="preserve">Just under half (46 percent) of children in the U.S. have experienced at least one ACE. In </w:t>
      </w:r>
    </w:p>
    <w:p w:rsidR="00626876" w:rsidRDefault="00626876" w:rsidP="00626876">
      <w:pPr>
        <w:spacing w:after="240" w:line="360" w:lineRule="auto"/>
        <w:rPr>
          <w:sz w:val="17"/>
          <w:szCs w:val="17"/>
        </w:rPr>
      </w:pPr>
      <w:r>
        <w:rPr>
          <w:sz w:val="17"/>
          <w:szCs w:val="17"/>
        </w:rPr>
        <w:t>16 states, a slight majority of children have experienced at least one ACE. In Connecticut, Maryland, and New Jersey, 60 percent or more of children have never experienced an ACE.</w:t>
      </w:r>
    </w:p>
    <w:p w:rsidR="00626876" w:rsidRDefault="00626876" w:rsidP="00626876">
      <w:pPr>
        <w:pStyle w:val="Default"/>
      </w:pPr>
    </w:p>
    <w:p w:rsidR="00626876" w:rsidRDefault="00626876" w:rsidP="00626876">
      <w:pPr>
        <w:pStyle w:val="Default"/>
        <w:rPr>
          <w:rFonts w:cstheme="minorBidi"/>
          <w:color w:val="auto"/>
        </w:rPr>
      </w:pPr>
    </w:p>
    <w:p w:rsidR="00626876" w:rsidRDefault="00626876" w:rsidP="00626876">
      <w:pPr>
        <w:pStyle w:val="Pa4"/>
        <w:spacing w:before="80"/>
        <w:rPr>
          <w:sz w:val="17"/>
          <w:szCs w:val="17"/>
        </w:rPr>
      </w:pPr>
      <w:r>
        <w:t xml:space="preserve"> </w:t>
      </w:r>
      <w:r>
        <w:rPr>
          <w:sz w:val="17"/>
          <w:szCs w:val="17"/>
        </w:rPr>
        <w:t xml:space="preserve">States vary in the pattern of specific ACEs. Connecticut and New Jersey have some of the </w:t>
      </w:r>
    </w:p>
    <w:p w:rsidR="00626876" w:rsidRDefault="00626876" w:rsidP="00626876">
      <w:pPr>
        <w:spacing w:after="240" w:line="360" w:lineRule="auto"/>
        <w:rPr>
          <w:sz w:val="17"/>
          <w:szCs w:val="17"/>
        </w:rPr>
      </w:pPr>
      <w:proofErr w:type="gramStart"/>
      <w:r>
        <w:rPr>
          <w:sz w:val="17"/>
          <w:szCs w:val="17"/>
        </w:rPr>
        <w:t>lowest</w:t>
      </w:r>
      <w:proofErr w:type="gramEnd"/>
      <w:r>
        <w:rPr>
          <w:sz w:val="17"/>
          <w:szCs w:val="17"/>
        </w:rPr>
        <w:t xml:space="preserve"> prevalence rates nationally for all ACEs, while Oklahoma has consistently high prevalence.</w:t>
      </w:r>
    </w:p>
    <w:p w:rsidR="00626876" w:rsidRDefault="00626876" w:rsidP="00626876">
      <w:pPr>
        <w:pStyle w:val="Pa2"/>
        <w:spacing w:before="200" w:after="80"/>
        <w:rPr>
          <w:rFonts w:cs="Interstate-BoldCondensed"/>
          <w:color w:val="E37E1B"/>
          <w:sz w:val="23"/>
          <w:szCs w:val="23"/>
        </w:rPr>
      </w:pPr>
      <w:r>
        <w:rPr>
          <w:rFonts w:cs="Interstate-BoldCondensed"/>
          <w:color w:val="E37E1B"/>
          <w:sz w:val="23"/>
          <w:szCs w:val="23"/>
        </w:rPr>
        <w:t xml:space="preserve">MEASUREMENT OF ADVERSE CHILDHOOD EXPERIENCES </w:t>
      </w:r>
    </w:p>
    <w:p w:rsidR="00626876" w:rsidRDefault="00626876" w:rsidP="00626876">
      <w:pPr>
        <w:pStyle w:val="Pa10"/>
        <w:spacing w:after="60"/>
        <w:rPr>
          <w:rFonts w:ascii="Fedra Serif A Std Book" w:hAnsi="Fedra Serif A Std Book" w:cs="Fedra Serif A Std Book"/>
          <w:color w:val="000000"/>
          <w:sz w:val="17"/>
          <w:szCs w:val="17"/>
        </w:rPr>
      </w:pPr>
      <w:r>
        <w:rPr>
          <w:rStyle w:val="A7"/>
        </w:rPr>
        <w:t xml:space="preserve">We measured the prevalence of eight adverse childhood experiences (ACEs), consisting of whether the child ever: </w:t>
      </w:r>
    </w:p>
    <w:p w:rsidR="00626876" w:rsidRDefault="00626876" w:rsidP="00626876">
      <w:pPr>
        <w:pStyle w:val="Pa10"/>
        <w:spacing w:after="60"/>
        <w:rPr>
          <w:rFonts w:ascii="Fedra Serif A Std Book" w:hAnsi="Fedra Serif A Std Book" w:cs="Fedra Serif A Std Book"/>
          <w:color w:val="000000"/>
          <w:sz w:val="17"/>
          <w:szCs w:val="17"/>
        </w:rPr>
      </w:pPr>
      <w:r>
        <w:rPr>
          <w:rStyle w:val="A7"/>
        </w:rPr>
        <w:t xml:space="preserve">1. Lived with a parent or guardian who got divorced or separated; </w:t>
      </w:r>
    </w:p>
    <w:p w:rsidR="00626876" w:rsidRDefault="00626876" w:rsidP="00626876">
      <w:pPr>
        <w:pStyle w:val="Pa10"/>
        <w:spacing w:after="60"/>
        <w:rPr>
          <w:rFonts w:ascii="Fedra Serif A Std Book" w:hAnsi="Fedra Serif A Std Book" w:cs="Fedra Serif A Std Book"/>
          <w:color w:val="000000"/>
          <w:sz w:val="17"/>
          <w:szCs w:val="17"/>
        </w:rPr>
      </w:pPr>
      <w:r>
        <w:rPr>
          <w:rStyle w:val="A7"/>
        </w:rPr>
        <w:t xml:space="preserve">2. </w:t>
      </w:r>
      <w:proofErr w:type="gramStart"/>
      <w:r>
        <w:rPr>
          <w:rStyle w:val="A7"/>
        </w:rPr>
        <w:t>Lived</w:t>
      </w:r>
      <w:proofErr w:type="gramEnd"/>
      <w:r>
        <w:rPr>
          <w:rStyle w:val="A7"/>
        </w:rPr>
        <w:t xml:space="preserve"> with a parent or guardian who died; </w:t>
      </w:r>
    </w:p>
    <w:p w:rsidR="00626876" w:rsidRDefault="00626876" w:rsidP="00626876">
      <w:pPr>
        <w:pStyle w:val="Pa10"/>
        <w:spacing w:after="60"/>
        <w:rPr>
          <w:rFonts w:ascii="Fedra Serif A Std Book" w:hAnsi="Fedra Serif A Std Book" w:cs="Fedra Serif A Std Book"/>
          <w:color w:val="000000"/>
          <w:sz w:val="17"/>
          <w:szCs w:val="17"/>
        </w:rPr>
      </w:pPr>
      <w:r>
        <w:rPr>
          <w:rStyle w:val="A7"/>
        </w:rPr>
        <w:t xml:space="preserve">3. </w:t>
      </w:r>
      <w:proofErr w:type="gramStart"/>
      <w:r>
        <w:rPr>
          <w:rStyle w:val="A7"/>
        </w:rPr>
        <w:t>Lived</w:t>
      </w:r>
      <w:proofErr w:type="gramEnd"/>
      <w:r>
        <w:rPr>
          <w:rStyle w:val="A7"/>
        </w:rPr>
        <w:t xml:space="preserve"> with a parent or guardian who served time in jail or prison; </w:t>
      </w:r>
    </w:p>
    <w:p w:rsidR="00626876" w:rsidRDefault="00626876" w:rsidP="00626876">
      <w:pPr>
        <w:pStyle w:val="Pa10"/>
        <w:spacing w:after="60"/>
        <w:rPr>
          <w:rFonts w:ascii="Fedra Serif A Std Book" w:hAnsi="Fedra Serif A Std Book" w:cs="Fedra Serif A Std Book"/>
          <w:color w:val="000000"/>
          <w:sz w:val="17"/>
          <w:szCs w:val="17"/>
        </w:rPr>
      </w:pPr>
      <w:r>
        <w:rPr>
          <w:rStyle w:val="A7"/>
        </w:rPr>
        <w:t xml:space="preserve">4. Lived with anyone who was mentally ill or suicidal, or severely depressed for more than a couple of weeks; </w:t>
      </w:r>
    </w:p>
    <w:p w:rsidR="00626876" w:rsidRDefault="00626876" w:rsidP="00626876">
      <w:pPr>
        <w:pStyle w:val="Pa10"/>
        <w:spacing w:after="60"/>
        <w:rPr>
          <w:rFonts w:ascii="Fedra Serif A Std Book" w:hAnsi="Fedra Serif A Std Book" w:cs="Fedra Serif A Std Book"/>
          <w:color w:val="000000"/>
          <w:sz w:val="17"/>
          <w:szCs w:val="17"/>
        </w:rPr>
      </w:pPr>
      <w:r>
        <w:rPr>
          <w:rStyle w:val="A7"/>
        </w:rPr>
        <w:t xml:space="preserve">5. </w:t>
      </w:r>
      <w:proofErr w:type="gramStart"/>
      <w:r>
        <w:rPr>
          <w:rStyle w:val="A7"/>
        </w:rPr>
        <w:t>Lived</w:t>
      </w:r>
      <w:proofErr w:type="gramEnd"/>
      <w:r>
        <w:rPr>
          <w:rStyle w:val="A7"/>
        </w:rPr>
        <w:t xml:space="preserve"> with anyone who had a problem with alcohol or drugs; </w:t>
      </w:r>
    </w:p>
    <w:p w:rsidR="00626876" w:rsidRDefault="00626876" w:rsidP="00626876">
      <w:pPr>
        <w:pStyle w:val="Pa10"/>
        <w:spacing w:after="60"/>
        <w:rPr>
          <w:rFonts w:ascii="Fedra Serif A Std Book" w:hAnsi="Fedra Serif A Std Book" w:cs="Fedra Serif A Std Book"/>
          <w:color w:val="000000"/>
          <w:sz w:val="17"/>
          <w:szCs w:val="17"/>
        </w:rPr>
      </w:pPr>
      <w:r>
        <w:rPr>
          <w:rStyle w:val="A7"/>
        </w:rPr>
        <w:t xml:space="preserve">6. Witnessed a parent, guardian, or other adult in the household behaving violently toward another (e.g., slapping, hitting, kicking, punching, or beating each other up); </w:t>
      </w:r>
    </w:p>
    <w:p w:rsidR="00626876" w:rsidRDefault="00626876" w:rsidP="00626876">
      <w:pPr>
        <w:pStyle w:val="Pa10"/>
        <w:spacing w:after="60"/>
        <w:rPr>
          <w:rFonts w:ascii="Fedra Serif A Std Book" w:hAnsi="Fedra Serif A Std Book" w:cs="Fedra Serif A Std Book"/>
          <w:color w:val="000000"/>
          <w:sz w:val="17"/>
          <w:szCs w:val="17"/>
        </w:rPr>
      </w:pPr>
      <w:r>
        <w:rPr>
          <w:rStyle w:val="A7"/>
        </w:rPr>
        <w:t xml:space="preserve">7. </w:t>
      </w:r>
      <w:proofErr w:type="gramStart"/>
      <w:r>
        <w:rPr>
          <w:rStyle w:val="A7"/>
        </w:rPr>
        <w:t>Was</w:t>
      </w:r>
      <w:proofErr w:type="gramEnd"/>
      <w:r>
        <w:rPr>
          <w:rStyle w:val="A7"/>
        </w:rPr>
        <w:t xml:space="preserve"> ever the victim of violence or witnessed any violence in his or her neighborhood; and </w:t>
      </w:r>
    </w:p>
    <w:p w:rsidR="00626876" w:rsidRDefault="00626876" w:rsidP="00626876">
      <w:pPr>
        <w:spacing w:after="240" w:line="360" w:lineRule="auto"/>
        <w:rPr>
          <w:rStyle w:val="A7"/>
        </w:rPr>
      </w:pPr>
      <w:r>
        <w:rPr>
          <w:rStyle w:val="A7"/>
        </w:rPr>
        <w:t>8. Experienced economic hardship “somewhat often” or “very often” (i.e., the family found it hard to cover costs of food and housing).</w:t>
      </w:r>
    </w:p>
    <w:p w:rsidR="00626876" w:rsidRDefault="00626876" w:rsidP="00626876">
      <w:pPr>
        <w:spacing w:after="240" w:line="360" w:lineRule="auto"/>
        <w:rPr>
          <w:rFonts w:ascii="Fedra Serif A Std Book" w:hAnsi="Fedra Serif A Std Book" w:cs="Fedra Serif A Std Book"/>
          <w:color w:val="000000"/>
          <w:sz w:val="17"/>
          <w:szCs w:val="17"/>
        </w:rPr>
      </w:pPr>
      <w:r w:rsidRPr="00626876">
        <w:rPr>
          <w:rFonts w:ascii="Fedra Serif A Std Book" w:hAnsi="Fedra Serif A Std Book" w:cs="Fedra Serif A Std Book"/>
          <w:color w:val="000000"/>
          <w:sz w:val="17"/>
          <w:szCs w:val="17"/>
        </w:rPr>
        <w:t>In Montana and Oklahoma, 17 percent of children have experienced three or more ACEs.</w:t>
      </w:r>
    </w:p>
    <w:p w:rsidR="00626876" w:rsidRDefault="00626876" w:rsidP="00626876">
      <w:pPr>
        <w:spacing w:after="240" w:line="360" w:lineRule="auto"/>
        <w:rPr>
          <w:rFonts w:ascii="Fedra Serif A Std Book" w:hAnsi="Fedra Serif A Std Book" w:cs="Fedra Serif A Std Book"/>
          <w:color w:val="000000"/>
          <w:sz w:val="17"/>
          <w:szCs w:val="17"/>
        </w:rPr>
      </w:pPr>
      <w:r w:rsidRPr="00626876">
        <w:rPr>
          <w:rFonts w:ascii="Fedra Serif A Std Book" w:hAnsi="Fedra Serif A Std Book" w:cs="Fedra Serif A Std Book"/>
          <w:color w:val="000000"/>
          <w:sz w:val="17"/>
          <w:szCs w:val="17"/>
        </w:rPr>
        <w:t>Nationally, a slight majority of children have not experienced any ACEs, but in 16 states more than half of children have experienced at least one ACE.</w:t>
      </w:r>
    </w:p>
    <w:p w:rsidR="00626876" w:rsidRDefault="00626876" w:rsidP="00626876">
      <w:pPr>
        <w:spacing w:after="240" w:line="360" w:lineRule="auto"/>
        <w:rPr>
          <w:rFonts w:ascii="Fedra Serif A Std Book" w:hAnsi="Fedra Serif A Std Book" w:cs="Fedra Serif A Std Book"/>
          <w:color w:val="000000"/>
          <w:sz w:val="17"/>
          <w:szCs w:val="17"/>
        </w:rPr>
      </w:pPr>
      <w:r w:rsidRPr="00626876">
        <w:rPr>
          <w:rFonts w:ascii="Fedra Serif A Std Book" w:hAnsi="Fedra Serif A Std Book" w:cs="Fedra Serif A Std Book"/>
          <w:color w:val="000000"/>
          <w:sz w:val="17"/>
          <w:szCs w:val="17"/>
        </w:rPr>
        <w:t>Prevalence at this threshold is lowest in New Jersey and New York, at around three percent, and highest in Oklahoma, Montana, and West Virginia, at 10 to 12 percent (data not shown in Table).</w:t>
      </w:r>
    </w:p>
    <w:p w:rsidR="00626876" w:rsidRDefault="00626876" w:rsidP="00626876">
      <w:pPr>
        <w:spacing w:after="240" w:line="360" w:lineRule="auto"/>
      </w:pPr>
    </w:p>
    <w:p w:rsidR="00626876" w:rsidRDefault="00626876" w:rsidP="00B10D31">
      <w:pPr>
        <w:spacing w:after="240" w:line="360" w:lineRule="auto"/>
      </w:pPr>
      <w:r>
        <w:t>Brief Adverse Childhood Experiences:</w:t>
      </w:r>
    </w:p>
    <w:p w:rsidR="00626876" w:rsidRDefault="00626876" w:rsidP="00B10D31">
      <w:pPr>
        <w:spacing w:after="240" w:line="360" w:lineRule="auto"/>
      </w:pPr>
      <w:r>
        <w:t>National and State-Level Prevalence</w:t>
      </w:r>
    </w:p>
    <w:p w:rsidR="00626876" w:rsidRDefault="00626876" w:rsidP="00B10D31">
      <w:pPr>
        <w:spacing w:after="240" w:line="360" w:lineRule="auto"/>
      </w:pPr>
      <w:r>
        <w:lastRenderedPageBreak/>
        <w:t>Vaness Sacks</w:t>
      </w:r>
    </w:p>
    <w:p w:rsidR="00626876" w:rsidRDefault="00626876" w:rsidP="00B10D31">
      <w:pPr>
        <w:spacing w:after="240" w:line="360" w:lineRule="auto"/>
      </w:pPr>
      <w:r>
        <w:t>DavidMurphey</w:t>
      </w:r>
    </w:p>
    <w:p w:rsidR="00626876" w:rsidRDefault="00626876" w:rsidP="00B10D31">
      <w:pPr>
        <w:spacing w:after="240" w:line="360" w:lineRule="auto"/>
      </w:pPr>
      <w:r>
        <w:t>Kristen Moore</w:t>
      </w:r>
    </w:p>
    <w:p w:rsidR="00626876" w:rsidRDefault="00626876" w:rsidP="00B10D31">
      <w:pPr>
        <w:spacing w:after="240" w:line="360" w:lineRule="auto"/>
      </w:pPr>
      <w:r>
        <w:t>Childtrends.org</w:t>
      </w:r>
    </w:p>
    <w:p w:rsidR="00626876" w:rsidRDefault="00626876" w:rsidP="00B10D31">
      <w:pPr>
        <w:spacing w:after="240" w:line="360" w:lineRule="auto"/>
      </w:pPr>
      <w:r>
        <w:t>July 2014 publication 2014-28</w:t>
      </w:r>
    </w:p>
    <w:p w:rsidR="00626876" w:rsidRDefault="00626876" w:rsidP="00B10D31">
      <w:pPr>
        <w:spacing w:after="240" w:line="360" w:lineRule="auto"/>
      </w:pPr>
      <w:r>
        <w:t>ACE (2014)</w:t>
      </w:r>
    </w:p>
    <w:p w:rsidR="00626876" w:rsidRDefault="00626876" w:rsidP="00B10D31">
      <w:pPr>
        <w:spacing w:after="240" w:line="360" w:lineRule="auto"/>
      </w:pPr>
    </w:p>
    <w:p w:rsidR="00626876" w:rsidRDefault="00626876" w:rsidP="00B10D31">
      <w:pPr>
        <w:spacing w:after="240" w:line="360" w:lineRule="auto"/>
      </w:pPr>
    </w:p>
    <w:p w:rsidR="00626876" w:rsidRDefault="00626876" w:rsidP="00B10D31">
      <w:pPr>
        <w:spacing w:after="240" w:line="360" w:lineRule="auto"/>
      </w:pPr>
      <w:r>
        <w:t>Detecting and Managing Developmental and Behavioral Problems in Infants and Young Children</w:t>
      </w:r>
    </w:p>
    <w:p w:rsidR="00626876" w:rsidRDefault="00626876" w:rsidP="00B10D31">
      <w:pPr>
        <w:spacing w:after="240" w:line="360" w:lineRule="auto"/>
      </w:pPr>
      <w:r>
        <w:t>The potential Role of the DSM-PC</w:t>
      </w:r>
    </w:p>
    <w:p w:rsidR="00626876" w:rsidRDefault="00626876" w:rsidP="00B10D31">
      <w:pPr>
        <w:spacing w:after="240" w:line="360" w:lineRule="auto"/>
      </w:pPr>
      <w:r>
        <w:t>Dennis Drotar</w:t>
      </w:r>
    </w:p>
    <w:p w:rsidR="00626876" w:rsidRDefault="00626876" w:rsidP="00B10D31">
      <w:pPr>
        <w:spacing w:after="240" w:line="360" w:lineRule="auto"/>
      </w:pPr>
      <w:r>
        <w:t>Infants and Young children</w:t>
      </w:r>
    </w:p>
    <w:p w:rsidR="00626876" w:rsidRDefault="00626876" w:rsidP="00B10D31">
      <w:pPr>
        <w:spacing w:after="240" w:line="360" w:lineRule="auto"/>
      </w:pPr>
      <w:r>
        <w:t>Vol. 17, no. 2 pp.114-124</w:t>
      </w:r>
    </w:p>
    <w:p w:rsidR="00626876" w:rsidRPr="00D52D39" w:rsidRDefault="00626876" w:rsidP="00B10D31">
      <w:pPr>
        <w:spacing w:after="240" w:line="360" w:lineRule="auto"/>
      </w:pPr>
      <w:r>
        <w:t>Drotar 2004</w:t>
      </w:r>
    </w:p>
    <w:sectPr w:rsidR="00626876" w:rsidRPr="00D5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edra Serif A Std Book">
    <w:altName w:val="Fedra Serif A Std Book"/>
    <w:panose1 w:val="00000000000000000000"/>
    <w:charset w:val="00"/>
    <w:family w:val="roman"/>
    <w:notTrueType/>
    <w:pitch w:val="default"/>
    <w:sig w:usb0="00000003" w:usb1="00000000" w:usb2="00000000" w:usb3="00000000" w:csb0="00000001" w:csb1="00000000"/>
  </w:font>
  <w:font w:name="Interstate-BoldCondensed">
    <w:altName w:val="Interstate-BoldCondensed"/>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AGaramond-Semibold">
    <w:panose1 w:val="00000000000000000000"/>
    <w:charset w:val="00"/>
    <w:family w:val="auto"/>
    <w:notTrueType/>
    <w:pitch w:val="default"/>
    <w:sig w:usb0="00000003" w:usb1="00000000" w:usb2="00000000" w:usb3="00000000" w:csb0="00000001" w:csb1="00000000"/>
  </w:font>
  <w:font w:name="AGaramond-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B425C"/>
    <w:multiLevelType w:val="hybridMultilevel"/>
    <w:tmpl w:val="B4964F28"/>
    <w:lvl w:ilvl="0" w:tplc="064CE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3E"/>
    <w:rsid w:val="00003A01"/>
    <w:rsid w:val="00092174"/>
    <w:rsid w:val="00184E3D"/>
    <w:rsid w:val="001D30F0"/>
    <w:rsid w:val="002315BB"/>
    <w:rsid w:val="0032464D"/>
    <w:rsid w:val="00366758"/>
    <w:rsid w:val="003C4385"/>
    <w:rsid w:val="003E3FF5"/>
    <w:rsid w:val="003E5E3E"/>
    <w:rsid w:val="004D3E81"/>
    <w:rsid w:val="005E22FF"/>
    <w:rsid w:val="005F0675"/>
    <w:rsid w:val="00626876"/>
    <w:rsid w:val="006A1DEE"/>
    <w:rsid w:val="006C262B"/>
    <w:rsid w:val="007765ED"/>
    <w:rsid w:val="0083062C"/>
    <w:rsid w:val="008856DA"/>
    <w:rsid w:val="00980B7C"/>
    <w:rsid w:val="00A53F26"/>
    <w:rsid w:val="00AB106A"/>
    <w:rsid w:val="00AD1EEE"/>
    <w:rsid w:val="00B10D31"/>
    <w:rsid w:val="00B35CF3"/>
    <w:rsid w:val="00BC01F2"/>
    <w:rsid w:val="00C3174B"/>
    <w:rsid w:val="00C758BF"/>
    <w:rsid w:val="00D52D39"/>
    <w:rsid w:val="00DC64EE"/>
    <w:rsid w:val="00DD3B32"/>
    <w:rsid w:val="00DF2C18"/>
    <w:rsid w:val="00E27322"/>
    <w:rsid w:val="00E66504"/>
    <w:rsid w:val="00F26A83"/>
    <w:rsid w:val="00F35943"/>
    <w:rsid w:val="00F56990"/>
    <w:rsid w:val="00FF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3A01"/>
    <w:pPr>
      <w:spacing w:line="240" w:lineRule="exact"/>
      <w:ind w:left="360" w:hanging="360"/>
      <w:outlineLvl w:val="1"/>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A01"/>
    <w:rPr>
      <w:rFonts w:ascii="Arial" w:hAnsi="Arial" w:cs="Arial"/>
      <w:b/>
    </w:rPr>
  </w:style>
  <w:style w:type="paragraph" w:customStyle="1" w:styleId="Default">
    <w:name w:val="Default"/>
    <w:rsid w:val="00626876"/>
    <w:pPr>
      <w:autoSpaceDE w:val="0"/>
      <w:autoSpaceDN w:val="0"/>
      <w:adjustRightInd w:val="0"/>
      <w:spacing w:after="0" w:line="240" w:lineRule="auto"/>
    </w:pPr>
    <w:rPr>
      <w:rFonts w:ascii="Fedra Serif A Std Book" w:hAnsi="Fedra Serif A Std Book" w:cs="Fedra Serif A Std Book"/>
      <w:color w:val="000000"/>
      <w:sz w:val="24"/>
      <w:szCs w:val="24"/>
    </w:rPr>
  </w:style>
  <w:style w:type="paragraph" w:customStyle="1" w:styleId="Pa4">
    <w:name w:val="Pa4"/>
    <w:basedOn w:val="Default"/>
    <w:next w:val="Default"/>
    <w:uiPriority w:val="99"/>
    <w:rsid w:val="00626876"/>
    <w:pPr>
      <w:spacing w:line="171" w:lineRule="atLeast"/>
    </w:pPr>
    <w:rPr>
      <w:rFonts w:cstheme="minorBidi"/>
      <w:color w:val="auto"/>
    </w:rPr>
  </w:style>
  <w:style w:type="paragraph" w:customStyle="1" w:styleId="Pa2">
    <w:name w:val="Pa2"/>
    <w:basedOn w:val="Default"/>
    <w:next w:val="Default"/>
    <w:uiPriority w:val="99"/>
    <w:rsid w:val="00626876"/>
    <w:pPr>
      <w:spacing w:line="241" w:lineRule="atLeast"/>
    </w:pPr>
    <w:rPr>
      <w:rFonts w:ascii="Interstate-BoldCondensed" w:hAnsi="Interstate-BoldCondensed" w:cstheme="minorBidi"/>
      <w:color w:val="auto"/>
    </w:rPr>
  </w:style>
  <w:style w:type="paragraph" w:customStyle="1" w:styleId="Pa10">
    <w:name w:val="Pa10"/>
    <w:basedOn w:val="Default"/>
    <w:next w:val="Default"/>
    <w:uiPriority w:val="99"/>
    <w:rsid w:val="00626876"/>
    <w:pPr>
      <w:spacing w:line="141" w:lineRule="atLeast"/>
    </w:pPr>
    <w:rPr>
      <w:rFonts w:ascii="Interstate-BoldCondensed" w:hAnsi="Interstate-BoldCondensed" w:cstheme="minorBidi"/>
      <w:color w:val="auto"/>
    </w:rPr>
  </w:style>
  <w:style w:type="character" w:customStyle="1" w:styleId="A7">
    <w:name w:val="A7"/>
    <w:uiPriority w:val="99"/>
    <w:rsid w:val="00626876"/>
    <w:rPr>
      <w:rFonts w:ascii="Fedra Serif A Std Book" w:hAnsi="Fedra Serif A Std Book" w:cs="Fedra Serif A Std Book"/>
      <w:color w:val="000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3A01"/>
    <w:pPr>
      <w:spacing w:line="240" w:lineRule="exact"/>
      <w:ind w:left="360" w:hanging="360"/>
      <w:outlineLvl w:val="1"/>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A01"/>
    <w:rPr>
      <w:rFonts w:ascii="Arial" w:hAnsi="Arial" w:cs="Arial"/>
      <w:b/>
    </w:rPr>
  </w:style>
  <w:style w:type="paragraph" w:customStyle="1" w:styleId="Default">
    <w:name w:val="Default"/>
    <w:rsid w:val="00626876"/>
    <w:pPr>
      <w:autoSpaceDE w:val="0"/>
      <w:autoSpaceDN w:val="0"/>
      <w:adjustRightInd w:val="0"/>
      <w:spacing w:after="0" w:line="240" w:lineRule="auto"/>
    </w:pPr>
    <w:rPr>
      <w:rFonts w:ascii="Fedra Serif A Std Book" w:hAnsi="Fedra Serif A Std Book" w:cs="Fedra Serif A Std Book"/>
      <w:color w:val="000000"/>
      <w:sz w:val="24"/>
      <w:szCs w:val="24"/>
    </w:rPr>
  </w:style>
  <w:style w:type="paragraph" w:customStyle="1" w:styleId="Pa4">
    <w:name w:val="Pa4"/>
    <w:basedOn w:val="Default"/>
    <w:next w:val="Default"/>
    <w:uiPriority w:val="99"/>
    <w:rsid w:val="00626876"/>
    <w:pPr>
      <w:spacing w:line="171" w:lineRule="atLeast"/>
    </w:pPr>
    <w:rPr>
      <w:rFonts w:cstheme="minorBidi"/>
      <w:color w:val="auto"/>
    </w:rPr>
  </w:style>
  <w:style w:type="paragraph" w:customStyle="1" w:styleId="Pa2">
    <w:name w:val="Pa2"/>
    <w:basedOn w:val="Default"/>
    <w:next w:val="Default"/>
    <w:uiPriority w:val="99"/>
    <w:rsid w:val="00626876"/>
    <w:pPr>
      <w:spacing w:line="241" w:lineRule="atLeast"/>
    </w:pPr>
    <w:rPr>
      <w:rFonts w:ascii="Interstate-BoldCondensed" w:hAnsi="Interstate-BoldCondensed" w:cstheme="minorBidi"/>
      <w:color w:val="auto"/>
    </w:rPr>
  </w:style>
  <w:style w:type="paragraph" w:customStyle="1" w:styleId="Pa10">
    <w:name w:val="Pa10"/>
    <w:basedOn w:val="Default"/>
    <w:next w:val="Default"/>
    <w:uiPriority w:val="99"/>
    <w:rsid w:val="00626876"/>
    <w:pPr>
      <w:spacing w:line="141" w:lineRule="atLeast"/>
    </w:pPr>
    <w:rPr>
      <w:rFonts w:ascii="Interstate-BoldCondensed" w:hAnsi="Interstate-BoldCondensed" w:cstheme="minorBidi"/>
      <w:color w:val="auto"/>
    </w:rPr>
  </w:style>
  <w:style w:type="character" w:customStyle="1" w:styleId="A7">
    <w:name w:val="A7"/>
    <w:uiPriority w:val="99"/>
    <w:rsid w:val="00626876"/>
    <w:rPr>
      <w:rFonts w:ascii="Fedra Serif A Std Book" w:hAnsi="Fedra Serif A Std Book" w:cs="Fedra Serif A Std Book"/>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9</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11</cp:revision>
  <dcterms:created xsi:type="dcterms:W3CDTF">2015-04-02T18:32:00Z</dcterms:created>
  <dcterms:modified xsi:type="dcterms:W3CDTF">2015-04-03T15:54:00Z</dcterms:modified>
</cp:coreProperties>
</file>