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D3" w:rsidRDefault="00ED1AD3">
      <w:r w:rsidRPr="00CD319F">
        <w:rPr>
          <w:b/>
        </w:rPr>
        <w:t>Are You Sure?</w:t>
      </w:r>
      <w:r w:rsidR="00B830DD">
        <w:t xml:space="preserve">   </w:t>
      </w:r>
      <w:proofErr w:type="gramStart"/>
      <w:r w:rsidRPr="00691688">
        <w:rPr>
          <w:b/>
        </w:rPr>
        <w:t>A Workshop Proposal for the 2013 Conference</w:t>
      </w:r>
      <w:r>
        <w:t>.</w:t>
      </w:r>
      <w:proofErr w:type="gramEnd"/>
    </w:p>
    <w:p w:rsidR="00545828" w:rsidRDefault="00545828"/>
    <w:p w:rsidR="00545828" w:rsidRDefault="005139EB">
      <w:r>
        <w:t>A Case-Oriented Ser</w:t>
      </w:r>
      <w:r w:rsidR="00545828">
        <w:t>ies</w:t>
      </w:r>
      <w:r>
        <w:t xml:space="preserve"> </w:t>
      </w:r>
      <w:r w:rsidR="00545828">
        <w:t>of Talks</w:t>
      </w:r>
      <w:r w:rsidR="009D141F">
        <w:t xml:space="preserve"> </w:t>
      </w:r>
      <w:r w:rsidR="0069795F">
        <w:t>To explain</w:t>
      </w:r>
      <w:r w:rsidR="00A1100C">
        <w:t xml:space="preserve"> and improve</w:t>
      </w:r>
      <w:r w:rsidR="0069795F">
        <w:t>:</w:t>
      </w:r>
    </w:p>
    <w:p w:rsidR="00ED1AD3" w:rsidRDefault="00ED1AD3"/>
    <w:p w:rsidR="00ED1AD3" w:rsidRDefault="00ED1AD3">
      <w:proofErr w:type="gramStart"/>
      <w:r>
        <w:t>Legal and Scientific Expressions of Certainty about Child Abuse.</w:t>
      </w:r>
      <w:proofErr w:type="gramEnd"/>
    </w:p>
    <w:p w:rsidR="002B430F" w:rsidRDefault="002B430F"/>
    <w:p w:rsidR="002B430F" w:rsidRDefault="002B430F">
      <w:r>
        <w:t xml:space="preserve">A “Scientific” or quantitative expression of certainty would need to be “testable” in a reliable, </w:t>
      </w:r>
      <w:proofErr w:type="spellStart"/>
      <w:r>
        <w:t>replicatable</w:t>
      </w:r>
      <w:proofErr w:type="spellEnd"/>
      <w:r>
        <w:t xml:space="preserve"> </w:t>
      </w:r>
      <w:r w:rsidR="009D141F">
        <w:t>way</w:t>
      </w:r>
    </w:p>
    <w:p w:rsidR="002B430F" w:rsidRDefault="002B430F"/>
    <w:p w:rsidR="00ED1AD3" w:rsidRDefault="00ED1AD3" w:rsidP="002B430F">
      <w:pPr>
        <w:pStyle w:val="ListParagraph"/>
        <w:numPr>
          <w:ilvl w:val="0"/>
          <w:numId w:val="1"/>
        </w:numPr>
      </w:pPr>
      <w:r>
        <w:t>Reasonable Suspicion: The Threshold for Concern</w:t>
      </w:r>
      <w:r w:rsidR="002D0D6C">
        <w:t>, Reporting</w:t>
      </w:r>
      <w:r>
        <w:t xml:space="preserve"> and </w:t>
      </w:r>
      <w:r w:rsidR="0069795F">
        <w:t>I</w:t>
      </w:r>
      <w:r>
        <w:t>nvestigation</w:t>
      </w:r>
    </w:p>
    <w:p w:rsidR="00ED1AD3" w:rsidRDefault="00ED1AD3"/>
    <w:p w:rsidR="00ED1AD3" w:rsidRDefault="00ED1AD3" w:rsidP="002B430F">
      <w:pPr>
        <w:pStyle w:val="ListParagraph"/>
        <w:numPr>
          <w:ilvl w:val="0"/>
          <w:numId w:val="1"/>
        </w:numPr>
      </w:pPr>
      <w:r>
        <w:t xml:space="preserve">Probable </w:t>
      </w:r>
      <w:r w:rsidR="00FD4570">
        <w:t>Cause and Exigent Circumstances</w:t>
      </w:r>
      <w:r w:rsidR="002D0D6C">
        <w:t>: Open the Door</w:t>
      </w:r>
      <w:r w:rsidR="00A1100C">
        <w:t xml:space="preserve"> for pr</w:t>
      </w:r>
      <w:r w:rsidR="005F7B7C">
        <w:t>otection or arrest.</w:t>
      </w:r>
    </w:p>
    <w:p w:rsidR="00423890" w:rsidRDefault="00423890"/>
    <w:p w:rsidR="00423890" w:rsidRDefault="00423890" w:rsidP="002B430F">
      <w:pPr>
        <w:pStyle w:val="ListParagraph"/>
        <w:numPr>
          <w:ilvl w:val="0"/>
          <w:numId w:val="1"/>
        </w:numPr>
      </w:pPr>
      <w:r>
        <w:t>Preponderance of Evidence</w:t>
      </w:r>
      <w:r w:rsidR="002D0D6C">
        <w:t xml:space="preserve">: </w:t>
      </w:r>
      <w:r w:rsidR="00B830DD">
        <w:t>Good Enough For Civil and Tort</w:t>
      </w:r>
      <w:r w:rsidR="00A1100C">
        <w:t xml:space="preserve"> Cases</w:t>
      </w:r>
    </w:p>
    <w:p w:rsidR="00423890" w:rsidRDefault="00423890"/>
    <w:p w:rsidR="00423890" w:rsidRPr="009D141F" w:rsidRDefault="002B430F" w:rsidP="0069795F">
      <w:pPr>
        <w:ind w:firstLine="720"/>
      </w:pPr>
      <w:r>
        <w:t xml:space="preserve">4.  </w:t>
      </w:r>
      <w:r w:rsidR="00423890">
        <w:t>Clear and Convincing Evidence</w:t>
      </w:r>
      <w:r w:rsidR="009D141F">
        <w:t xml:space="preserve">: can establish </w:t>
      </w:r>
      <w:r w:rsidR="009D141F" w:rsidRPr="009D141F">
        <w:t>Dependency</w:t>
      </w:r>
    </w:p>
    <w:p w:rsidR="00423890" w:rsidRDefault="00423890"/>
    <w:p w:rsidR="00423890" w:rsidRDefault="002B430F" w:rsidP="0069795F">
      <w:pPr>
        <w:ind w:firstLine="720"/>
      </w:pPr>
      <w:r>
        <w:t xml:space="preserve">5.  </w:t>
      </w:r>
      <w:proofErr w:type="gramStart"/>
      <w:r w:rsidR="00423890">
        <w:t>Beyond</w:t>
      </w:r>
      <w:proofErr w:type="gramEnd"/>
      <w:r w:rsidR="00423890">
        <w:t xml:space="preserve"> Reasonable Doubt</w:t>
      </w:r>
      <w:r w:rsidR="00B830DD">
        <w:t>: Conviction of Crime</w:t>
      </w:r>
    </w:p>
    <w:p w:rsidR="00F74701" w:rsidRDefault="00F74701"/>
    <w:p w:rsidR="00F74701" w:rsidRDefault="00EB71EF">
      <w:r>
        <w:t xml:space="preserve">Workshop Format: Each expression is discussed by a medical speaker, a </w:t>
      </w:r>
      <w:r w:rsidR="007F3620">
        <w:t>legal speaker and the scientist</w:t>
      </w:r>
      <w:r w:rsidR="00A1100C">
        <w:t xml:space="preserve">.  Requires about 30 minutes per </w:t>
      </w:r>
      <w:r>
        <w:t xml:space="preserve">expression and 150 minutes </w:t>
      </w:r>
      <w:r w:rsidR="005D7ECC">
        <w:t xml:space="preserve">(2 1/2 hours) </w:t>
      </w:r>
      <w:r w:rsidR="00A1100C">
        <w:t>overall plus a “</w:t>
      </w:r>
      <w:proofErr w:type="spellStart"/>
      <w:r w:rsidR="00A1100C">
        <w:t>sumup</w:t>
      </w:r>
      <w:proofErr w:type="spellEnd"/>
      <w:r w:rsidR="00A1100C">
        <w:t>”. About 2 hours total.</w:t>
      </w:r>
    </w:p>
    <w:p w:rsidR="00A1100C" w:rsidRDefault="00A1100C"/>
    <w:p w:rsidR="00A1100C" w:rsidRDefault="00A1100C">
      <w:proofErr w:type="spellStart"/>
      <w:r>
        <w:t>Coleaders</w:t>
      </w:r>
      <w:proofErr w:type="spellEnd"/>
      <w:r>
        <w:t>: Chadwick and Fallon.</w:t>
      </w:r>
    </w:p>
    <w:p w:rsidR="00423890" w:rsidRDefault="00423890"/>
    <w:p w:rsidR="00423890" w:rsidRDefault="00B830DD">
      <w:r>
        <w:t xml:space="preserve">Possible </w:t>
      </w:r>
      <w:r w:rsidR="00423890">
        <w:t>Medical Speakers</w:t>
      </w:r>
    </w:p>
    <w:p w:rsidR="004361F1" w:rsidRDefault="004361F1"/>
    <w:p w:rsidR="004361F1" w:rsidRDefault="004361F1">
      <w:r>
        <w:t xml:space="preserve">DLC, </w:t>
      </w:r>
      <w:r w:rsidR="00175294">
        <w:t xml:space="preserve">Flaherty, </w:t>
      </w:r>
      <w:proofErr w:type="spellStart"/>
      <w:r>
        <w:t>Narang</w:t>
      </w:r>
      <w:proofErr w:type="spellEnd"/>
      <w:r w:rsidR="00175294">
        <w:t>,</w:t>
      </w:r>
      <w:r w:rsidR="007F63F7">
        <w:t xml:space="preserve"> Levi, </w:t>
      </w:r>
      <w:r w:rsidR="007F3620">
        <w:t xml:space="preserve"> </w:t>
      </w:r>
      <w:proofErr w:type="spellStart"/>
      <w:r w:rsidR="007F3620">
        <w:t>Sege</w:t>
      </w:r>
      <w:proofErr w:type="spellEnd"/>
      <w:r w:rsidR="007F3620">
        <w:t xml:space="preserve">, </w:t>
      </w:r>
      <w:r w:rsidR="00F74701">
        <w:t xml:space="preserve"> </w:t>
      </w:r>
    </w:p>
    <w:p w:rsidR="00423890" w:rsidRDefault="00423890"/>
    <w:p w:rsidR="00423890" w:rsidRDefault="00B830DD">
      <w:r>
        <w:t xml:space="preserve">Possible </w:t>
      </w:r>
      <w:r w:rsidR="00423890">
        <w:t>Legal Speakers</w:t>
      </w:r>
    </w:p>
    <w:p w:rsidR="004361F1" w:rsidRDefault="004361F1"/>
    <w:p w:rsidR="004361F1" w:rsidRDefault="004361F1">
      <w:proofErr w:type="spellStart"/>
      <w:r>
        <w:t>Narang</w:t>
      </w:r>
      <w:proofErr w:type="spellEnd"/>
      <w:r>
        <w:t xml:space="preserve">, </w:t>
      </w:r>
      <w:r w:rsidR="000B5663">
        <w:t xml:space="preserve">Fallon, </w:t>
      </w:r>
      <w:proofErr w:type="spellStart"/>
      <w:r>
        <w:t>Bross</w:t>
      </w:r>
      <w:proofErr w:type="spellEnd"/>
      <w:r>
        <w:t>, Myers,</w:t>
      </w:r>
      <w:r w:rsidR="00B830DD">
        <w:t xml:space="preserve"> Holmgren</w:t>
      </w:r>
      <w:r w:rsidR="00EC190C">
        <w:t>, Harmon (</w:t>
      </w:r>
      <w:r w:rsidR="00A1100C">
        <w:t>author of ‘A Trout in the M</w:t>
      </w:r>
      <w:r w:rsidR="00EC190C">
        <w:t>ilk</w:t>
      </w:r>
      <w:r w:rsidR="00A1100C">
        <w:t>’</w:t>
      </w:r>
      <w:r w:rsidR="00EC190C">
        <w:t>)</w:t>
      </w:r>
    </w:p>
    <w:p w:rsidR="004361F1" w:rsidRDefault="004361F1"/>
    <w:p w:rsidR="004361F1" w:rsidRDefault="004361F1">
      <w:proofErr w:type="gramStart"/>
      <w:r>
        <w:t>Statistician?</w:t>
      </w:r>
      <w:proofErr w:type="gramEnd"/>
      <w:r w:rsidR="00B830DD">
        <w:t xml:space="preserve"> </w:t>
      </w:r>
      <w:proofErr w:type="gramStart"/>
      <w:r w:rsidR="00B830DD">
        <w:t>To discuss</w:t>
      </w:r>
      <w:r w:rsidR="00CD319F">
        <w:t xml:space="preserve"> scientific ce</w:t>
      </w:r>
      <w:r w:rsidR="007F3620">
        <w:t>rtainty.</w:t>
      </w:r>
      <w:proofErr w:type="gramEnd"/>
      <w:r w:rsidR="007F3620">
        <w:t xml:space="preserve"> </w:t>
      </w:r>
      <w:proofErr w:type="spellStart"/>
      <w:r w:rsidR="007F3620">
        <w:t>Finkelhor</w:t>
      </w:r>
      <w:proofErr w:type="spellEnd"/>
    </w:p>
    <w:p w:rsidR="00545828" w:rsidRDefault="00545828"/>
    <w:p w:rsidR="00545828" w:rsidRDefault="00545828">
      <w:r>
        <w:tab/>
        <w:t>Standard Error</w:t>
      </w:r>
    </w:p>
    <w:p w:rsidR="00545828" w:rsidRDefault="00545828"/>
    <w:p w:rsidR="00545828" w:rsidRDefault="00545828">
      <w:r>
        <w:tab/>
        <w:t>Standard Deviation</w:t>
      </w:r>
    </w:p>
    <w:p w:rsidR="00545828" w:rsidRDefault="00545828"/>
    <w:p w:rsidR="00545828" w:rsidRDefault="00545828" w:rsidP="00545828">
      <w:pPr>
        <w:ind w:firstLine="720"/>
      </w:pPr>
      <w:r>
        <w:t>Chi-Squared</w:t>
      </w:r>
    </w:p>
    <w:p w:rsidR="00545828" w:rsidRDefault="00545828"/>
    <w:p w:rsidR="00545828" w:rsidRDefault="00545828">
      <w:r>
        <w:tab/>
        <w:t>Analysis of Variance</w:t>
      </w:r>
    </w:p>
    <w:p w:rsidR="00545828" w:rsidRDefault="00545828"/>
    <w:p w:rsidR="00545828" w:rsidRDefault="00545828">
      <w:r>
        <w:tab/>
        <w:t>Confidence Interval</w:t>
      </w:r>
    </w:p>
    <w:p w:rsidR="00545828" w:rsidRDefault="00545828"/>
    <w:p w:rsidR="00545828" w:rsidRDefault="00545828">
      <w:r>
        <w:tab/>
        <w:t>Sample Size</w:t>
      </w:r>
    </w:p>
    <w:p w:rsidR="00175294" w:rsidRDefault="00175294"/>
    <w:p w:rsidR="005139EB" w:rsidRDefault="00175294">
      <w:r>
        <w:tab/>
      </w:r>
      <w:proofErr w:type="gramStart"/>
      <w:r>
        <w:t>Case Examples: Statistical Analysis with forensic implication; e.g. mortality rates for various conditions.</w:t>
      </w:r>
      <w:proofErr w:type="gramEnd"/>
      <w:r>
        <w:t xml:space="preserve"> Homicide</w:t>
      </w:r>
      <w:proofErr w:type="gramStart"/>
      <w:r>
        <w:t>,  SIDS</w:t>
      </w:r>
      <w:proofErr w:type="gramEnd"/>
      <w:r>
        <w:t xml:space="preserve">, Falls of various types. </w:t>
      </w:r>
      <w:proofErr w:type="gramStart"/>
      <w:r>
        <w:t>Rarity of death in day care.</w:t>
      </w:r>
      <w:proofErr w:type="gramEnd"/>
      <w:r>
        <w:t xml:space="preserve"> </w:t>
      </w:r>
    </w:p>
    <w:p w:rsidR="00425B9A" w:rsidRDefault="00425B9A"/>
    <w:p w:rsidR="00425B9A" w:rsidRDefault="00425B9A">
      <w:r>
        <w:t>Session layout:</w:t>
      </w:r>
    </w:p>
    <w:p w:rsidR="007F3620" w:rsidRDefault="007F3620"/>
    <w:tbl>
      <w:tblPr>
        <w:tblStyle w:val="TableGrid"/>
        <w:tblW w:w="0" w:type="auto"/>
        <w:tblLook w:val="04A0"/>
      </w:tblPr>
      <w:tblGrid>
        <w:gridCol w:w="2350"/>
        <w:gridCol w:w="2320"/>
        <w:gridCol w:w="2294"/>
        <w:gridCol w:w="1892"/>
      </w:tblGrid>
      <w:tr w:rsidR="007F3620" w:rsidTr="00500E3C">
        <w:tc>
          <w:tcPr>
            <w:tcW w:w="2350" w:type="dxa"/>
          </w:tcPr>
          <w:p w:rsidR="007F3620" w:rsidRDefault="007F3620" w:rsidP="00500E3C"/>
        </w:tc>
        <w:tc>
          <w:tcPr>
            <w:tcW w:w="2320" w:type="dxa"/>
          </w:tcPr>
          <w:p w:rsidR="007F3620" w:rsidRDefault="007F3620" w:rsidP="00500E3C">
            <w:proofErr w:type="spellStart"/>
            <w:r>
              <w:t>Medspeak</w:t>
            </w:r>
            <w:proofErr w:type="spellEnd"/>
          </w:p>
        </w:tc>
        <w:tc>
          <w:tcPr>
            <w:tcW w:w="2294" w:type="dxa"/>
          </w:tcPr>
          <w:p w:rsidR="007F3620" w:rsidRDefault="007F3620" w:rsidP="00500E3C">
            <w:proofErr w:type="spellStart"/>
            <w:r>
              <w:t>Legspeak</w:t>
            </w:r>
            <w:proofErr w:type="spellEnd"/>
          </w:p>
        </w:tc>
        <w:tc>
          <w:tcPr>
            <w:tcW w:w="1892" w:type="dxa"/>
          </w:tcPr>
          <w:p w:rsidR="007F3620" w:rsidRDefault="007F3620" w:rsidP="00500E3C">
            <w:proofErr w:type="spellStart"/>
            <w:r>
              <w:t>Scispeak</w:t>
            </w:r>
            <w:proofErr w:type="spellEnd"/>
          </w:p>
        </w:tc>
      </w:tr>
      <w:tr w:rsidR="007F3620" w:rsidTr="00500E3C">
        <w:tc>
          <w:tcPr>
            <w:tcW w:w="2350" w:type="dxa"/>
          </w:tcPr>
          <w:p w:rsidR="007F3620" w:rsidRDefault="007F3620" w:rsidP="00500E3C">
            <w:r>
              <w:t>Reasonable suspicion</w:t>
            </w:r>
          </w:p>
        </w:tc>
        <w:tc>
          <w:tcPr>
            <w:tcW w:w="2320" w:type="dxa"/>
          </w:tcPr>
          <w:p w:rsidR="007F3620" w:rsidRDefault="007F3620" w:rsidP="00500E3C">
            <w:r>
              <w:t xml:space="preserve">Flaherty or </w:t>
            </w:r>
            <w:proofErr w:type="spellStart"/>
            <w:r>
              <w:t>Sege</w:t>
            </w:r>
            <w:proofErr w:type="spellEnd"/>
          </w:p>
        </w:tc>
        <w:tc>
          <w:tcPr>
            <w:tcW w:w="2294" w:type="dxa"/>
          </w:tcPr>
          <w:p w:rsidR="007F3620" w:rsidRDefault="0068740D" w:rsidP="00500E3C">
            <w:r>
              <w:t>Fallon</w:t>
            </w:r>
          </w:p>
        </w:tc>
        <w:tc>
          <w:tcPr>
            <w:tcW w:w="1892" w:type="dxa"/>
          </w:tcPr>
          <w:p w:rsidR="007F3620" w:rsidRDefault="007F3620" w:rsidP="00500E3C">
            <w:proofErr w:type="spellStart"/>
            <w:r>
              <w:t>Finkelhor</w:t>
            </w:r>
            <w:proofErr w:type="spellEnd"/>
          </w:p>
        </w:tc>
      </w:tr>
      <w:tr w:rsidR="007F3620" w:rsidTr="00500E3C">
        <w:tc>
          <w:tcPr>
            <w:tcW w:w="2350" w:type="dxa"/>
          </w:tcPr>
          <w:p w:rsidR="007F3620" w:rsidRDefault="007F3620" w:rsidP="00500E3C">
            <w:r>
              <w:t>Probable cause and exigent circumstances</w:t>
            </w:r>
          </w:p>
        </w:tc>
        <w:tc>
          <w:tcPr>
            <w:tcW w:w="2320" w:type="dxa"/>
          </w:tcPr>
          <w:p w:rsidR="007F3620" w:rsidRDefault="007F3620" w:rsidP="00500E3C">
            <w:r>
              <w:t>Flaherty</w:t>
            </w:r>
          </w:p>
        </w:tc>
        <w:tc>
          <w:tcPr>
            <w:tcW w:w="2294" w:type="dxa"/>
          </w:tcPr>
          <w:p w:rsidR="007F3620" w:rsidRDefault="0068740D" w:rsidP="00500E3C">
            <w:r>
              <w:t>Judge Harry Elias</w:t>
            </w:r>
          </w:p>
        </w:tc>
        <w:tc>
          <w:tcPr>
            <w:tcW w:w="1892" w:type="dxa"/>
          </w:tcPr>
          <w:p w:rsidR="007F3620" w:rsidRDefault="007F3620" w:rsidP="00500E3C">
            <w:proofErr w:type="spellStart"/>
            <w:r>
              <w:t>Finkelhor</w:t>
            </w:r>
            <w:proofErr w:type="spellEnd"/>
          </w:p>
        </w:tc>
      </w:tr>
      <w:tr w:rsidR="007F3620" w:rsidTr="00500E3C">
        <w:tc>
          <w:tcPr>
            <w:tcW w:w="2350" w:type="dxa"/>
          </w:tcPr>
          <w:p w:rsidR="007F3620" w:rsidRDefault="007F3620" w:rsidP="00500E3C">
            <w:r>
              <w:t>Predominance of evidence</w:t>
            </w:r>
          </w:p>
        </w:tc>
        <w:tc>
          <w:tcPr>
            <w:tcW w:w="2320" w:type="dxa"/>
          </w:tcPr>
          <w:p w:rsidR="007F3620" w:rsidRDefault="0068740D" w:rsidP="00500E3C">
            <w:proofErr w:type="spellStart"/>
            <w:r>
              <w:t>Narang</w:t>
            </w:r>
            <w:proofErr w:type="spellEnd"/>
          </w:p>
        </w:tc>
        <w:tc>
          <w:tcPr>
            <w:tcW w:w="2294" w:type="dxa"/>
          </w:tcPr>
          <w:p w:rsidR="007F3620" w:rsidRDefault="0068740D" w:rsidP="00500E3C">
            <w:r>
              <w:t>Judge Elias</w:t>
            </w:r>
          </w:p>
        </w:tc>
        <w:tc>
          <w:tcPr>
            <w:tcW w:w="1892" w:type="dxa"/>
          </w:tcPr>
          <w:p w:rsidR="007F3620" w:rsidRDefault="007F3620" w:rsidP="00500E3C">
            <w:proofErr w:type="spellStart"/>
            <w:r>
              <w:t>Finkelhor</w:t>
            </w:r>
            <w:proofErr w:type="spellEnd"/>
          </w:p>
        </w:tc>
      </w:tr>
      <w:tr w:rsidR="007F3620" w:rsidTr="00500E3C">
        <w:tc>
          <w:tcPr>
            <w:tcW w:w="2350" w:type="dxa"/>
          </w:tcPr>
          <w:p w:rsidR="007F3620" w:rsidRDefault="007F3620" w:rsidP="00500E3C">
            <w:r>
              <w:t>Reasonable Medical Probability</w:t>
            </w:r>
          </w:p>
        </w:tc>
        <w:tc>
          <w:tcPr>
            <w:tcW w:w="2320" w:type="dxa"/>
          </w:tcPr>
          <w:p w:rsidR="007F3620" w:rsidRDefault="007F3620" w:rsidP="00500E3C">
            <w:r>
              <w:t>Chadwick</w:t>
            </w:r>
          </w:p>
        </w:tc>
        <w:tc>
          <w:tcPr>
            <w:tcW w:w="2294" w:type="dxa"/>
          </w:tcPr>
          <w:p w:rsidR="007F3620" w:rsidRDefault="007F3620" w:rsidP="00500E3C">
            <w:r>
              <w:t>Fallon</w:t>
            </w:r>
          </w:p>
        </w:tc>
        <w:tc>
          <w:tcPr>
            <w:tcW w:w="1892" w:type="dxa"/>
          </w:tcPr>
          <w:p w:rsidR="007F3620" w:rsidRDefault="007F3620" w:rsidP="00500E3C">
            <w:proofErr w:type="spellStart"/>
            <w:r>
              <w:t>Finkelhor</w:t>
            </w:r>
            <w:proofErr w:type="spellEnd"/>
          </w:p>
        </w:tc>
      </w:tr>
      <w:tr w:rsidR="007F3620" w:rsidTr="00500E3C">
        <w:tc>
          <w:tcPr>
            <w:tcW w:w="2350" w:type="dxa"/>
          </w:tcPr>
          <w:p w:rsidR="007F3620" w:rsidRDefault="007F3620" w:rsidP="00500E3C">
            <w:r>
              <w:t>Clear and Convincing Evidence</w:t>
            </w:r>
          </w:p>
        </w:tc>
        <w:tc>
          <w:tcPr>
            <w:tcW w:w="2320" w:type="dxa"/>
          </w:tcPr>
          <w:p w:rsidR="007F3620" w:rsidRDefault="007F3620" w:rsidP="00500E3C">
            <w:proofErr w:type="spellStart"/>
            <w:r>
              <w:t>Narang</w:t>
            </w:r>
            <w:proofErr w:type="spellEnd"/>
          </w:p>
        </w:tc>
        <w:tc>
          <w:tcPr>
            <w:tcW w:w="2294" w:type="dxa"/>
          </w:tcPr>
          <w:p w:rsidR="007F3620" w:rsidRDefault="007F3620" w:rsidP="00500E3C">
            <w:proofErr w:type="spellStart"/>
            <w:r>
              <w:t>Narang</w:t>
            </w:r>
            <w:proofErr w:type="spellEnd"/>
          </w:p>
        </w:tc>
        <w:tc>
          <w:tcPr>
            <w:tcW w:w="1892" w:type="dxa"/>
          </w:tcPr>
          <w:p w:rsidR="007F3620" w:rsidRDefault="007F3620" w:rsidP="00500E3C">
            <w:proofErr w:type="spellStart"/>
            <w:r>
              <w:t>Finkelhor</w:t>
            </w:r>
            <w:proofErr w:type="spellEnd"/>
          </w:p>
        </w:tc>
      </w:tr>
      <w:tr w:rsidR="007F3620" w:rsidTr="00500E3C">
        <w:tc>
          <w:tcPr>
            <w:tcW w:w="2350" w:type="dxa"/>
          </w:tcPr>
          <w:p w:rsidR="007F3620" w:rsidRDefault="007F3620" w:rsidP="00500E3C">
            <w:r>
              <w:t>Beyond Reasonable Doubt</w:t>
            </w:r>
          </w:p>
        </w:tc>
        <w:tc>
          <w:tcPr>
            <w:tcW w:w="2320" w:type="dxa"/>
          </w:tcPr>
          <w:p w:rsidR="007F3620" w:rsidRDefault="007F3620" w:rsidP="00500E3C">
            <w:r>
              <w:t>Flaherty</w:t>
            </w:r>
          </w:p>
        </w:tc>
        <w:tc>
          <w:tcPr>
            <w:tcW w:w="2294" w:type="dxa"/>
          </w:tcPr>
          <w:p w:rsidR="007F3620" w:rsidRDefault="007F3620" w:rsidP="00500E3C">
            <w:r>
              <w:t>Fallon</w:t>
            </w:r>
          </w:p>
        </w:tc>
        <w:tc>
          <w:tcPr>
            <w:tcW w:w="1892" w:type="dxa"/>
          </w:tcPr>
          <w:p w:rsidR="007F3620" w:rsidRDefault="00425B9A" w:rsidP="00500E3C">
            <w:proofErr w:type="spellStart"/>
            <w:r>
              <w:t>Finkelhor</w:t>
            </w:r>
            <w:proofErr w:type="spellEnd"/>
          </w:p>
        </w:tc>
      </w:tr>
    </w:tbl>
    <w:p w:rsidR="007F3620" w:rsidRDefault="007F3620"/>
    <w:p w:rsidR="00A1100C" w:rsidRDefault="00A1100C"/>
    <w:p w:rsidR="00545828" w:rsidRDefault="00A1100C">
      <w:r>
        <w:t xml:space="preserve">The Session will produce a policy statement </w:t>
      </w:r>
      <w:r w:rsidR="00200DD3">
        <w:t xml:space="preserve">or guideline </w:t>
      </w:r>
      <w:r>
        <w:t>that will be submitted to APSAC</w:t>
      </w:r>
      <w:proofErr w:type="gramStart"/>
      <w:r>
        <w:t>,  the</w:t>
      </w:r>
      <w:proofErr w:type="gramEnd"/>
      <w:r>
        <w:t xml:space="preserve"> </w:t>
      </w:r>
      <w:proofErr w:type="spellStart"/>
      <w:r>
        <w:t>Helfer</w:t>
      </w:r>
      <w:proofErr w:type="spellEnd"/>
      <w:r>
        <w:t xml:space="preserve"> Society and the AAP for approval. </w:t>
      </w:r>
      <w:r w:rsidR="007F63F7">
        <w:t xml:space="preserve">  Fallon and Chadwick will write this guideline.</w:t>
      </w:r>
    </w:p>
    <w:p w:rsidR="00545828" w:rsidRDefault="00545828"/>
    <w:p w:rsidR="00CD319F" w:rsidRDefault="00CD319F"/>
    <w:p w:rsidR="00CD319F" w:rsidRDefault="00CD319F"/>
    <w:p w:rsidR="00DE4544" w:rsidRDefault="00DE4544"/>
    <w:p w:rsidR="00DE4544" w:rsidRDefault="00DE4544"/>
    <w:p w:rsidR="00ED1AD3" w:rsidRDefault="00ED1AD3"/>
    <w:p w:rsidR="00ED1AD3" w:rsidRDefault="00ED1AD3"/>
    <w:sectPr w:rsidR="00ED1AD3" w:rsidSect="00DD4E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E5132"/>
    <w:multiLevelType w:val="hybridMultilevel"/>
    <w:tmpl w:val="4754E960"/>
    <w:lvl w:ilvl="0" w:tplc="A8D69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proofState w:spelling="clean" w:grammar="clean"/>
  <w:stylePaneFormatFilter w:val="3F01"/>
  <w:defaultTabStop w:val="720"/>
  <w:characterSpacingControl w:val="doNotCompress"/>
  <w:compat/>
  <w:rsids>
    <w:rsidRoot w:val="00ED1AD3"/>
    <w:rsid w:val="00074A51"/>
    <w:rsid w:val="000B5663"/>
    <w:rsid w:val="001302FF"/>
    <w:rsid w:val="00175294"/>
    <w:rsid w:val="001F1279"/>
    <w:rsid w:val="00200DD3"/>
    <w:rsid w:val="00245C0F"/>
    <w:rsid w:val="00275A09"/>
    <w:rsid w:val="002B430F"/>
    <w:rsid w:val="002D0D6C"/>
    <w:rsid w:val="003079CE"/>
    <w:rsid w:val="00423890"/>
    <w:rsid w:val="00425B9A"/>
    <w:rsid w:val="004361F1"/>
    <w:rsid w:val="005139EB"/>
    <w:rsid w:val="00545828"/>
    <w:rsid w:val="005C0A78"/>
    <w:rsid w:val="005D7ECC"/>
    <w:rsid w:val="005F7B7C"/>
    <w:rsid w:val="00663E67"/>
    <w:rsid w:val="0068740D"/>
    <w:rsid w:val="00691688"/>
    <w:rsid w:val="0069795F"/>
    <w:rsid w:val="007D6357"/>
    <w:rsid w:val="007F3620"/>
    <w:rsid w:val="007F63F7"/>
    <w:rsid w:val="00824220"/>
    <w:rsid w:val="00984272"/>
    <w:rsid w:val="00994C93"/>
    <w:rsid w:val="009D141F"/>
    <w:rsid w:val="009E5FC9"/>
    <w:rsid w:val="00A1100C"/>
    <w:rsid w:val="00B058BB"/>
    <w:rsid w:val="00B069E4"/>
    <w:rsid w:val="00B516AB"/>
    <w:rsid w:val="00B830DD"/>
    <w:rsid w:val="00C06303"/>
    <w:rsid w:val="00CD319F"/>
    <w:rsid w:val="00DD4ED1"/>
    <w:rsid w:val="00DE4544"/>
    <w:rsid w:val="00E76A37"/>
    <w:rsid w:val="00EB71EF"/>
    <w:rsid w:val="00EC190C"/>
    <w:rsid w:val="00ED1AD3"/>
    <w:rsid w:val="00F74701"/>
    <w:rsid w:val="00FD4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4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0F"/>
    <w:pPr>
      <w:ind w:left="720"/>
      <w:contextualSpacing/>
    </w:pPr>
  </w:style>
  <w:style w:type="table" w:styleId="TableGrid">
    <w:name w:val="Table Grid"/>
    <w:basedOn w:val="TableNormal"/>
    <w:rsid w:val="007F36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Chadwick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Chadwick</dc:creator>
  <cp:keywords/>
  <dc:description/>
  <cp:lastModifiedBy>David Chadwick</cp:lastModifiedBy>
  <cp:revision>23</cp:revision>
  <dcterms:created xsi:type="dcterms:W3CDTF">2012-02-17T23:22:00Z</dcterms:created>
  <dcterms:modified xsi:type="dcterms:W3CDTF">2012-04-02T19:42:00Z</dcterms:modified>
</cp:coreProperties>
</file>