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92A" w:rsidRDefault="006C292A" w:rsidP="006C292A">
      <w:pPr>
        <w:widowControl w:val="0"/>
        <w:autoSpaceDE w:val="0"/>
        <w:autoSpaceDN w:val="0"/>
        <w:adjustRightInd w:val="0"/>
        <w:spacing w:after="0" w:line="240" w:lineRule="auto"/>
        <w:jc w:val="center"/>
        <w:rPr>
          <w:rFonts w:cstheme="minorHAnsi"/>
          <w:b/>
        </w:rPr>
      </w:pPr>
      <w:r>
        <w:rPr>
          <w:rFonts w:cstheme="minorHAnsi"/>
          <w:b/>
        </w:rPr>
        <w:t xml:space="preserve">The Evolving Role of Child Maltreatment Risk in the Contexts of </w:t>
      </w:r>
    </w:p>
    <w:p w:rsidR="006C292A" w:rsidRPr="006C292A" w:rsidRDefault="006C292A" w:rsidP="006C292A">
      <w:pPr>
        <w:widowControl w:val="0"/>
        <w:autoSpaceDE w:val="0"/>
        <w:autoSpaceDN w:val="0"/>
        <w:adjustRightInd w:val="0"/>
        <w:spacing w:after="0" w:line="240" w:lineRule="auto"/>
        <w:jc w:val="center"/>
        <w:rPr>
          <w:rFonts w:cstheme="minorHAnsi"/>
          <w:b/>
        </w:rPr>
      </w:pPr>
      <w:r>
        <w:rPr>
          <w:rFonts w:cstheme="minorHAnsi"/>
          <w:b/>
        </w:rPr>
        <w:t>Service Triage, Delivery, and Research</w:t>
      </w:r>
    </w:p>
    <w:p w:rsidR="006C292A" w:rsidRDefault="006C292A" w:rsidP="00703669">
      <w:pPr>
        <w:widowControl w:val="0"/>
        <w:autoSpaceDE w:val="0"/>
        <w:autoSpaceDN w:val="0"/>
        <w:adjustRightInd w:val="0"/>
        <w:spacing w:after="0" w:line="240" w:lineRule="auto"/>
        <w:rPr>
          <w:rFonts w:cstheme="minorHAnsi"/>
        </w:rPr>
      </w:pPr>
    </w:p>
    <w:p w:rsidR="000F03F7" w:rsidRPr="00B8430D" w:rsidRDefault="000F03F7" w:rsidP="00703669">
      <w:pPr>
        <w:widowControl w:val="0"/>
        <w:autoSpaceDE w:val="0"/>
        <w:autoSpaceDN w:val="0"/>
        <w:adjustRightInd w:val="0"/>
        <w:spacing w:after="0" w:line="240" w:lineRule="auto"/>
        <w:rPr>
          <w:rFonts w:cstheme="minorHAnsi"/>
        </w:rPr>
      </w:pPr>
      <w:r w:rsidRPr="00B8430D">
        <w:rPr>
          <w:rFonts w:cstheme="minorHAnsi"/>
        </w:rPr>
        <w:t>Overview of Proposed Workshop</w:t>
      </w:r>
    </w:p>
    <w:p w:rsidR="000F03F7" w:rsidRPr="00B8430D" w:rsidRDefault="000F03F7" w:rsidP="00703669">
      <w:pPr>
        <w:widowControl w:val="0"/>
        <w:autoSpaceDE w:val="0"/>
        <w:autoSpaceDN w:val="0"/>
        <w:adjustRightInd w:val="0"/>
        <w:spacing w:after="0" w:line="240" w:lineRule="auto"/>
        <w:rPr>
          <w:rFonts w:cstheme="minorHAnsi"/>
        </w:rPr>
      </w:pPr>
    </w:p>
    <w:p w:rsidR="00703669" w:rsidRDefault="00703669" w:rsidP="004B3476">
      <w:pPr>
        <w:widowControl w:val="0"/>
        <w:autoSpaceDE w:val="0"/>
        <w:autoSpaceDN w:val="0"/>
        <w:adjustRightInd w:val="0"/>
        <w:spacing w:after="0" w:line="240" w:lineRule="auto"/>
        <w:ind w:firstLine="720"/>
        <w:rPr>
          <w:rFonts w:cstheme="minorHAnsi"/>
        </w:rPr>
      </w:pPr>
      <w:r w:rsidRPr="00B8430D">
        <w:rPr>
          <w:rFonts w:cstheme="minorHAnsi"/>
        </w:rPr>
        <w:t xml:space="preserve">This proposed research-based </w:t>
      </w:r>
      <w:r w:rsidR="00E65036" w:rsidRPr="00B8430D">
        <w:rPr>
          <w:rFonts w:cstheme="minorHAnsi"/>
        </w:rPr>
        <w:t>workshop</w:t>
      </w:r>
      <w:r w:rsidRPr="00B8430D">
        <w:rPr>
          <w:rFonts w:cstheme="minorHAnsi"/>
        </w:rPr>
        <w:t xml:space="preserve"> closely examines a myriad of conceptual issues surrounding the construct of </w:t>
      </w:r>
      <w:r w:rsidRPr="00B8430D">
        <w:rPr>
          <w:rFonts w:cstheme="minorHAnsi"/>
          <w:i/>
        </w:rPr>
        <w:t xml:space="preserve">child maltreatment risk </w:t>
      </w:r>
      <w:r w:rsidRPr="00B8430D">
        <w:rPr>
          <w:rFonts w:cstheme="minorHAnsi"/>
        </w:rPr>
        <w:t>and its implications on treatment and surveillance of maltreatment.  The talk is divided into three core segments that range in coverage from frontline triage decisions informed by assessments of individual and family risk, methods for client-centered tailoring of treatments to directly address prioritized risk, and new frontiers of measurement for assessing and responding to client risk</w:t>
      </w:r>
      <w:r w:rsidR="000F03F7" w:rsidRPr="00B8430D">
        <w:rPr>
          <w:rFonts w:cstheme="minorHAnsi"/>
        </w:rPr>
        <w:t>s</w:t>
      </w:r>
      <w:r w:rsidRPr="00B8430D">
        <w:rPr>
          <w:rFonts w:cstheme="minorHAnsi"/>
        </w:rPr>
        <w:t xml:space="preserve">.  Discussion will be heavily concentrated on advanced methods for research design, measurement, and analysis of treatment-focused maltreatment trials.  Data </w:t>
      </w:r>
      <w:r w:rsidR="000F03F7" w:rsidRPr="00B8430D">
        <w:rPr>
          <w:rFonts w:cstheme="minorHAnsi"/>
        </w:rPr>
        <w:t>will also be</w:t>
      </w:r>
      <w:r w:rsidRPr="00B8430D">
        <w:rPr>
          <w:rFonts w:cstheme="minorHAnsi"/>
        </w:rPr>
        <w:t xml:space="preserve"> presented from three ongoing maltreatment prevention studies </w:t>
      </w:r>
      <w:r w:rsidR="007853C7" w:rsidRPr="00B8430D">
        <w:rPr>
          <w:rFonts w:cstheme="minorHAnsi"/>
        </w:rPr>
        <w:t>that begin to address significant gaps in the current compendium of</w:t>
      </w:r>
      <w:r w:rsidR="00E65036" w:rsidRPr="00B8430D">
        <w:rPr>
          <w:rFonts w:cstheme="minorHAnsi"/>
        </w:rPr>
        <w:t xml:space="preserve"> maltreatment risk</w:t>
      </w:r>
      <w:r w:rsidR="007853C7" w:rsidRPr="00B8430D">
        <w:rPr>
          <w:rFonts w:cstheme="minorHAnsi"/>
        </w:rPr>
        <w:t xml:space="preserve"> knowledge. </w:t>
      </w:r>
      <w:r w:rsidRPr="00B8430D">
        <w:rPr>
          <w:rFonts w:cstheme="minorHAnsi"/>
        </w:rPr>
        <w:t xml:space="preserve">        </w:t>
      </w:r>
    </w:p>
    <w:p w:rsidR="006E033C" w:rsidRDefault="006E033C" w:rsidP="006E033C">
      <w:pPr>
        <w:widowControl w:val="0"/>
        <w:autoSpaceDE w:val="0"/>
        <w:autoSpaceDN w:val="0"/>
        <w:adjustRightInd w:val="0"/>
        <w:spacing w:after="0" w:line="240" w:lineRule="auto"/>
        <w:rPr>
          <w:rFonts w:cstheme="minorHAnsi"/>
        </w:rPr>
      </w:pPr>
    </w:p>
    <w:p w:rsidR="006E033C" w:rsidRDefault="006E033C" w:rsidP="006E033C">
      <w:pPr>
        <w:widowControl w:val="0"/>
        <w:autoSpaceDE w:val="0"/>
        <w:autoSpaceDN w:val="0"/>
        <w:adjustRightInd w:val="0"/>
        <w:spacing w:after="0" w:line="240" w:lineRule="auto"/>
        <w:rPr>
          <w:rFonts w:cstheme="minorHAnsi"/>
          <w:b/>
        </w:rPr>
      </w:pPr>
      <w:r>
        <w:rPr>
          <w:rFonts w:cstheme="minorHAnsi"/>
          <w:b/>
        </w:rPr>
        <w:t>Learning Objectives</w:t>
      </w:r>
    </w:p>
    <w:p w:rsidR="006E033C" w:rsidRDefault="00EC0EC5" w:rsidP="006E033C">
      <w:pPr>
        <w:pStyle w:val="ListParagraph"/>
        <w:widowControl w:val="0"/>
        <w:numPr>
          <w:ilvl w:val="0"/>
          <w:numId w:val="1"/>
        </w:numPr>
        <w:autoSpaceDE w:val="0"/>
        <w:autoSpaceDN w:val="0"/>
        <w:adjustRightInd w:val="0"/>
        <w:spacing w:after="0" w:line="240" w:lineRule="auto"/>
        <w:rPr>
          <w:rFonts w:ascii="Times New Roman" w:hAnsi="Times New Roman"/>
          <w:bCs/>
        </w:rPr>
      </w:pPr>
      <w:r>
        <w:rPr>
          <w:rFonts w:ascii="Times New Roman" w:hAnsi="Times New Roman"/>
          <w:bCs/>
        </w:rPr>
        <w:t>Review</w:t>
      </w:r>
      <w:r w:rsidR="006E033C" w:rsidRPr="006E033C">
        <w:rPr>
          <w:rFonts w:ascii="Times New Roman" w:hAnsi="Times New Roman"/>
          <w:bCs/>
        </w:rPr>
        <w:t xml:space="preserve"> risk classification as a triage tool rather than an enrollment strategy.</w:t>
      </w:r>
    </w:p>
    <w:p w:rsidR="00EC0EC5" w:rsidRDefault="00EC0EC5" w:rsidP="006E033C">
      <w:pPr>
        <w:pStyle w:val="ListParagraph"/>
        <w:widowControl w:val="0"/>
        <w:numPr>
          <w:ilvl w:val="0"/>
          <w:numId w:val="1"/>
        </w:numPr>
        <w:autoSpaceDE w:val="0"/>
        <w:autoSpaceDN w:val="0"/>
        <w:adjustRightInd w:val="0"/>
        <w:spacing w:after="0" w:line="240" w:lineRule="auto"/>
        <w:rPr>
          <w:rFonts w:ascii="Times New Roman" w:hAnsi="Times New Roman"/>
          <w:bCs/>
        </w:rPr>
      </w:pPr>
      <w:r>
        <w:rPr>
          <w:rFonts w:ascii="Times New Roman" w:hAnsi="Times New Roman"/>
          <w:bCs/>
        </w:rPr>
        <w:t>Introduce risk-informed adaptive treatment strategies for primary and secondary care settings.</w:t>
      </w:r>
    </w:p>
    <w:p w:rsidR="006E033C" w:rsidRPr="006E033C" w:rsidRDefault="00EC0EC5" w:rsidP="006E033C">
      <w:pPr>
        <w:pStyle w:val="ListParagraph"/>
        <w:widowControl w:val="0"/>
        <w:numPr>
          <w:ilvl w:val="0"/>
          <w:numId w:val="1"/>
        </w:numPr>
        <w:autoSpaceDE w:val="0"/>
        <w:autoSpaceDN w:val="0"/>
        <w:adjustRightInd w:val="0"/>
        <w:spacing w:after="0" w:line="240" w:lineRule="auto"/>
        <w:rPr>
          <w:rFonts w:ascii="Times New Roman" w:hAnsi="Times New Roman"/>
          <w:bCs/>
        </w:rPr>
      </w:pPr>
      <w:r>
        <w:rPr>
          <w:rFonts w:ascii="Times New Roman" w:hAnsi="Times New Roman"/>
          <w:bCs/>
        </w:rPr>
        <w:t xml:space="preserve">Propose new measurement frontier for assessment of maltreatment risk.  </w:t>
      </w:r>
    </w:p>
    <w:p w:rsidR="006E033C" w:rsidRPr="006E033C" w:rsidRDefault="006E033C" w:rsidP="006E033C">
      <w:pPr>
        <w:widowControl w:val="0"/>
        <w:autoSpaceDE w:val="0"/>
        <w:autoSpaceDN w:val="0"/>
        <w:adjustRightInd w:val="0"/>
        <w:spacing w:after="0" w:line="240" w:lineRule="auto"/>
        <w:rPr>
          <w:rFonts w:cstheme="minorHAnsi"/>
          <w:b/>
        </w:rPr>
      </w:pPr>
    </w:p>
    <w:p w:rsidR="00703669" w:rsidRPr="00B8430D" w:rsidRDefault="00703669" w:rsidP="00703669">
      <w:pPr>
        <w:widowControl w:val="0"/>
        <w:autoSpaceDE w:val="0"/>
        <w:autoSpaceDN w:val="0"/>
        <w:adjustRightInd w:val="0"/>
        <w:spacing w:after="0" w:line="240" w:lineRule="auto"/>
        <w:rPr>
          <w:rFonts w:cstheme="minorHAnsi"/>
        </w:rPr>
      </w:pPr>
    </w:p>
    <w:p w:rsidR="00703669" w:rsidRPr="00B8430D" w:rsidRDefault="007853C7" w:rsidP="00703669">
      <w:pPr>
        <w:widowControl w:val="0"/>
        <w:autoSpaceDE w:val="0"/>
        <w:autoSpaceDN w:val="0"/>
        <w:adjustRightInd w:val="0"/>
        <w:spacing w:after="0" w:line="240" w:lineRule="auto"/>
        <w:rPr>
          <w:rFonts w:cstheme="minorHAnsi"/>
        </w:rPr>
      </w:pPr>
      <w:r w:rsidRPr="00B8430D">
        <w:rPr>
          <w:rFonts w:cstheme="minorHAnsi"/>
        </w:rPr>
        <w:t xml:space="preserve">The Role of </w:t>
      </w:r>
      <w:r w:rsidR="00703669" w:rsidRPr="00B8430D">
        <w:rPr>
          <w:rFonts w:cstheme="minorHAnsi"/>
        </w:rPr>
        <w:t xml:space="preserve">Risk Assessment in Triage </w:t>
      </w:r>
      <w:r w:rsidRPr="00B8430D">
        <w:rPr>
          <w:rFonts w:cstheme="minorHAnsi"/>
        </w:rPr>
        <w:t>of</w:t>
      </w:r>
      <w:r w:rsidR="00703669" w:rsidRPr="00B8430D">
        <w:rPr>
          <w:rFonts w:cstheme="minorHAnsi"/>
        </w:rPr>
        <w:t xml:space="preserve"> Services</w:t>
      </w:r>
    </w:p>
    <w:p w:rsidR="00703669" w:rsidRPr="00B8430D" w:rsidRDefault="00703669" w:rsidP="00703669">
      <w:pPr>
        <w:widowControl w:val="0"/>
        <w:autoSpaceDE w:val="0"/>
        <w:autoSpaceDN w:val="0"/>
        <w:adjustRightInd w:val="0"/>
        <w:spacing w:after="0" w:line="240" w:lineRule="auto"/>
        <w:rPr>
          <w:rFonts w:cstheme="minorHAnsi"/>
        </w:rPr>
      </w:pPr>
    </w:p>
    <w:p w:rsidR="000F03F7" w:rsidRPr="00B8430D" w:rsidRDefault="00AF0748" w:rsidP="00F96894">
      <w:pPr>
        <w:pStyle w:val="ListParagraph"/>
        <w:widowControl w:val="0"/>
        <w:autoSpaceDE w:val="0"/>
        <w:autoSpaceDN w:val="0"/>
        <w:adjustRightInd w:val="0"/>
        <w:spacing w:after="0" w:line="240" w:lineRule="auto"/>
        <w:ind w:left="0" w:firstLine="720"/>
        <w:rPr>
          <w:rFonts w:asciiTheme="minorHAnsi" w:hAnsiTheme="minorHAnsi" w:cstheme="minorHAnsi"/>
        </w:rPr>
      </w:pPr>
      <w:r>
        <w:rPr>
          <w:rFonts w:asciiTheme="minorHAnsi" w:hAnsiTheme="minorHAnsi" w:cstheme="minorHAnsi"/>
        </w:rPr>
        <w:t>L</w:t>
      </w:r>
      <w:r w:rsidR="00703669" w:rsidRPr="00B8430D">
        <w:rPr>
          <w:rFonts w:asciiTheme="minorHAnsi" w:hAnsiTheme="minorHAnsi" w:cstheme="minorHAnsi"/>
        </w:rPr>
        <w:t xml:space="preserve">evel of risk is </w:t>
      </w:r>
      <w:r>
        <w:rPr>
          <w:rFonts w:asciiTheme="minorHAnsi" w:hAnsiTheme="minorHAnsi" w:cstheme="minorHAnsi"/>
        </w:rPr>
        <w:t xml:space="preserve">often </w:t>
      </w:r>
      <w:r w:rsidR="00703669" w:rsidRPr="00B8430D">
        <w:rPr>
          <w:rFonts w:asciiTheme="minorHAnsi" w:hAnsiTheme="minorHAnsi" w:cstheme="minorHAnsi"/>
        </w:rPr>
        <w:t xml:space="preserve">based on counselor or family’s perceptions of need with </w:t>
      </w:r>
      <w:r w:rsidR="004B0179">
        <w:rPr>
          <w:rFonts w:asciiTheme="minorHAnsi" w:hAnsiTheme="minorHAnsi" w:cstheme="minorHAnsi"/>
        </w:rPr>
        <w:t xml:space="preserve">minimal </w:t>
      </w:r>
      <w:r w:rsidR="007853C7" w:rsidRPr="00B8430D">
        <w:rPr>
          <w:rFonts w:asciiTheme="minorHAnsi" w:hAnsiTheme="minorHAnsi" w:cstheme="minorHAnsi"/>
        </w:rPr>
        <w:t>grounding in</w:t>
      </w:r>
      <w:r w:rsidR="004B0179">
        <w:rPr>
          <w:rFonts w:asciiTheme="minorHAnsi" w:hAnsiTheme="minorHAnsi" w:cstheme="minorHAnsi"/>
        </w:rPr>
        <w:t xml:space="preserve"> empirical evidence, and p</w:t>
      </w:r>
      <w:r w:rsidR="00703669" w:rsidRPr="00B8430D">
        <w:rPr>
          <w:rFonts w:asciiTheme="minorHAnsi" w:hAnsiTheme="minorHAnsi" w:cstheme="minorHAnsi"/>
        </w:rPr>
        <w:t xml:space="preserve">revention services are then prescribed </w:t>
      </w:r>
      <w:r w:rsidR="004B0179">
        <w:rPr>
          <w:rFonts w:asciiTheme="minorHAnsi" w:hAnsiTheme="minorHAnsi" w:cstheme="minorHAnsi"/>
        </w:rPr>
        <w:t>based on simple discrete determinations of risk/no risk</w:t>
      </w:r>
      <w:r w:rsidR="00703669" w:rsidRPr="00B8430D">
        <w:rPr>
          <w:rFonts w:asciiTheme="minorHAnsi" w:hAnsiTheme="minorHAnsi" w:cstheme="minorHAnsi"/>
        </w:rPr>
        <w:t xml:space="preserve">. </w:t>
      </w:r>
      <w:r w:rsidR="004B0179">
        <w:rPr>
          <w:rFonts w:asciiTheme="minorHAnsi" w:hAnsiTheme="minorHAnsi" w:cstheme="minorHAnsi"/>
        </w:rPr>
        <w:t xml:space="preserve"> </w:t>
      </w:r>
      <w:r w:rsidR="00703669" w:rsidRPr="00B8430D">
        <w:rPr>
          <w:rFonts w:asciiTheme="minorHAnsi" w:hAnsiTheme="minorHAnsi" w:cstheme="minorHAnsi"/>
        </w:rPr>
        <w:t>This approach to service choice has been shown to have little to no benefit in alleviating future child welfare involvement</w:t>
      </w:r>
      <w:r w:rsidR="007853C7" w:rsidRPr="00B8430D">
        <w:rPr>
          <w:rFonts w:asciiTheme="minorHAnsi" w:hAnsiTheme="minorHAnsi" w:cstheme="minorHAnsi"/>
        </w:rPr>
        <w:t>,</w:t>
      </w:r>
      <w:r w:rsidR="00703669" w:rsidRPr="00B8430D">
        <w:rPr>
          <w:rFonts w:asciiTheme="minorHAnsi" w:hAnsiTheme="minorHAnsi" w:cstheme="minorHAnsi"/>
        </w:rPr>
        <w:t xml:space="preserve"> especially among populations at </w:t>
      </w:r>
      <w:r w:rsidR="000F03F7" w:rsidRPr="00B8430D">
        <w:rPr>
          <w:rFonts w:asciiTheme="minorHAnsi" w:hAnsiTheme="minorHAnsi" w:cstheme="minorHAnsi"/>
        </w:rPr>
        <w:t xml:space="preserve">the </w:t>
      </w:r>
      <w:r w:rsidR="00703669" w:rsidRPr="00B8430D">
        <w:rPr>
          <w:rFonts w:asciiTheme="minorHAnsi" w:hAnsiTheme="minorHAnsi" w:cstheme="minorHAnsi"/>
        </w:rPr>
        <w:t>highest</w:t>
      </w:r>
      <w:r w:rsidR="000F03F7" w:rsidRPr="00B8430D">
        <w:rPr>
          <w:rFonts w:asciiTheme="minorHAnsi" w:hAnsiTheme="minorHAnsi" w:cstheme="minorHAnsi"/>
        </w:rPr>
        <w:t xml:space="preserve"> levels of</w:t>
      </w:r>
      <w:r w:rsidR="00F96894">
        <w:rPr>
          <w:rFonts w:asciiTheme="minorHAnsi" w:hAnsiTheme="minorHAnsi" w:cstheme="minorHAnsi"/>
        </w:rPr>
        <w:t xml:space="preserve"> risk (Chaffin et al., 2001)</w:t>
      </w:r>
      <w:r w:rsidR="00703669" w:rsidRPr="00B8430D">
        <w:rPr>
          <w:rFonts w:asciiTheme="minorHAnsi" w:hAnsiTheme="minorHAnsi" w:cstheme="minorHAnsi"/>
        </w:rPr>
        <w:t xml:space="preserve">.   </w:t>
      </w:r>
      <w:r w:rsidR="007853C7" w:rsidRPr="00B8430D">
        <w:rPr>
          <w:rFonts w:asciiTheme="minorHAnsi" w:hAnsiTheme="minorHAnsi" w:cstheme="minorHAnsi"/>
        </w:rPr>
        <w:t>We present</w:t>
      </w:r>
      <w:r w:rsidR="000F03F7" w:rsidRPr="00B8430D">
        <w:rPr>
          <w:rFonts w:asciiTheme="minorHAnsi" w:hAnsiTheme="minorHAnsi" w:cstheme="minorHAnsi"/>
        </w:rPr>
        <w:t xml:space="preserve"> predictive validity results </w:t>
      </w:r>
      <w:r w:rsidR="004B3476" w:rsidRPr="00B8430D">
        <w:rPr>
          <w:rFonts w:asciiTheme="minorHAnsi" w:hAnsiTheme="minorHAnsi" w:cstheme="minorHAnsi"/>
        </w:rPr>
        <w:t>on</w:t>
      </w:r>
      <w:r w:rsidR="000F03F7" w:rsidRPr="00B8430D">
        <w:rPr>
          <w:rFonts w:asciiTheme="minorHAnsi" w:hAnsiTheme="minorHAnsi" w:cstheme="minorHAnsi"/>
        </w:rPr>
        <w:t xml:space="preserve"> a new risk assessment tool for maltreatment</w:t>
      </w:r>
      <w:r w:rsidR="004B3476" w:rsidRPr="00B8430D">
        <w:rPr>
          <w:rFonts w:asciiTheme="minorHAnsi" w:hAnsiTheme="minorHAnsi" w:cstheme="minorHAnsi"/>
        </w:rPr>
        <w:t xml:space="preserve"> preventive services, developed from</w:t>
      </w:r>
      <w:r w:rsidR="000F03F7" w:rsidRPr="00B8430D">
        <w:rPr>
          <w:rFonts w:asciiTheme="minorHAnsi" w:hAnsiTheme="minorHAnsi" w:cstheme="minorHAnsi"/>
        </w:rPr>
        <w:t xml:space="preserve"> secondary data analysis of three existing </w:t>
      </w:r>
      <w:bookmarkStart w:id="0" w:name="_GoBack"/>
      <w:bookmarkEnd w:id="0"/>
      <w:r w:rsidR="000F03F7" w:rsidRPr="00B8430D">
        <w:rPr>
          <w:rFonts w:asciiTheme="minorHAnsi" w:hAnsiTheme="minorHAnsi" w:cstheme="minorHAnsi"/>
        </w:rPr>
        <w:t xml:space="preserve">maltreatment databases.  </w:t>
      </w:r>
      <w:r w:rsidR="00F96894">
        <w:rPr>
          <w:rFonts w:asciiTheme="minorHAnsi" w:hAnsiTheme="minorHAnsi" w:cstheme="minorHAnsi"/>
        </w:rPr>
        <w:t>W</w:t>
      </w:r>
      <w:r w:rsidR="000F03F7" w:rsidRPr="00B8430D">
        <w:rPr>
          <w:rFonts w:asciiTheme="minorHAnsi" w:hAnsiTheme="minorHAnsi" w:cstheme="minorHAnsi"/>
        </w:rPr>
        <w:t xml:space="preserve">e review </w:t>
      </w:r>
      <w:r w:rsidR="004B3476" w:rsidRPr="00B8430D">
        <w:rPr>
          <w:rFonts w:asciiTheme="minorHAnsi" w:hAnsiTheme="minorHAnsi" w:cstheme="minorHAnsi"/>
        </w:rPr>
        <w:t xml:space="preserve">the design of </w:t>
      </w:r>
      <w:r>
        <w:rPr>
          <w:rFonts w:asciiTheme="minorHAnsi" w:hAnsiTheme="minorHAnsi" w:cstheme="minorHAnsi"/>
        </w:rPr>
        <w:t>a</w:t>
      </w:r>
      <w:r w:rsidR="004B3476" w:rsidRPr="00B8430D">
        <w:rPr>
          <w:rFonts w:asciiTheme="minorHAnsi" w:hAnsiTheme="minorHAnsi" w:cstheme="minorHAnsi"/>
        </w:rPr>
        <w:t xml:space="preserve"> new, innovative trial</w:t>
      </w:r>
      <w:r>
        <w:rPr>
          <w:rFonts w:asciiTheme="minorHAnsi" w:hAnsiTheme="minorHAnsi" w:cstheme="minorHAnsi"/>
        </w:rPr>
        <w:t xml:space="preserve"> evaluating this assessment tool along with </w:t>
      </w:r>
      <w:r w:rsidR="004B3476" w:rsidRPr="00B8430D">
        <w:rPr>
          <w:rFonts w:asciiTheme="minorHAnsi" w:hAnsiTheme="minorHAnsi" w:cstheme="minorHAnsi"/>
        </w:rPr>
        <w:t xml:space="preserve">the seminal </w:t>
      </w:r>
      <w:r>
        <w:rPr>
          <w:rFonts w:asciiTheme="minorHAnsi" w:hAnsiTheme="minorHAnsi" w:cstheme="minorHAnsi"/>
        </w:rPr>
        <w:t>predictive validity evidence</w:t>
      </w:r>
      <w:r w:rsidR="004B3476" w:rsidRPr="00B8430D">
        <w:rPr>
          <w:rFonts w:asciiTheme="minorHAnsi" w:hAnsiTheme="minorHAnsi" w:cstheme="minorHAnsi"/>
        </w:rPr>
        <w:t>.</w:t>
      </w:r>
      <w:r w:rsidR="00F96894" w:rsidRPr="00B8430D">
        <w:rPr>
          <w:rFonts w:asciiTheme="minorHAnsi" w:hAnsiTheme="minorHAnsi" w:cstheme="minorHAnsi"/>
        </w:rPr>
        <w:t xml:space="preserve"> </w:t>
      </w:r>
    </w:p>
    <w:p w:rsidR="00AF0748" w:rsidRDefault="00741406" w:rsidP="007853C7">
      <w:pPr>
        <w:rPr>
          <w:rFonts w:cstheme="minorHAnsi"/>
        </w:rPr>
      </w:pPr>
      <w:r w:rsidRPr="00B8430D">
        <w:rPr>
          <w:rFonts w:cstheme="minorHAnsi"/>
        </w:rPr>
        <w:tab/>
      </w:r>
      <w:r w:rsidR="00AF0748">
        <w:rPr>
          <w:rFonts w:cstheme="minorHAnsi"/>
        </w:rPr>
        <w:t>M</w:t>
      </w:r>
      <w:r w:rsidR="00AF0748" w:rsidRPr="00B8430D">
        <w:rPr>
          <w:rFonts w:cstheme="minorHAnsi"/>
        </w:rPr>
        <w:t xml:space="preserve">altreatment services </w:t>
      </w:r>
      <w:r w:rsidR="00AF0748">
        <w:rPr>
          <w:rFonts w:cstheme="minorHAnsi"/>
        </w:rPr>
        <w:t>continue to use</w:t>
      </w:r>
      <w:r w:rsidR="00AF0748" w:rsidRPr="00B8430D">
        <w:rPr>
          <w:rFonts w:cstheme="minorHAnsi"/>
        </w:rPr>
        <w:t xml:space="preserve"> one-size-fits-all delivery system</w:t>
      </w:r>
      <w:r w:rsidR="00AF0748">
        <w:rPr>
          <w:rFonts w:cstheme="minorHAnsi"/>
        </w:rPr>
        <w:t xml:space="preserve">; yet, </w:t>
      </w:r>
      <w:proofErr w:type="gramStart"/>
      <w:r w:rsidR="00AF0748">
        <w:rPr>
          <w:rFonts w:cstheme="minorHAnsi"/>
        </w:rPr>
        <w:t xml:space="preserve">a </w:t>
      </w:r>
      <w:r w:rsidR="0065735D" w:rsidRPr="00B8430D">
        <w:rPr>
          <w:rFonts w:cstheme="minorHAnsi"/>
        </w:rPr>
        <w:t xml:space="preserve"> multidimensional</w:t>
      </w:r>
      <w:proofErr w:type="gramEnd"/>
      <w:r w:rsidR="0065735D" w:rsidRPr="00B8430D">
        <w:rPr>
          <w:rFonts w:cstheme="minorHAnsi"/>
        </w:rPr>
        <w:t xml:space="preserve"> </w:t>
      </w:r>
      <w:r w:rsidR="006B445F" w:rsidRPr="00B8430D">
        <w:rPr>
          <w:rFonts w:cstheme="minorHAnsi"/>
        </w:rPr>
        <w:t>conception</w:t>
      </w:r>
      <w:r w:rsidR="0065735D" w:rsidRPr="00B8430D">
        <w:rPr>
          <w:rFonts w:cstheme="minorHAnsi"/>
        </w:rPr>
        <w:t xml:space="preserve"> of maltreatment risk is widely acknowledged and accepted among provider</w:t>
      </w:r>
      <w:r w:rsidR="00AF0748">
        <w:rPr>
          <w:rFonts w:cstheme="minorHAnsi"/>
        </w:rPr>
        <w:t>s</w:t>
      </w:r>
      <w:r w:rsidR="0065735D" w:rsidRPr="00B8430D">
        <w:rPr>
          <w:rFonts w:cstheme="minorHAnsi"/>
        </w:rPr>
        <w:t xml:space="preserve">.  Building </w:t>
      </w:r>
      <w:r w:rsidR="00AF0748">
        <w:rPr>
          <w:rFonts w:cstheme="minorHAnsi"/>
        </w:rPr>
        <w:t>on</w:t>
      </w:r>
      <w:r w:rsidR="0065735D" w:rsidRPr="00B8430D">
        <w:rPr>
          <w:rFonts w:cstheme="minorHAnsi"/>
        </w:rPr>
        <w:t xml:space="preserve"> momentum of individualized guidelines </w:t>
      </w:r>
      <w:r w:rsidR="00AF0748">
        <w:rPr>
          <w:rFonts w:cstheme="minorHAnsi"/>
        </w:rPr>
        <w:t>for</w:t>
      </w:r>
      <w:r w:rsidR="0065735D" w:rsidRPr="00B8430D">
        <w:rPr>
          <w:rFonts w:cstheme="minorHAnsi"/>
        </w:rPr>
        <w:t xml:space="preserve"> care in medicine (e.g., Eddy et al., 2011), this segment of the workshop focuses on the development of adaptive treatments for primary prevention</w:t>
      </w:r>
      <w:r w:rsidR="006B445F" w:rsidRPr="00B8430D">
        <w:rPr>
          <w:rFonts w:cstheme="minorHAnsi"/>
        </w:rPr>
        <w:t xml:space="preserve"> and </w:t>
      </w:r>
      <w:r w:rsidR="0065735D" w:rsidRPr="00B8430D">
        <w:rPr>
          <w:rFonts w:cstheme="minorHAnsi"/>
        </w:rPr>
        <w:t xml:space="preserve">family preservation </w:t>
      </w:r>
      <w:r w:rsidR="006B445F" w:rsidRPr="00B8430D">
        <w:rPr>
          <w:rFonts w:cstheme="minorHAnsi"/>
        </w:rPr>
        <w:t xml:space="preserve">care.  We first review existing evidence, including </w:t>
      </w:r>
      <w:r w:rsidR="00AF0748">
        <w:rPr>
          <w:rFonts w:cstheme="minorHAnsi"/>
        </w:rPr>
        <w:t xml:space="preserve">our own </w:t>
      </w:r>
      <w:r w:rsidR="006B445F" w:rsidRPr="00B8430D">
        <w:rPr>
          <w:rFonts w:cstheme="minorHAnsi"/>
        </w:rPr>
        <w:t xml:space="preserve">recent findings, regarding </w:t>
      </w:r>
      <w:r w:rsidR="00AF0748">
        <w:rPr>
          <w:rFonts w:cstheme="minorHAnsi"/>
        </w:rPr>
        <w:t xml:space="preserve">predictive validity of </w:t>
      </w:r>
      <w:r w:rsidR="006B445F" w:rsidRPr="00B8430D">
        <w:rPr>
          <w:rFonts w:cstheme="minorHAnsi"/>
        </w:rPr>
        <w:t xml:space="preserve">known risk factors of future </w:t>
      </w:r>
      <w:r w:rsidR="00AF0748">
        <w:rPr>
          <w:rFonts w:cstheme="minorHAnsi"/>
        </w:rPr>
        <w:t>maltreatment</w:t>
      </w:r>
      <w:r w:rsidR="006B445F" w:rsidRPr="00B8430D">
        <w:rPr>
          <w:rFonts w:cstheme="minorHAnsi"/>
        </w:rPr>
        <w:t xml:space="preserve"> </w:t>
      </w:r>
      <w:r w:rsidR="00AF0748">
        <w:rPr>
          <w:rFonts w:cstheme="minorHAnsi"/>
        </w:rPr>
        <w:t xml:space="preserve">subtypes.  </w:t>
      </w:r>
      <w:r w:rsidR="00F96894">
        <w:rPr>
          <w:rFonts w:cstheme="minorHAnsi"/>
        </w:rPr>
        <w:t>W</w:t>
      </w:r>
      <w:r w:rsidR="00E65036" w:rsidRPr="00B8430D">
        <w:rPr>
          <w:rFonts w:cstheme="minorHAnsi"/>
        </w:rPr>
        <w:t xml:space="preserve">e </w:t>
      </w:r>
      <w:r w:rsidR="00F96894">
        <w:rPr>
          <w:rFonts w:cstheme="minorHAnsi"/>
        </w:rPr>
        <w:t xml:space="preserve">also </w:t>
      </w:r>
      <w:r w:rsidR="00E65036" w:rsidRPr="00B8430D">
        <w:rPr>
          <w:rFonts w:cstheme="minorHAnsi"/>
        </w:rPr>
        <w:t xml:space="preserve">present data from a newly designed trial testing </w:t>
      </w:r>
      <w:r w:rsidR="00AF0748">
        <w:rPr>
          <w:rFonts w:cstheme="minorHAnsi"/>
        </w:rPr>
        <w:t>a</w:t>
      </w:r>
      <w:r w:rsidR="00E65036" w:rsidRPr="00B8430D">
        <w:rPr>
          <w:rFonts w:cstheme="minorHAnsi"/>
        </w:rPr>
        <w:t xml:space="preserve">n adaptive treatment approach to prevention </w:t>
      </w:r>
      <w:r w:rsidR="002F2EF7" w:rsidRPr="00B8430D">
        <w:rPr>
          <w:rFonts w:cstheme="minorHAnsi"/>
        </w:rPr>
        <w:t>tailor</w:t>
      </w:r>
      <w:r w:rsidR="00AF0748">
        <w:rPr>
          <w:rFonts w:cstheme="minorHAnsi"/>
        </w:rPr>
        <w:t>ing</w:t>
      </w:r>
      <w:r w:rsidR="002F2EF7" w:rsidRPr="00B8430D">
        <w:rPr>
          <w:rFonts w:cstheme="minorHAnsi"/>
        </w:rPr>
        <w:t xml:space="preserve"> model implementation to individual risk profiles</w:t>
      </w:r>
      <w:r w:rsidR="00E65036" w:rsidRPr="00B8430D">
        <w:rPr>
          <w:rFonts w:cstheme="minorHAnsi"/>
        </w:rPr>
        <w:t xml:space="preserve">.   </w:t>
      </w:r>
    </w:p>
    <w:p w:rsidR="006B445F" w:rsidRPr="00B8430D" w:rsidRDefault="00E65036" w:rsidP="007853C7">
      <w:pPr>
        <w:rPr>
          <w:rFonts w:cstheme="minorHAnsi"/>
          <w:b/>
        </w:rPr>
      </w:pPr>
      <w:r w:rsidRPr="00B8430D">
        <w:rPr>
          <w:rFonts w:cstheme="minorHAnsi"/>
        </w:rPr>
        <w:tab/>
      </w:r>
      <w:r w:rsidR="00F96894">
        <w:rPr>
          <w:rFonts w:cstheme="minorHAnsi"/>
        </w:rPr>
        <w:t>Finally, we</w:t>
      </w:r>
      <w:r w:rsidRPr="00B8430D">
        <w:rPr>
          <w:rFonts w:cstheme="minorHAnsi"/>
        </w:rPr>
        <w:t xml:space="preserve"> focus on the breadth of coverage of existing </w:t>
      </w:r>
      <w:r w:rsidR="00F96894">
        <w:rPr>
          <w:rFonts w:cstheme="minorHAnsi"/>
        </w:rPr>
        <w:t xml:space="preserve">risk </w:t>
      </w:r>
      <w:r w:rsidRPr="00B8430D">
        <w:rPr>
          <w:rFonts w:cstheme="minorHAnsi"/>
        </w:rPr>
        <w:t>assessment batteries.   We highlight areas</w:t>
      </w:r>
      <w:r w:rsidR="002F2EF7" w:rsidRPr="00B8430D">
        <w:rPr>
          <w:rFonts w:cstheme="minorHAnsi"/>
        </w:rPr>
        <w:t xml:space="preserve"> of measurement</w:t>
      </w:r>
      <w:r w:rsidRPr="00B8430D">
        <w:rPr>
          <w:rFonts w:cstheme="minorHAnsi"/>
        </w:rPr>
        <w:t xml:space="preserve"> we believe have not yet been exhaustively explored and </w:t>
      </w:r>
      <w:r w:rsidR="002F2EF7" w:rsidRPr="00B8430D">
        <w:rPr>
          <w:rFonts w:cstheme="minorHAnsi"/>
        </w:rPr>
        <w:t xml:space="preserve">propose </w:t>
      </w:r>
      <w:r w:rsidR="000B4FBA" w:rsidRPr="00B8430D">
        <w:rPr>
          <w:rFonts w:cstheme="minorHAnsi"/>
        </w:rPr>
        <w:t xml:space="preserve">a series of </w:t>
      </w:r>
      <w:r w:rsidR="002F2EF7" w:rsidRPr="00B8430D">
        <w:rPr>
          <w:rFonts w:cstheme="minorHAnsi"/>
        </w:rPr>
        <w:t>new, more direct methods for assessing maltreatment</w:t>
      </w:r>
      <w:r w:rsidR="000B4FBA" w:rsidRPr="00B8430D">
        <w:rPr>
          <w:rFonts w:cstheme="minorHAnsi"/>
        </w:rPr>
        <w:t xml:space="preserve"> risk</w:t>
      </w:r>
      <w:r w:rsidR="002F2EF7" w:rsidRPr="00B8430D">
        <w:rPr>
          <w:rFonts w:cstheme="minorHAnsi"/>
        </w:rPr>
        <w:t xml:space="preserve"> </w:t>
      </w:r>
      <w:r w:rsidR="000B4FBA" w:rsidRPr="00B8430D">
        <w:rPr>
          <w:rFonts w:cstheme="minorHAnsi"/>
        </w:rPr>
        <w:t>which</w:t>
      </w:r>
      <w:r w:rsidR="002F2EF7" w:rsidRPr="00B8430D">
        <w:rPr>
          <w:rFonts w:cstheme="minorHAnsi"/>
        </w:rPr>
        <w:t xml:space="preserve"> borrows heavily from recent theoretical developments </w:t>
      </w:r>
      <w:r w:rsidR="00E11670">
        <w:rPr>
          <w:rFonts w:cstheme="minorHAnsi"/>
        </w:rPr>
        <w:t xml:space="preserve">that have been rapidly evolving out of </w:t>
      </w:r>
      <w:r w:rsidR="002F2EF7" w:rsidRPr="00B8430D">
        <w:rPr>
          <w:rFonts w:cstheme="minorHAnsi"/>
        </w:rPr>
        <w:t xml:space="preserve">risk perception, risk attitude, and risk behavior </w:t>
      </w:r>
      <w:r w:rsidR="00E11670">
        <w:rPr>
          <w:rFonts w:cstheme="minorHAnsi"/>
        </w:rPr>
        <w:t xml:space="preserve">work </w:t>
      </w:r>
      <w:r w:rsidR="002F2EF7" w:rsidRPr="00B8430D">
        <w:rPr>
          <w:rFonts w:cstheme="minorHAnsi"/>
        </w:rPr>
        <w:t>in the decision sciences</w:t>
      </w:r>
      <w:r w:rsidR="00AF0748">
        <w:rPr>
          <w:rFonts w:cstheme="minorHAnsi"/>
        </w:rPr>
        <w:t xml:space="preserve"> (Gerard et al., 2008)</w:t>
      </w:r>
      <w:r w:rsidR="002F2EF7" w:rsidRPr="00B8430D">
        <w:rPr>
          <w:rFonts w:cstheme="minorHAnsi"/>
        </w:rPr>
        <w:t xml:space="preserve">.  </w:t>
      </w:r>
      <w:r w:rsidR="00E11670">
        <w:rPr>
          <w:rFonts w:cstheme="minorHAnsi"/>
        </w:rPr>
        <w:t xml:space="preserve">Psychometric data on </w:t>
      </w:r>
      <w:r w:rsidR="00E11670" w:rsidRPr="00B8430D">
        <w:rPr>
          <w:rFonts w:cstheme="minorHAnsi"/>
        </w:rPr>
        <w:t>these new proposed measures of risk</w:t>
      </w:r>
      <w:r w:rsidR="00E11670">
        <w:rPr>
          <w:rFonts w:cstheme="minorHAnsi"/>
        </w:rPr>
        <w:t xml:space="preserve"> from a large, </w:t>
      </w:r>
      <w:r w:rsidR="002F2EF7" w:rsidRPr="00B8430D">
        <w:rPr>
          <w:rFonts w:cstheme="minorHAnsi"/>
        </w:rPr>
        <w:t>ongoing survey</w:t>
      </w:r>
      <w:r w:rsidR="00E11670">
        <w:rPr>
          <w:rFonts w:cstheme="minorHAnsi"/>
        </w:rPr>
        <w:t xml:space="preserve"> of </w:t>
      </w:r>
      <w:r w:rsidR="00E11670" w:rsidRPr="00B8430D">
        <w:rPr>
          <w:rFonts w:cstheme="minorHAnsi"/>
        </w:rPr>
        <w:t>at-risk population</w:t>
      </w:r>
      <w:r w:rsidR="00E11670">
        <w:rPr>
          <w:rFonts w:cstheme="minorHAnsi"/>
        </w:rPr>
        <w:t>s</w:t>
      </w:r>
      <w:r w:rsidR="000B4FBA" w:rsidRPr="00B8430D">
        <w:rPr>
          <w:rFonts w:cstheme="minorHAnsi"/>
        </w:rPr>
        <w:t xml:space="preserve"> are also presented</w:t>
      </w:r>
      <w:r w:rsidR="002F2EF7" w:rsidRPr="00B8430D">
        <w:rPr>
          <w:rFonts w:cstheme="minorHAnsi"/>
        </w:rPr>
        <w:t xml:space="preserve">.  </w:t>
      </w:r>
    </w:p>
    <w:p w:rsidR="00B8430D" w:rsidRPr="00B8430D" w:rsidRDefault="00B8430D" w:rsidP="00B8430D">
      <w:pPr>
        <w:rPr>
          <w:rFonts w:cstheme="minorHAnsi"/>
          <w:b/>
        </w:rPr>
      </w:pPr>
      <w:r w:rsidRPr="00B8430D">
        <w:rPr>
          <w:rFonts w:cstheme="minorHAnsi"/>
          <w:b/>
        </w:rPr>
        <w:lastRenderedPageBreak/>
        <w:t>References:</w:t>
      </w:r>
    </w:p>
    <w:p w:rsidR="007853C7" w:rsidRPr="00B8430D" w:rsidRDefault="007853C7" w:rsidP="00B8430D">
      <w:pPr>
        <w:ind w:left="720" w:hanging="720"/>
        <w:rPr>
          <w:rFonts w:eastAsia="Calibri" w:cstheme="minorHAnsi"/>
        </w:rPr>
      </w:pPr>
      <w:proofErr w:type="gramStart"/>
      <w:r w:rsidRPr="00B8430D">
        <w:rPr>
          <w:rFonts w:eastAsia="Calibri" w:cstheme="minorHAnsi"/>
        </w:rPr>
        <w:t>Chaffin, M., Bonner, B., &amp; Hill, R. (2001).</w:t>
      </w:r>
      <w:proofErr w:type="gramEnd"/>
      <w:r w:rsidRPr="00B8430D">
        <w:rPr>
          <w:rFonts w:eastAsia="Calibri" w:cstheme="minorHAnsi"/>
        </w:rPr>
        <w:t xml:space="preserve"> Family preservation and</w:t>
      </w:r>
      <w:r w:rsidR="00B8430D" w:rsidRPr="00B8430D">
        <w:rPr>
          <w:rFonts w:eastAsia="Calibri" w:cstheme="minorHAnsi"/>
        </w:rPr>
        <w:t xml:space="preserve"> family support programs: Child </w:t>
      </w:r>
      <w:r w:rsidRPr="00B8430D">
        <w:rPr>
          <w:rFonts w:eastAsia="Calibri" w:cstheme="minorHAnsi"/>
        </w:rPr>
        <w:t xml:space="preserve">maltreatment outcomes across client risk levels and program types. </w:t>
      </w:r>
      <w:r w:rsidRPr="00B8430D">
        <w:rPr>
          <w:rFonts w:eastAsia="Calibri" w:cstheme="minorHAnsi"/>
          <w:i/>
        </w:rPr>
        <w:t>Child Abuse and Neglect,</w:t>
      </w:r>
      <w:r w:rsidRPr="00B8430D">
        <w:rPr>
          <w:rFonts w:eastAsia="Calibri" w:cstheme="minorHAnsi"/>
        </w:rPr>
        <w:t xml:space="preserve"> 25, 1269-1290.</w:t>
      </w:r>
    </w:p>
    <w:p w:rsidR="007853C7" w:rsidRPr="00B8430D" w:rsidRDefault="007853C7" w:rsidP="00B8430D">
      <w:pPr>
        <w:ind w:left="720" w:hanging="720"/>
        <w:rPr>
          <w:rFonts w:eastAsia="Calibri" w:cstheme="minorHAnsi"/>
        </w:rPr>
      </w:pPr>
      <w:proofErr w:type="gramStart"/>
      <w:r w:rsidRPr="00B8430D">
        <w:rPr>
          <w:rFonts w:eastAsia="Calibri" w:cstheme="minorHAnsi"/>
        </w:rPr>
        <w:t>D’ Andrade, A., Benton, A. &amp; Austin, M., (2005).</w:t>
      </w:r>
      <w:proofErr w:type="gramEnd"/>
      <w:r w:rsidRPr="00B8430D">
        <w:rPr>
          <w:rFonts w:eastAsia="Calibri" w:cstheme="minorHAnsi"/>
        </w:rPr>
        <w:t xml:space="preserve"> Risk and Safety Assessment in Child Welfare: Instrument </w:t>
      </w:r>
      <w:r w:rsidRPr="00B8430D">
        <w:rPr>
          <w:rFonts w:eastAsia="Calibri" w:cstheme="minorHAnsi"/>
          <w:iCs/>
        </w:rPr>
        <w:t>Comparison</w:t>
      </w:r>
      <w:r w:rsidRPr="00B8430D">
        <w:rPr>
          <w:rFonts w:eastAsia="Calibri" w:cstheme="minorHAnsi"/>
          <w:i/>
          <w:iCs/>
        </w:rPr>
        <w:t xml:space="preserve">. </w:t>
      </w:r>
      <w:r w:rsidRPr="00B8430D">
        <w:rPr>
          <w:rFonts w:eastAsia="Calibri" w:cstheme="minorHAnsi"/>
        </w:rPr>
        <w:t>Berkeley: Bay Area Social Services Consortium.</w:t>
      </w:r>
    </w:p>
    <w:p w:rsidR="00B8430D" w:rsidRPr="00B8430D" w:rsidRDefault="00B8430D" w:rsidP="00B8430D">
      <w:pPr>
        <w:autoSpaceDE w:val="0"/>
        <w:autoSpaceDN w:val="0"/>
        <w:adjustRightInd w:val="0"/>
        <w:spacing w:after="0"/>
        <w:ind w:left="720" w:hanging="720"/>
        <w:rPr>
          <w:rFonts w:cstheme="minorHAnsi"/>
        </w:rPr>
      </w:pPr>
      <w:proofErr w:type="gramStart"/>
      <w:r w:rsidRPr="00B8430D">
        <w:rPr>
          <w:rFonts w:cstheme="minorHAnsi"/>
        </w:rPr>
        <w:t>Eddy, D. M., Adler, J., Patterson, B., Lucas, D., Smith, K. A., &amp; Morris, M. (2011).</w:t>
      </w:r>
      <w:proofErr w:type="gramEnd"/>
      <w:r w:rsidRPr="00B8430D">
        <w:rPr>
          <w:rFonts w:cstheme="minorHAnsi"/>
        </w:rPr>
        <w:t xml:space="preserve"> Individualized Guidelines: The Potential for Increasing Quality and Reducing Costs. </w:t>
      </w:r>
      <w:proofErr w:type="gramStart"/>
      <w:r w:rsidRPr="00B8430D">
        <w:rPr>
          <w:rFonts w:cstheme="minorHAnsi"/>
          <w:i/>
          <w:iCs/>
        </w:rPr>
        <w:t>Annals of Internal Medicine, 154</w:t>
      </w:r>
      <w:r w:rsidRPr="00B8430D">
        <w:rPr>
          <w:rFonts w:cstheme="minorHAnsi"/>
        </w:rPr>
        <w:t>(9), 627-W.232.</w:t>
      </w:r>
      <w:proofErr w:type="gramEnd"/>
      <w:r w:rsidRPr="00B8430D">
        <w:rPr>
          <w:rFonts w:cstheme="minorHAnsi"/>
        </w:rPr>
        <w:t xml:space="preserve"> </w:t>
      </w:r>
    </w:p>
    <w:p w:rsidR="00B8430D" w:rsidRPr="00B8430D" w:rsidRDefault="00B8430D" w:rsidP="00B8430D">
      <w:pPr>
        <w:rPr>
          <w:rFonts w:eastAsia="Calibri" w:cstheme="minorHAnsi"/>
        </w:rPr>
      </w:pPr>
    </w:p>
    <w:p w:rsidR="007853C7" w:rsidRPr="00B8430D" w:rsidRDefault="007853C7" w:rsidP="00B8430D">
      <w:pPr>
        <w:ind w:left="720" w:hanging="720"/>
        <w:rPr>
          <w:rFonts w:eastAsia="Calibri" w:cstheme="minorHAnsi"/>
          <w:i/>
          <w:iCs/>
        </w:rPr>
      </w:pPr>
      <w:proofErr w:type="gramStart"/>
      <w:r w:rsidRPr="00B8430D">
        <w:rPr>
          <w:rFonts w:eastAsia="Calibri" w:cstheme="minorHAnsi"/>
        </w:rPr>
        <w:t>Cash, S.J., (2001).</w:t>
      </w:r>
      <w:proofErr w:type="gramEnd"/>
      <w:r w:rsidRPr="00B8430D">
        <w:rPr>
          <w:rFonts w:eastAsia="Calibri" w:cstheme="minorHAnsi"/>
        </w:rPr>
        <w:t xml:space="preserve"> Risk assessment in child welfare: the art and science. </w:t>
      </w:r>
      <w:proofErr w:type="gramStart"/>
      <w:r w:rsidRPr="00B8430D">
        <w:rPr>
          <w:rFonts w:eastAsia="Calibri" w:cstheme="minorHAnsi"/>
          <w:i/>
          <w:iCs/>
        </w:rPr>
        <w:t>Children and Youth Services Review.</w:t>
      </w:r>
      <w:proofErr w:type="gramEnd"/>
      <w:r w:rsidRPr="00B8430D">
        <w:rPr>
          <w:rFonts w:eastAsia="Calibri" w:cstheme="minorHAnsi"/>
          <w:i/>
          <w:iCs/>
        </w:rPr>
        <w:t xml:space="preserve"> 23</w:t>
      </w:r>
      <w:r w:rsidRPr="00B8430D">
        <w:rPr>
          <w:rFonts w:eastAsia="Calibri" w:cstheme="minorHAnsi"/>
        </w:rPr>
        <w:t>(11): 811-830.</w:t>
      </w:r>
    </w:p>
    <w:p w:rsidR="007853C7" w:rsidRPr="00B8430D" w:rsidRDefault="007853C7" w:rsidP="00B8430D">
      <w:pPr>
        <w:pStyle w:val="NoSpacing"/>
        <w:spacing w:line="276" w:lineRule="auto"/>
        <w:ind w:left="720" w:firstLine="0"/>
        <w:rPr>
          <w:rFonts w:asciiTheme="minorHAnsi" w:eastAsia="Calibri" w:hAnsiTheme="minorHAnsi" w:cstheme="minorHAnsi"/>
          <w:sz w:val="22"/>
          <w:szCs w:val="22"/>
        </w:rPr>
      </w:pPr>
    </w:p>
    <w:p w:rsidR="00B8430D" w:rsidRPr="00B8430D" w:rsidRDefault="007853C7" w:rsidP="00B8430D">
      <w:pPr>
        <w:pStyle w:val="NoSpacing"/>
        <w:spacing w:line="276" w:lineRule="auto"/>
        <w:ind w:firstLine="0"/>
        <w:rPr>
          <w:rFonts w:asciiTheme="minorHAnsi" w:hAnsiTheme="minorHAnsi" w:cstheme="minorHAnsi"/>
          <w:sz w:val="22"/>
          <w:szCs w:val="22"/>
        </w:rPr>
      </w:pPr>
      <w:proofErr w:type="spellStart"/>
      <w:proofErr w:type="gramStart"/>
      <w:r w:rsidRPr="00B8430D">
        <w:rPr>
          <w:rFonts w:asciiTheme="minorHAnsi" w:hAnsiTheme="minorHAnsi" w:cstheme="minorHAnsi"/>
          <w:sz w:val="22"/>
          <w:szCs w:val="22"/>
        </w:rPr>
        <w:t>Marcenko</w:t>
      </w:r>
      <w:proofErr w:type="spellEnd"/>
      <w:r w:rsidRPr="00B8430D">
        <w:rPr>
          <w:rFonts w:asciiTheme="minorHAnsi" w:hAnsiTheme="minorHAnsi" w:cstheme="minorHAnsi"/>
          <w:sz w:val="22"/>
          <w:szCs w:val="22"/>
        </w:rPr>
        <w:t>, M. O., &amp; Spence, M. (1994).</w:t>
      </w:r>
      <w:proofErr w:type="gramEnd"/>
      <w:r w:rsidRPr="00B8430D">
        <w:rPr>
          <w:rFonts w:asciiTheme="minorHAnsi" w:hAnsiTheme="minorHAnsi" w:cstheme="minorHAnsi"/>
          <w:sz w:val="22"/>
          <w:szCs w:val="22"/>
        </w:rPr>
        <w:t xml:space="preserve"> Home visitation services for at-risk pregnant and postpartum </w:t>
      </w:r>
    </w:p>
    <w:p w:rsidR="007853C7" w:rsidRPr="00B8430D" w:rsidRDefault="00B8430D" w:rsidP="00B8430D">
      <w:pPr>
        <w:pStyle w:val="NoSpacing"/>
        <w:spacing w:line="276" w:lineRule="auto"/>
        <w:ind w:firstLine="0"/>
        <w:rPr>
          <w:rFonts w:asciiTheme="minorHAnsi" w:hAnsiTheme="minorHAnsi" w:cstheme="minorHAnsi"/>
          <w:i/>
          <w:sz w:val="22"/>
          <w:szCs w:val="22"/>
        </w:rPr>
      </w:pPr>
      <w:r w:rsidRPr="00B8430D">
        <w:rPr>
          <w:rFonts w:asciiTheme="minorHAnsi" w:hAnsiTheme="minorHAnsi" w:cstheme="minorHAnsi"/>
          <w:sz w:val="22"/>
          <w:szCs w:val="22"/>
        </w:rPr>
        <w:tab/>
      </w:r>
      <w:proofErr w:type="gramStart"/>
      <w:r w:rsidR="007853C7" w:rsidRPr="00B8430D">
        <w:rPr>
          <w:rFonts w:asciiTheme="minorHAnsi" w:hAnsiTheme="minorHAnsi" w:cstheme="minorHAnsi"/>
          <w:sz w:val="22"/>
          <w:szCs w:val="22"/>
        </w:rPr>
        <w:t>women</w:t>
      </w:r>
      <w:proofErr w:type="gramEnd"/>
      <w:r w:rsidR="007853C7" w:rsidRPr="00B8430D">
        <w:rPr>
          <w:rFonts w:asciiTheme="minorHAnsi" w:hAnsiTheme="minorHAnsi" w:cstheme="minorHAnsi"/>
          <w:sz w:val="22"/>
          <w:szCs w:val="22"/>
        </w:rPr>
        <w:t xml:space="preserve">: A randomized trial. </w:t>
      </w:r>
      <w:r w:rsidR="007853C7" w:rsidRPr="00B8430D">
        <w:rPr>
          <w:rFonts w:asciiTheme="minorHAnsi" w:hAnsiTheme="minorHAnsi" w:cstheme="minorHAnsi"/>
          <w:i/>
          <w:iCs/>
          <w:sz w:val="22"/>
          <w:szCs w:val="22"/>
        </w:rPr>
        <w:t>American Journal of Orthopsychiatry, 64</w:t>
      </w:r>
      <w:r w:rsidR="007853C7" w:rsidRPr="00B8430D">
        <w:rPr>
          <w:rFonts w:asciiTheme="minorHAnsi" w:hAnsiTheme="minorHAnsi" w:cstheme="minorHAnsi"/>
          <w:i/>
          <w:sz w:val="22"/>
          <w:szCs w:val="22"/>
        </w:rPr>
        <w:t xml:space="preserve">(3), 468-478. </w:t>
      </w:r>
    </w:p>
    <w:p w:rsidR="007853C7" w:rsidRPr="00B8430D" w:rsidRDefault="007853C7" w:rsidP="00B8430D">
      <w:pPr>
        <w:ind w:left="720"/>
        <w:rPr>
          <w:rFonts w:eastAsia="Calibri" w:cstheme="minorHAnsi"/>
        </w:rPr>
      </w:pPr>
    </w:p>
    <w:p w:rsidR="007853C7" w:rsidRPr="00B8430D" w:rsidRDefault="007853C7" w:rsidP="00B8430D">
      <w:pPr>
        <w:ind w:left="720" w:hanging="720"/>
        <w:rPr>
          <w:rFonts w:eastAsia="Calibri" w:cstheme="minorHAnsi"/>
        </w:rPr>
      </w:pPr>
      <w:proofErr w:type="gramStart"/>
      <w:r w:rsidRPr="00B8430D">
        <w:rPr>
          <w:rFonts w:eastAsia="Calibri" w:cstheme="minorHAnsi"/>
        </w:rPr>
        <w:t>Stewart, A. &amp; Thompson, C., (2004).</w:t>
      </w:r>
      <w:proofErr w:type="gramEnd"/>
      <w:r w:rsidRPr="00B8430D">
        <w:rPr>
          <w:rFonts w:eastAsia="Calibri" w:cstheme="minorHAnsi"/>
        </w:rPr>
        <w:t xml:space="preserve"> </w:t>
      </w:r>
      <w:proofErr w:type="gramStart"/>
      <w:r w:rsidRPr="00B8430D">
        <w:rPr>
          <w:rFonts w:eastAsia="Calibri" w:cstheme="minorHAnsi"/>
        </w:rPr>
        <w:t>Comparative Evaluation of Child Protection Assessment Tools.</w:t>
      </w:r>
      <w:proofErr w:type="gramEnd"/>
      <w:r w:rsidRPr="00B8430D">
        <w:rPr>
          <w:rFonts w:eastAsia="Calibri" w:cstheme="minorHAnsi"/>
        </w:rPr>
        <w:t xml:space="preserve"> Queensland: Griffith University.</w:t>
      </w:r>
    </w:p>
    <w:p w:rsidR="007853C7" w:rsidRPr="00B8430D" w:rsidRDefault="007853C7" w:rsidP="00B8430D">
      <w:pPr>
        <w:ind w:left="720" w:hanging="720"/>
        <w:rPr>
          <w:rFonts w:eastAsia="Calibri" w:cstheme="minorHAnsi"/>
        </w:rPr>
      </w:pPr>
      <w:proofErr w:type="spellStart"/>
      <w:r w:rsidRPr="00B8430D">
        <w:rPr>
          <w:rFonts w:eastAsia="Calibri" w:cstheme="minorHAnsi"/>
        </w:rPr>
        <w:t>Shlonsky</w:t>
      </w:r>
      <w:proofErr w:type="spellEnd"/>
      <w:r w:rsidRPr="00B8430D">
        <w:rPr>
          <w:rFonts w:eastAsia="Calibri" w:cstheme="minorHAnsi"/>
        </w:rPr>
        <w:t xml:space="preserve">, A., &amp; Wagner, D., (2005). The next step: Integrating actuarial risk assessment and clinical judgment into an evidence-based practice framework in CPS case management. </w:t>
      </w:r>
      <w:r w:rsidRPr="00B8430D">
        <w:rPr>
          <w:rFonts w:eastAsia="Calibri" w:cstheme="minorHAnsi"/>
          <w:i/>
          <w:iCs/>
        </w:rPr>
        <w:t>Children &amp; Youth Services Review, 27</w:t>
      </w:r>
      <w:r w:rsidRPr="00B8430D">
        <w:rPr>
          <w:rFonts w:eastAsia="Calibri" w:cstheme="minorHAnsi"/>
          <w:i/>
        </w:rPr>
        <w:t>(4), 409-427</w:t>
      </w:r>
    </w:p>
    <w:p w:rsidR="007853C7" w:rsidRPr="00B8430D" w:rsidRDefault="007853C7" w:rsidP="007853C7">
      <w:pPr>
        <w:rPr>
          <w:rFonts w:cstheme="minorHAnsi"/>
        </w:rPr>
      </w:pPr>
    </w:p>
    <w:p w:rsidR="00703669" w:rsidRPr="00B8430D" w:rsidRDefault="00703669">
      <w:pPr>
        <w:rPr>
          <w:rFonts w:cstheme="minorHAnsi"/>
        </w:rPr>
      </w:pPr>
    </w:p>
    <w:sectPr w:rsidR="00703669" w:rsidRPr="00B84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6F00D3"/>
    <w:multiLevelType w:val="hybridMultilevel"/>
    <w:tmpl w:val="D3282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669"/>
    <w:rsid w:val="000B4FBA"/>
    <w:rsid w:val="000F03F7"/>
    <w:rsid w:val="00213197"/>
    <w:rsid w:val="002F2EF7"/>
    <w:rsid w:val="00333757"/>
    <w:rsid w:val="003A4312"/>
    <w:rsid w:val="003E44C5"/>
    <w:rsid w:val="004B0179"/>
    <w:rsid w:val="004B3476"/>
    <w:rsid w:val="004F122E"/>
    <w:rsid w:val="0065735D"/>
    <w:rsid w:val="006B445F"/>
    <w:rsid w:val="006C292A"/>
    <w:rsid w:val="006E033C"/>
    <w:rsid w:val="00703669"/>
    <w:rsid w:val="007264B9"/>
    <w:rsid w:val="00741406"/>
    <w:rsid w:val="007853C7"/>
    <w:rsid w:val="007954FE"/>
    <w:rsid w:val="00823C68"/>
    <w:rsid w:val="00836187"/>
    <w:rsid w:val="00AF0748"/>
    <w:rsid w:val="00B8430D"/>
    <w:rsid w:val="00C42B13"/>
    <w:rsid w:val="00E11670"/>
    <w:rsid w:val="00E65036"/>
    <w:rsid w:val="00EC0EC5"/>
    <w:rsid w:val="00F53F4B"/>
    <w:rsid w:val="00F96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669"/>
    <w:pPr>
      <w:ind w:left="720"/>
      <w:contextualSpacing/>
    </w:pPr>
    <w:rPr>
      <w:rFonts w:ascii="Calibri" w:eastAsia="Calibri" w:hAnsi="Calibri" w:cs="Times New Roman"/>
    </w:rPr>
  </w:style>
  <w:style w:type="paragraph" w:styleId="NoSpacing">
    <w:name w:val="No Spacing"/>
    <w:uiPriority w:val="1"/>
    <w:qFormat/>
    <w:rsid w:val="007853C7"/>
    <w:pPr>
      <w:tabs>
        <w:tab w:val="left" w:pos="432"/>
      </w:tabs>
      <w:spacing w:after="0" w:line="240" w:lineRule="auto"/>
      <w:ind w:firstLine="432"/>
      <w:jc w:val="both"/>
    </w:pPr>
    <w:rPr>
      <w:rFonts w:ascii="Times New Roman" w:eastAsia="Times New Roman" w:hAnsi="Times New Roman" w:cs="Times New Roman"/>
      <w:sz w:val="24"/>
      <w:szCs w:val="24"/>
    </w:rPr>
  </w:style>
  <w:style w:type="character" w:customStyle="1" w:styleId="citation">
    <w:name w:val="citation"/>
    <w:basedOn w:val="DefaultParagraphFont"/>
    <w:rsid w:val="007853C7"/>
  </w:style>
  <w:style w:type="character" w:customStyle="1" w:styleId="ref-journal1">
    <w:name w:val="ref-journal1"/>
    <w:basedOn w:val="DefaultParagraphFont"/>
    <w:rsid w:val="007853C7"/>
    <w:rPr>
      <w:i/>
      <w:iCs/>
    </w:rPr>
  </w:style>
  <w:style w:type="character" w:customStyle="1" w:styleId="ref-vol">
    <w:name w:val="ref-vol"/>
    <w:basedOn w:val="DefaultParagraphFont"/>
    <w:rsid w:val="007853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669"/>
    <w:pPr>
      <w:ind w:left="720"/>
      <w:contextualSpacing/>
    </w:pPr>
    <w:rPr>
      <w:rFonts w:ascii="Calibri" w:eastAsia="Calibri" w:hAnsi="Calibri" w:cs="Times New Roman"/>
    </w:rPr>
  </w:style>
  <w:style w:type="paragraph" w:styleId="NoSpacing">
    <w:name w:val="No Spacing"/>
    <w:uiPriority w:val="1"/>
    <w:qFormat/>
    <w:rsid w:val="007853C7"/>
    <w:pPr>
      <w:tabs>
        <w:tab w:val="left" w:pos="432"/>
      </w:tabs>
      <w:spacing w:after="0" w:line="240" w:lineRule="auto"/>
      <w:ind w:firstLine="432"/>
      <w:jc w:val="both"/>
    </w:pPr>
    <w:rPr>
      <w:rFonts w:ascii="Times New Roman" w:eastAsia="Times New Roman" w:hAnsi="Times New Roman" w:cs="Times New Roman"/>
      <w:sz w:val="24"/>
      <w:szCs w:val="24"/>
    </w:rPr>
  </w:style>
  <w:style w:type="character" w:customStyle="1" w:styleId="citation">
    <w:name w:val="citation"/>
    <w:basedOn w:val="DefaultParagraphFont"/>
    <w:rsid w:val="007853C7"/>
  </w:style>
  <w:style w:type="character" w:customStyle="1" w:styleId="ref-journal1">
    <w:name w:val="ref-journal1"/>
    <w:basedOn w:val="DefaultParagraphFont"/>
    <w:rsid w:val="007853C7"/>
    <w:rPr>
      <w:i/>
      <w:iCs/>
    </w:rPr>
  </w:style>
  <w:style w:type="character" w:customStyle="1" w:styleId="ref-vol">
    <w:name w:val="ref-vol"/>
    <w:basedOn w:val="DefaultParagraphFont"/>
    <w:rsid w:val="00785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Bard, David E. (HSC)</dc:creator>
  <cp:lastModifiedBy>Bard, David E. (HSC)</cp:lastModifiedBy>
  <cp:revision>3</cp:revision>
  <dcterms:created xsi:type="dcterms:W3CDTF">2012-03-17T05:50:00Z</dcterms:created>
  <dcterms:modified xsi:type="dcterms:W3CDTF">2012-03-17T06:05:00Z</dcterms:modified>
</cp:coreProperties>
</file>