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516" w:rsidRPr="00656516" w:rsidRDefault="00656516" w:rsidP="00656516">
      <w:pPr>
        <w:jc w:val="center"/>
        <w:rPr>
          <w:b/>
          <w:sz w:val="24"/>
          <w:u w:val="single"/>
        </w:rPr>
      </w:pPr>
      <w:r>
        <w:t>A</w:t>
      </w:r>
      <w:r w:rsidR="00FD41CD">
        <w:t xml:space="preserve">nalyse en </w:t>
      </w:r>
      <w:r>
        <w:t>C</w:t>
      </w:r>
      <w:r w:rsidR="00FD41CD">
        <w:t xml:space="preserve">omposantes </w:t>
      </w:r>
      <w:r>
        <w:t>P</w:t>
      </w:r>
      <w:r w:rsidR="00FD41CD">
        <w:t>rincipales</w:t>
      </w:r>
    </w:p>
    <w:p w:rsidR="00FD41CD" w:rsidRDefault="000F4F8F" w:rsidP="0065651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25pt;height:308.25pt">
            <v:imagedata r:id="rId4" o:title="Variables_factor_map(ACP)"/>
          </v:shape>
        </w:pict>
      </w:r>
    </w:p>
    <w:p w:rsidR="002E0712" w:rsidRDefault="00FD41CD" w:rsidP="00FD41CD">
      <w:r>
        <w:t xml:space="preserve">On peut voir les corrélations entre chaque variable quantitative. </w:t>
      </w:r>
    </w:p>
    <w:p w:rsidR="002E0712" w:rsidRDefault="00FD41CD" w:rsidP="00FD41CD">
      <w:r w:rsidRPr="002E0712">
        <w:rPr>
          <w:u w:val="single"/>
        </w:rPr>
        <w:t>Axe 1 :</w:t>
      </w:r>
      <w:r>
        <w:t xml:space="preserve"> On voit que la plupart des variables  contribuent à la construction de l’axe 1 : </w:t>
      </w:r>
      <w:proofErr w:type="spellStart"/>
      <w:r>
        <w:t>Number</w:t>
      </w:r>
      <w:proofErr w:type="spellEnd"/>
      <w:r>
        <w:t xml:space="preserve"> of active </w:t>
      </w:r>
      <w:proofErr w:type="spellStart"/>
      <w:r>
        <w:t>borrowers</w:t>
      </w:r>
      <w:proofErr w:type="spellEnd"/>
      <w:r>
        <w:t xml:space="preserve">, Personnel, Personnel </w:t>
      </w:r>
      <w:proofErr w:type="spellStart"/>
      <w:r>
        <w:t>expense</w:t>
      </w:r>
      <w:proofErr w:type="spellEnd"/>
      <w:r>
        <w:t xml:space="preserve">, </w:t>
      </w:r>
      <w:proofErr w:type="spellStart"/>
      <w:r>
        <w:t>Assets</w:t>
      </w:r>
      <w:proofErr w:type="spellEnd"/>
      <w:r>
        <w:t xml:space="preserve"> et </w:t>
      </w:r>
      <w:proofErr w:type="spellStart"/>
      <w:r>
        <w:t>Number</w:t>
      </w:r>
      <w:proofErr w:type="spellEnd"/>
      <w:r>
        <w:t xml:space="preserve"> of </w:t>
      </w:r>
      <w:proofErr w:type="spellStart"/>
      <w:r>
        <w:t>depositors</w:t>
      </w:r>
      <w:proofErr w:type="spellEnd"/>
      <w:r>
        <w:t>. On sait que plus ces variables sont grandes plus l’OMF concerné est important (il possède plus d’emprunteurs). On peut voir aussi que 2 variables d’efficience Eff.CRS.IN et Eff.VRS.IN sont corrélé</w:t>
      </w:r>
      <w:r w:rsidR="002E0712">
        <w:t>e</w:t>
      </w:r>
      <w:r>
        <w:t xml:space="preserve">s positivement avec ces variables. On peut en déduire que plus un OMF est important </w:t>
      </w:r>
      <w:r w:rsidR="002E0712">
        <w:t>plus les variables Eff.CRS.IN et Eff.VRS.IN seront grandes.</w:t>
      </w:r>
      <w:r w:rsidR="002E0712">
        <w:br/>
        <w:t xml:space="preserve">En revanche, les variables d’efficience </w:t>
      </w:r>
      <w:proofErr w:type="spellStart"/>
      <w:r w:rsidR="002E0712">
        <w:t>Eff.CRS.OUT</w:t>
      </w:r>
      <w:proofErr w:type="spellEnd"/>
      <w:r w:rsidR="002E0712">
        <w:t xml:space="preserve"> et </w:t>
      </w:r>
      <w:proofErr w:type="spellStart"/>
      <w:r w:rsidR="002E0712">
        <w:t>Eff.VRS.OUT</w:t>
      </w:r>
      <w:proofErr w:type="spellEnd"/>
      <w:r w:rsidR="002E0712">
        <w:t xml:space="preserve"> sont plutôt corrélées négativement avec les variables de départ. On peut donc en déduire que plus les OMF sont importants, moins ils auront des variables </w:t>
      </w:r>
      <w:proofErr w:type="spellStart"/>
      <w:r w:rsidR="002E0712">
        <w:t>Eff.CRS.OUT</w:t>
      </w:r>
      <w:proofErr w:type="spellEnd"/>
      <w:r w:rsidR="002E0712">
        <w:t xml:space="preserve"> et </w:t>
      </w:r>
      <w:proofErr w:type="spellStart"/>
      <w:r w:rsidR="002E0712">
        <w:t>Eff.VRS.OUT</w:t>
      </w:r>
      <w:proofErr w:type="spellEnd"/>
      <w:r w:rsidR="002E0712">
        <w:t xml:space="preserve"> grandes.</w:t>
      </w:r>
    </w:p>
    <w:p w:rsidR="002E0712" w:rsidRPr="002E0712" w:rsidRDefault="002E0712" w:rsidP="00FD41CD">
      <w:r w:rsidRPr="002E0712">
        <w:rPr>
          <w:u w:val="single"/>
        </w:rPr>
        <w:t xml:space="preserve">Axe 2 : </w:t>
      </w:r>
      <w:r>
        <w:t xml:space="preserve">On peut voir que ce sont les variables d’efficience qui contribuent le plus à l’axe 2. Les variables </w:t>
      </w:r>
      <w:proofErr w:type="spellStart"/>
      <w:r>
        <w:t>Eff.CRS.OUT</w:t>
      </w:r>
      <w:proofErr w:type="spellEnd"/>
      <w:r>
        <w:t xml:space="preserve"> et </w:t>
      </w:r>
      <w:proofErr w:type="spellStart"/>
      <w:r>
        <w:t>Eff.VRS.OUT</w:t>
      </w:r>
      <w:proofErr w:type="spellEnd"/>
      <w:r>
        <w:t xml:space="preserve"> sont fortement corrélées positivement entre elles, et fortement corrélées négativement avec les variables Eff.CRS.IN et Eff.VRS.IN qui sont elles aussi fortement corrélées entre elles.</w:t>
      </w:r>
    </w:p>
    <w:p w:rsidR="00337B9F" w:rsidRDefault="00CB5232" w:rsidP="00CB5232">
      <w:r>
        <w:t>Conclusion : il semble que les variables d’efficiences ont un lien assez fort avec la taille de l’OMF.</w:t>
      </w:r>
      <w:r w:rsidR="00337B9F">
        <w:br/>
        <w:t xml:space="preserve">On sait que pour qu’un OMF soit le plus rentable possible il faut que les variables d’efficiences soient le plus basses possibles. </w:t>
      </w:r>
    </w:p>
    <w:p w:rsidR="00167379" w:rsidRDefault="000F4F8F" w:rsidP="00656516">
      <w:pPr>
        <w:jc w:val="center"/>
      </w:pPr>
      <w:r>
        <w:lastRenderedPageBreak/>
        <w:pict>
          <v:shape id="_x0000_i1026" type="#_x0000_t75" style="width:444.75pt;height:239.25pt">
            <v:imagedata r:id="rId5" o:title="Individuals_factor_map(ACP)"/>
          </v:shape>
        </w:pict>
      </w:r>
    </w:p>
    <w:p w:rsidR="00656516" w:rsidRDefault="002E0712">
      <w:r>
        <w:t xml:space="preserve">Ici on voit une représentation des individus, </w:t>
      </w:r>
      <w:r w:rsidR="006A041D">
        <w:t xml:space="preserve">on peut voir que la grande majorité des individus est centré autour du centre, les individus se ressembles tous beaucoup. Certains individus sont excentrés sur la droite du graphique. Pour avoir une meilleure vision des individus on transforme les variables par leur logarithme et on </w:t>
      </w:r>
      <w:proofErr w:type="spellStart"/>
      <w:r w:rsidR="006A041D">
        <w:t>reéffectue</w:t>
      </w:r>
      <w:proofErr w:type="spellEnd"/>
      <w:r w:rsidR="006A041D">
        <w:t xml:space="preserve"> une ACP, on obtient ainsi la représentation des individus suivante. </w:t>
      </w:r>
    </w:p>
    <w:p w:rsidR="006A041D" w:rsidRDefault="006A041D">
      <w:r>
        <w:t>ACP avec transformation logarithme des variables quantitatives</w:t>
      </w:r>
    </w:p>
    <w:p w:rsidR="006A041D" w:rsidRDefault="006A041D"/>
    <w:p w:rsidR="00656516" w:rsidRDefault="006A041D" w:rsidP="006A041D">
      <w:pPr>
        <w:jc w:val="center"/>
      </w:pPr>
      <w:r>
        <w:rPr>
          <w:noProof/>
          <w:lang w:eastAsia="fr-FR"/>
        </w:rPr>
        <w:drawing>
          <wp:inline distT="0" distB="0" distL="0" distR="0" wp14:anchorId="34B3B222" wp14:editId="6CC58928">
            <wp:extent cx="3657600" cy="3389971"/>
            <wp:effectExtent l="0" t="0" r="0" b="1270"/>
            <wp:docPr id="2" name="Image 2" descr="C:\Users\Timothée\AppData\Local\Microsoft\Windows\INetCache\Content.Word\Indivduals_factor_map_log(A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imothée\AppData\Local\Microsoft\Windows\INetCache\Content.Word\Indivduals_factor_map_log(AC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7450" cy="3417637"/>
                    </a:xfrm>
                    <a:prstGeom prst="rect">
                      <a:avLst/>
                    </a:prstGeom>
                    <a:noFill/>
                    <a:ln>
                      <a:noFill/>
                    </a:ln>
                  </pic:spPr>
                </pic:pic>
              </a:graphicData>
            </a:graphic>
          </wp:inline>
        </w:drawing>
      </w:r>
    </w:p>
    <w:p w:rsidR="006A041D" w:rsidRDefault="006A041D" w:rsidP="006A041D">
      <w:r>
        <w:t>Ici on peut donc voir une représentation des individus beaucoup plus « étalée » que la précédente.</w:t>
      </w:r>
    </w:p>
    <w:p w:rsidR="000A5F62" w:rsidRDefault="000A5F62" w:rsidP="006A041D">
      <w:r>
        <w:t>Pour mieux comprendre la répartition des individus on va regarder les individus les plus extrêmes et les différences qu’ils ont entre eux.</w:t>
      </w:r>
    </w:p>
    <w:p w:rsidR="00BA1B57" w:rsidRDefault="000A5F62" w:rsidP="000017AF">
      <w:r>
        <w:t>Tout d’abord sur l’axe 1 :</w:t>
      </w:r>
    </w:p>
    <w:p w:rsidR="000A5F62" w:rsidRDefault="0016102A" w:rsidP="0016102A">
      <w:pPr>
        <w:jc w:val="center"/>
      </w:pPr>
      <w:r>
        <w:rPr>
          <w:noProof/>
          <w:lang w:eastAsia="fr-FR"/>
        </w:rPr>
        <w:drawing>
          <wp:inline distT="0" distB="0" distL="0" distR="0" wp14:anchorId="30BD0482" wp14:editId="22F52590">
            <wp:extent cx="3953591" cy="394792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564" cy="3956885"/>
                    </a:xfrm>
                    <a:prstGeom prst="rect">
                      <a:avLst/>
                    </a:prstGeom>
                  </pic:spPr>
                </pic:pic>
              </a:graphicData>
            </a:graphic>
          </wp:inline>
        </w:drawing>
      </w:r>
    </w:p>
    <w:p w:rsidR="000A5F62" w:rsidRDefault="000A5F62" w:rsidP="000A5F62">
      <w:r>
        <w:t xml:space="preserve">On peut voir ici les </w:t>
      </w:r>
      <w:r w:rsidR="0016102A">
        <w:t>3</w:t>
      </w:r>
      <w:r>
        <w:t xml:space="preserve"> individus les plus à droite selon l’</w:t>
      </w:r>
      <w:r w:rsidR="0016102A">
        <w:t>axe 1 et les 2</w:t>
      </w:r>
      <w:r>
        <w:t xml:space="preserve"> individus les plus à gauche selon l’axe 1.</w:t>
      </w:r>
      <w:r>
        <w:br/>
        <w:t>Pour mieux les comparer regardons les valeurs de leurs variables quantitatives dans un tableau :</w:t>
      </w:r>
    </w:p>
    <w:p w:rsidR="000A5F62" w:rsidRDefault="0016102A" w:rsidP="00D059CF">
      <w:pPr>
        <w:rPr>
          <w:sz w:val="12"/>
          <w:szCs w:val="12"/>
        </w:rPr>
      </w:pPr>
      <w:r w:rsidRPr="0016102A">
        <w:rPr>
          <w:sz w:val="12"/>
          <w:szCs w:val="12"/>
        </w:rPr>
        <w:t xml:space="preserve">        </w:t>
      </w:r>
      <w:proofErr w:type="spellStart"/>
      <w:r w:rsidRPr="0016102A">
        <w:rPr>
          <w:sz w:val="12"/>
          <w:szCs w:val="12"/>
        </w:rPr>
        <w:t>Assets</w:t>
      </w:r>
      <w:proofErr w:type="spellEnd"/>
      <w:r w:rsidRPr="0016102A">
        <w:rPr>
          <w:sz w:val="12"/>
          <w:szCs w:val="12"/>
        </w:rPr>
        <w:t xml:space="preserve"> </w:t>
      </w:r>
      <w:r>
        <w:rPr>
          <w:sz w:val="12"/>
          <w:szCs w:val="12"/>
        </w:rPr>
        <w:t>|</w:t>
      </w:r>
      <w:r w:rsidRPr="0016102A">
        <w:rPr>
          <w:sz w:val="12"/>
          <w:szCs w:val="12"/>
        </w:rPr>
        <w:t>Personnel.</w:t>
      </w:r>
      <w:proofErr w:type="spellStart"/>
      <w:r w:rsidRPr="0016102A">
        <w:rPr>
          <w:sz w:val="12"/>
          <w:szCs w:val="12"/>
        </w:rPr>
        <w:t>expense</w:t>
      </w:r>
      <w:proofErr w:type="spellEnd"/>
      <w:proofErr w:type="gramStart"/>
      <w:r w:rsidRPr="0016102A">
        <w:rPr>
          <w:sz w:val="12"/>
          <w:szCs w:val="12"/>
        </w:rPr>
        <w:t>..</w:t>
      </w:r>
      <w:proofErr w:type="spellStart"/>
      <w:r w:rsidRPr="0016102A">
        <w:rPr>
          <w:sz w:val="12"/>
          <w:szCs w:val="12"/>
        </w:rPr>
        <w:t>assets</w:t>
      </w:r>
      <w:proofErr w:type="spellEnd"/>
      <w:proofErr w:type="gramEnd"/>
      <w:r>
        <w:rPr>
          <w:sz w:val="12"/>
          <w:szCs w:val="12"/>
        </w:rPr>
        <w:t>|</w:t>
      </w:r>
      <w:r w:rsidRPr="0016102A">
        <w:rPr>
          <w:sz w:val="12"/>
          <w:szCs w:val="12"/>
        </w:rPr>
        <w:t xml:space="preserve"> </w:t>
      </w:r>
      <w:proofErr w:type="spellStart"/>
      <w:r w:rsidRPr="0016102A">
        <w:rPr>
          <w:sz w:val="12"/>
          <w:szCs w:val="12"/>
        </w:rPr>
        <w:t>Number.of.active.borrowers</w:t>
      </w:r>
      <w:proofErr w:type="spellEnd"/>
      <w:r w:rsidRPr="0016102A">
        <w:rPr>
          <w:sz w:val="12"/>
          <w:szCs w:val="12"/>
        </w:rPr>
        <w:t xml:space="preserve"> </w:t>
      </w:r>
      <w:r>
        <w:rPr>
          <w:sz w:val="12"/>
          <w:szCs w:val="12"/>
        </w:rPr>
        <w:t>|</w:t>
      </w:r>
      <w:proofErr w:type="spellStart"/>
      <w:r w:rsidRPr="0016102A">
        <w:rPr>
          <w:sz w:val="12"/>
          <w:szCs w:val="12"/>
        </w:rPr>
        <w:t>Number.of.depositors</w:t>
      </w:r>
      <w:proofErr w:type="spellEnd"/>
      <w:r>
        <w:rPr>
          <w:sz w:val="12"/>
          <w:szCs w:val="12"/>
        </w:rPr>
        <w:t>|</w:t>
      </w:r>
      <w:r w:rsidRPr="0016102A">
        <w:rPr>
          <w:sz w:val="12"/>
          <w:szCs w:val="12"/>
        </w:rPr>
        <w:t xml:space="preserve"> </w:t>
      </w:r>
      <w:proofErr w:type="spellStart"/>
      <w:r w:rsidRPr="0016102A">
        <w:rPr>
          <w:sz w:val="12"/>
          <w:szCs w:val="12"/>
        </w:rPr>
        <w:t>Personnel.expense</w:t>
      </w:r>
      <w:proofErr w:type="spellEnd"/>
      <w:r>
        <w:rPr>
          <w:sz w:val="12"/>
          <w:szCs w:val="12"/>
        </w:rPr>
        <w:t>|</w:t>
      </w:r>
      <w:r w:rsidRPr="0016102A">
        <w:rPr>
          <w:sz w:val="12"/>
          <w:szCs w:val="12"/>
        </w:rPr>
        <w:t xml:space="preserve"> Personnel </w:t>
      </w:r>
      <w:r>
        <w:rPr>
          <w:sz w:val="12"/>
          <w:szCs w:val="12"/>
        </w:rPr>
        <w:t xml:space="preserve">   |</w:t>
      </w:r>
      <w:r w:rsidR="000017AF">
        <w:rPr>
          <w:sz w:val="12"/>
          <w:szCs w:val="12"/>
        </w:rPr>
        <w:t xml:space="preserve"> </w:t>
      </w:r>
      <w:proofErr w:type="spellStart"/>
      <w:r w:rsidRPr="0016102A">
        <w:rPr>
          <w:sz w:val="12"/>
          <w:szCs w:val="12"/>
        </w:rPr>
        <w:t>Eff.CRS.OUT</w:t>
      </w:r>
      <w:proofErr w:type="spellEnd"/>
      <w:r w:rsidRPr="0016102A">
        <w:rPr>
          <w:sz w:val="12"/>
          <w:szCs w:val="12"/>
        </w:rPr>
        <w:t>.</w:t>
      </w:r>
      <w:r>
        <w:rPr>
          <w:sz w:val="12"/>
          <w:szCs w:val="12"/>
        </w:rPr>
        <w:t>|</w:t>
      </w:r>
      <w:r w:rsidRPr="0016102A">
        <w:rPr>
          <w:sz w:val="12"/>
          <w:szCs w:val="12"/>
        </w:rPr>
        <w:t xml:space="preserve"> Eff.CRS.IN.</w:t>
      </w:r>
      <w:r>
        <w:rPr>
          <w:sz w:val="12"/>
          <w:szCs w:val="12"/>
        </w:rPr>
        <w:t xml:space="preserve">     |</w:t>
      </w:r>
      <w:r w:rsidRPr="0016102A">
        <w:rPr>
          <w:sz w:val="12"/>
          <w:szCs w:val="12"/>
        </w:rPr>
        <w:t xml:space="preserve"> </w:t>
      </w:r>
      <w:proofErr w:type="spellStart"/>
      <w:r w:rsidRPr="0016102A">
        <w:rPr>
          <w:sz w:val="12"/>
          <w:szCs w:val="12"/>
        </w:rPr>
        <w:t>Eff.VRS.OUT</w:t>
      </w:r>
      <w:proofErr w:type="spellEnd"/>
      <w:r w:rsidRPr="0016102A">
        <w:rPr>
          <w:sz w:val="12"/>
          <w:szCs w:val="12"/>
        </w:rPr>
        <w:t>.</w:t>
      </w:r>
      <w:r>
        <w:rPr>
          <w:sz w:val="12"/>
          <w:szCs w:val="12"/>
        </w:rPr>
        <w:t>| Eff.VRS.IN.</w:t>
      </w:r>
      <w:r>
        <w:rPr>
          <w:sz w:val="12"/>
          <w:szCs w:val="12"/>
        </w:rPr>
        <w:br/>
      </w:r>
      <w:r w:rsidRPr="0016102A">
        <w:rPr>
          <w:sz w:val="12"/>
          <w:szCs w:val="12"/>
        </w:rPr>
        <w:t>185115431</w:t>
      </w:r>
      <w:r>
        <w:rPr>
          <w:sz w:val="12"/>
          <w:szCs w:val="12"/>
        </w:rPr>
        <w:t>|</w:t>
      </w:r>
      <w:r w:rsidRPr="0016102A">
        <w:rPr>
          <w:sz w:val="12"/>
          <w:szCs w:val="12"/>
        </w:rPr>
        <w:t xml:space="preserve"> </w:t>
      </w:r>
      <w:r w:rsidR="0016050C">
        <w:rPr>
          <w:sz w:val="12"/>
          <w:szCs w:val="12"/>
        </w:rPr>
        <w:t xml:space="preserve">                                 </w:t>
      </w:r>
      <w:r w:rsidRPr="0016102A">
        <w:rPr>
          <w:sz w:val="12"/>
          <w:szCs w:val="12"/>
        </w:rPr>
        <w:t xml:space="preserve">0.0195 </w:t>
      </w:r>
      <w:r>
        <w:rPr>
          <w:sz w:val="12"/>
          <w:szCs w:val="12"/>
        </w:rPr>
        <w:t>|</w:t>
      </w:r>
      <w:r w:rsidR="0016050C">
        <w:rPr>
          <w:sz w:val="12"/>
          <w:szCs w:val="12"/>
        </w:rPr>
        <w:t xml:space="preserve">                                        679518</w:t>
      </w:r>
      <w:r>
        <w:rPr>
          <w:sz w:val="12"/>
          <w:szCs w:val="12"/>
        </w:rPr>
        <w:t>|</w:t>
      </w:r>
      <w:r w:rsidR="0016050C">
        <w:rPr>
          <w:sz w:val="12"/>
          <w:szCs w:val="12"/>
        </w:rPr>
        <w:t xml:space="preserve">                       </w:t>
      </w:r>
      <w:r w:rsidRPr="0016102A">
        <w:rPr>
          <w:sz w:val="12"/>
          <w:szCs w:val="12"/>
        </w:rPr>
        <w:t xml:space="preserve"> 1432623</w:t>
      </w:r>
      <w:r>
        <w:rPr>
          <w:sz w:val="12"/>
          <w:szCs w:val="12"/>
        </w:rPr>
        <w:t>|</w:t>
      </w:r>
      <w:r w:rsidRPr="0016102A">
        <w:rPr>
          <w:sz w:val="12"/>
          <w:szCs w:val="12"/>
        </w:rPr>
        <w:t xml:space="preserve"> </w:t>
      </w:r>
      <w:r w:rsidR="0016050C">
        <w:rPr>
          <w:sz w:val="12"/>
          <w:szCs w:val="12"/>
        </w:rPr>
        <w:t xml:space="preserve">             </w:t>
      </w:r>
      <w:r w:rsidRPr="0016102A">
        <w:rPr>
          <w:sz w:val="12"/>
          <w:szCs w:val="12"/>
        </w:rPr>
        <w:t>3609750.90</w:t>
      </w:r>
      <w:r>
        <w:rPr>
          <w:sz w:val="12"/>
          <w:szCs w:val="12"/>
        </w:rPr>
        <w:t>|</w:t>
      </w:r>
      <w:r w:rsidRPr="0016102A">
        <w:rPr>
          <w:sz w:val="12"/>
          <w:szCs w:val="12"/>
        </w:rPr>
        <w:t xml:space="preserve"> </w:t>
      </w:r>
      <w:r w:rsidR="0016050C">
        <w:rPr>
          <w:sz w:val="12"/>
          <w:szCs w:val="12"/>
        </w:rPr>
        <w:t xml:space="preserve">             </w:t>
      </w:r>
      <w:r w:rsidRPr="0016102A">
        <w:rPr>
          <w:sz w:val="12"/>
          <w:szCs w:val="12"/>
        </w:rPr>
        <w:t>2732</w:t>
      </w:r>
      <w:r>
        <w:rPr>
          <w:sz w:val="12"/>
          <w:szCs w:val="12"/>
        </w:rPr>
        <w:t>|</w:t>
      </w:r>
      <w:r w:rsidR="0016050C">
        <w:rPr>
          <w:sz w:val="12"/>
          <w:szCs w:val="12"/>
        </w:rPr>
        <w:t xml:space="preserve">       </w:t>
      </w:r>
      <w:r w:rsidRPr="0016102A">
        <w:rPr>
          <w:sz w:val="12"/>
          <w:szCs w:val="12"/>
        </w:rPr>
        <w:t>3.208117</w:t>
      </w:r>
      <w:r>
        <w:rPr>
          <w:sz w:val="12"/>
          <w:szCs w:val="12"/>
        </w:rPr>
        <w:t>|</w:t>
      </w:r>
      <w:r w:rsidRPr="0016102A">
        <w:rPr>
          <w:sz w:val="12"/>
          <w:szCs w:val="12"/>
        </w:rPr>
        <w:t xml:space="preserve">  0.31170933 </w:t>
      </w:r>
      <w:r>
        <w:rPr>
          <w:sz w:val="12"/>
          <w:szCs w:val="12"/>
        </w:rPr>
        <w:t>|</w:t>
      </w:r>
      <w:r w:rsidRPr="0016102A">
        <w:rPr>
          <w:sz w:val="12"/>
          <w:szCs w:val="12"/>
        </w:rPr>
        <w:t xml:space="preserve">    </w:t>
      </w:r>
      <w:r w:rsidR="0016050C">
        <w:rPr>
          <w:sz w:val="12"/>
          <w:szCs w:val="12"/>
        </w:rPr>
        <w:t xml:space="preserve">   </w:t>
      </w:r>
      <w:r w:rsidRPr="0016102A">
        <w:rPr>
          <w:sz w:val="12"/>
          <w:szCs w:val="12"/>
        </w:rPr>
        <w:t>1.000000</w:t>
      </w:r>
      <w:r>
        <w:rPr>
          <w:sz w:val="12"/>
          <w:szCs w:val="12"/>
        </w:rPr>
        <w:t>|</w:t>
      </w:r>
      <w:r w:rsidR="0016050C">
        <w:rPr>
          <w:sz w:val="12"/>
          <w:szCs w:val="12"/>
        </w:rPr>
        <w:t xml:space="preserve">  1.00000000</w:t>
      </w:r>
      <w:r w:rsidR="0016050C">
        <w:rPr>
          <w:sz w:val="12"/>
          <w:szCs w:val="12"/>
        </w:rPr>
        <w:br/>
      </w:r>
      <w:r w:rsidRPr="0016102A">
        <w:rPr>
          <w:sz w:val="12"/>
          <w:szCs w:val="12"/>
        </w:rPr>
        <w:t>1272406065</w:t>
      </w:r>
      <w:r w:rsidR="0016050C">
        <w:rPr>
          <w:sz w:val="12"/>
          <w:szCs w:val="12"/>
        </w:rPr>
        <w:t>|</w:t>
      </w:r>
      <w:r w:rsidRPr="0016102A">
        <w:rPr>
          <w:sz w:val="12"/>
          <w:szCs w:val="12"/>
        </w:rPr>
        <w:t xml:space="preserve"> </w:t>
      </w:r>
      <w:r w:rsidR="0016050C">
        <w:rPr>
          <w:sz w:val="12"/>
          <w:szCs w:val="12"/>
        </w:rPr>
        <w:t xml:space="preserve">             </w:t>
      </w:r>
      <w:r w:rsidRPr="0016102A">
        <w:rPr>
          <w:sz w:val="12"/>
          <w:szCs w:val="12"/>
        </w:rPr>
        <w:t xml:space="preserve">                   0.0411</w:t>
      </w:r>
      <w:r w:rsidR="0016050C">
        <w:rPr>
          <w:sz w:val="12"/>
          <w:szCs w:val="12"/>
        </w:rPr>
        <w:t>|</w:t>
      </w:r>
      <w:r w:rsidRPr="0016102A">
        <w:rPr>
          <w:sz w:val="12"/>
          <w:szCs w:val="12"/>
        </w:rPr>
        <w:t xml:space="preserve">       </w:t>
      </w:r>
      <w:r w:rsidR="0016050C">
        <w:rPr>
          <w:sz w:val="12"/>
          <w:szCs w:val="12"/>
        </w:rPr>
        <w:t xml:space="preserve">                   </w:t>
      </w:r>
      <w:r w:rsidRPr="0016102A">
        <w:rPr>
          <w:sz w:val="12"/>
          <w:szCs w:val="12"/>
        </w:rPr>
        <w:t xml:space="preserve">              715969</w:t>
      </w:r>
      <w:r w:rsidR="0016050C">
        <w:rPr>
          <w:sz w:val="12"/>
          <w:szCs w:val="12"/>
        </w:rPr>
        <w:t>|</w:t>
      </w:r>
      <w:r w:rsidRPr="0016102A">
        <w:rPr>
          <w:sz w:val="12"/>
          <w:szCs w:val="12"/>
        </w:rPr>
        <w:t xml:space="preserve">  </w:t>
      </w:r>
      <w:r w:rsidR="0016050C">
        <w:rPr>
          <w:sz w:val="12"/>
          <w:szCs w:val="12"/>
        </w:rPr>
        <w:t xml:space="preserve">          </w:t>
      </w:r>
      <w:r w:rsidRPr="0016102A">
        <w:rPr>
          <w:sz w:val="12"/>
          <w:szCs w:val="12"/>
        </w:rPr>
        <w:t xml:space="preserve">            4037504</w:t>
      </w:r>
      <w:r w:rsidR="0016050C">
        <w:rPr>
          <w:sz w:val="12"/>
          <w:szCs w:val="12"/>
        </w:rPr>
        <w:t>|</w:t>
      </w:r>
      <w:r w:rsidRPr="0016102A">
        <w:rPr>
          <w:sz w:val="12"/>
          <w:szCs w:val="12"/>
        </w:rPr>
        <w:t xml:space="preserve">      </w:t>
      </w:r>
      <w:r w:rsidR="0016050C">
        <w:rPr>
          <w:sz w:val="12"/>
          <w:szCs w:val="12"/>
        </w:rPr>
        <w:t xml:space="preserve">    </w:t>
      </w:r>
      <w:r w:rsidRPr="0016102A">
        <w:rPr>
          <w:sz w:val="12"/>
          <w:szCs w:val="12"/>
        </w:rPr>
        <w:t xml:space="preserve"> 52295889.27</w:t>
      </w:r>
      <w:r w:rsidR="0016050C">
        <w:rPr>
          <w:sz w:val="12"/>
          <w:szCs w:val="12"/>
        </w:rPr>
        <w:t>|</w:t>
      </w:r>
      <w:r w:rsidRPr="0016102A">
        <w:rPr>
          <w:sz w:val="12"/>
          <w:szCs w:val="12"/>
        </w:rPr>
        <w:t xml:space="preserve">   </w:t>
      </w:r>
      <w:r w:rsidR="0016050C">
        <w:rPr>
          <w:sz w:val="12"/>
          <w:szCs w:val="12"/>
        </w:rPr>
        <w:t xml:space="preserve">         </w:t>
      </w:r>
      <w:r w:rsidRPr="0016102A">
        <w:rPr>
          <w:sz w:val="12"/>
          <w:szCs w:val="12"/>
        </w:rPr>
        <w:t xml:space="preserve">   4291</w:t>
      </w:r>
      <w:r w:rsidR="0016050C">
        <w:rPr>
          <w:sz w:val="12"/>
          <w:szCs w:val="12"/>
        </w:rPr>
        <w:t>|</w:t>
      </w:r>
      <w:r w:rsidRPr="0016102A">
        <w:rPr>
          <w:sz w:val="12"/>
          <w:szCs w:val="12"/>
        </w:rPr>
        <w:t xml:space="preserve">  </w:t>
      </w:r>
      <w:r w:rsidR="0016050C">
        <w:rPr>
          <w:sz w:val="12"/>
          <w:szCs w:val="12"/>
        </w:rPr>
        <w:t xml:space="preserve"> </w:t>
      </w:r>
      <w:r w:rsidR="000017AF">
        <w:rPr>
          <w:sz w:val="12"/>
          <w:szCs w:val="12"/>
        </w:rPr>
        <w:t xml:space="preserve"> </w:t>
      </w:r>
      <w:r w:rsidRPr="0016102A">
        <w:rPr>
          <w:sz w:val="12"/>
          <w:szCs w:val="12"/>
        </w:rPr>
        <w:t xml:space="preserve">   2.750548</w:t>
      </w:r>
      <w:r w:rsidR="0016050C">
        <w:rPr>
          <w:sz w:val="12"/>
          <w:szCs w:val="12"/>
        </w:rPr>
        <w:t>|</w:t>
      </w:r>
      <w:r w:rsidRPr="0016102A">
        <w:rPr>
          <w:sz w:val="12"/>
          <w:szCs w:val="12"/>
        </w:rPr>
        <w:t xml:space="preserve"> </w:t>
      </w:r>
      <w:r w:rsidR="0016050C">
        <w:rPr>
          <w:sz w:val="12"/>
          <w:szCs w:val="12"/>
        </w:rPr>
        <w:t xml:space="preserve"> </w:t>
      </w:r>
      <w:r w:rsidRPr="0016102A">
        <w:rPr>
          <w:sz w:val="12"/>
          <w:szCs w:val="12"/>
        </w:rPr>
        <w:t xml:space="preserve"> 0.36356396</w:t>
      </w:r>
      <w:r w:rsidR="0016050C">
        <w:rPr>
          <w:sz w:val="12"/>
          <w:szCs w:val="12"/>
        </w:rPr>
        <w:t>|</w:t>
      </w:r>
      <w:r w:rsidRPr="0016102A">
        <w:rPr>
          <w:sz w:val="12"/>
          <w:szCs w:val="12"/>
        </w:rPr>
        <w:t xml:space="preserve"> </w:t>
      </w:r>
      <w:r w:rsidR="0016050C">
        <w:rPr>
          <w:sz w:val="12"/>
          <w:szCs w:val="12"/>
        </w:rPr>
        <w:t xml:space="preserve">   </w:t>
      </w:r>
      <w:r w:rsidRPr="0016102A">
        <w:rPr>
          <w:sz w:val="12"/>
          <w:szCs w:val="12"/>
        </w:rPr>
        <w:t xml:space="preserve">    1.000000</w:t>
      </w:r>
      <w:r w:rsidR="0016050C">
        <w:rPr>
          <w:sz w:val="12"/>
          <w:szCs w:val="12"/>
        </w:rPr>
        <w:t>|  1.00000000</w:t>
      </w:r>
      <w:r w:rsidR="0016050C">
        <w:rPr>
          <w:sz w:val="12"/>
          <w:szCs w:val="12"/>
        </w:rPr>
        <w:br/>
      </w:r>
      <w:r w:rsidRPr="0016102A">
        <w:rPr>
          <w:sz w:val="12"/>
          <w:szCs w:val="12"/>
        </w:rPr>
        <w:t xml:space="preserve">759453586  </w:t>
      </w:r>
      <w:r w:rsidR="0016050C">
        <w:rPr>
          <w:sz w:val="12"/>
          <w:szCs w:val="12"/>
        </w:rPr>
        <w:t>|</w:t>
      </w:r>
      <w:r w:rsidRPr="0016102A">
        <w:rPr>
          <w:sz w:val="12"/>
          <w:szCs w:val="12"/>
        </w:rPr>
        <w:t xml:space="preserve">             </w:t>
      </w:r>
      <w:r w:rsidR="0016050C">
        <w:rPr>
          <w:sz w:val="12"/>
          <w:szCs w:val="12"/>
        </w:rPr>
        <w:t xml:space="preserve">              </w:t>
      </w:r>
      <w:r w:rsidRPr="0016102A">
        <w:rPr>
          <w:sz w:val="12"/>
          <w:szCs w:val="12"/>
        </w:rPr>
        <w:t xml:space="preserve">     0.0269 </w:t>
      </w:r>
      <w:r w:rsidR="0016050C">
        <w:rPr>
          <w:sz w:val="12"/>
          <w:szCs w:val="12"/>
        </w:rPr>
        <w:t>|</w:t>
      </w:r>
      <w:r w:rsidRPr="0016102A">
        <w:rPr>
          <w:sz w:val="12"/>
          <w:szCs w:val="12"/>
        </w:rPr>
        <w:t xml:space="preserve">    </w:t>
      </w:r>
      <w:r w:rsidR="0016050C">
        <w:rPr>
          <w:sz w:val="12"/>
          <w:szCs w:val="12"/>
        </w:rPr>
        <w:t xml:space="preserve">                                   311196 |</w:t>
      </w:r>
      <w:r w:rsidRPr="0016102A">
        <w:rPr>
          <w:sz w:val="12"/>
          <w:szCs w:val="12"/>
        </w:rPr>
        <w:t xml:space="preserve">       </w:t>
      </w:r>
      <w:r w:rsidR="0016050C">
        <w:rPr>
          <w:sz w:val="12"/>
          <w:szCs w:val="12"/>
        </w:rPr>
        <w:t xml:space="preserve">            </w:t>
      </w:r>
      <w:r w:rsidRPr="0016102A">
        <w:rPr>
          <w:sz w:val="12"/>
          <w:szCs w:val="12"/>
        </w:rPr>
        <w:t xml:space="preserve">     2194252</w:t>
      </w:r>
      <w:r w:rsidR="0016050C">
        <w:rPr>
          <w:sz w:val="12"/>
          <w:szCs w:val="12"/>
        </w:rPr>
        <w:t xml:space="preserve">|    </w:t>
      </w:r>
      <w:r w:rsidRPr="0016102A">
        <w:rPr>
          <w:sz w:val="12"/>
          <w:szCs w:val="12"/>
        </w:rPr>
        <w:t xml:space="preserve">       20429301.46</w:t>
      </w:r>
      <w:r w:rsidR="0016050C">
        <w:rPr>
          <w:sz w:val="12"/>
          <w:szCs w:val="12"/>
        </w:rPr>
        <w:t>|</w:t>
      </w:r>
      <w:r w:rsidRPr="0016102A">
        <w:rPr>
          <w:sz w:val="12"/>
          <w:szCs w:val="12"/>
        </w:rPr>
        <w:t xml:space="preserve">   </w:t>
      </w:r>
      <w:r w:rsidR="0016050C">
        <w:rPr>
          <w:sz w:val="12"/>
          <w:szCs w:val="12"/>
        </w:rPr>
        <w:t xml:space="preserve">        </w:t>
      </w:r>
      <w:r w:rsidRPr="0016102A">
        <w:rPr>
          <w:sz w:val="12"/>
          <w:szCs w:val="12"/>
        </w:rPr>
        <w:t xml:space="preserve">  </w:t>
      </w:r>
      <w:r w:rsidR="0016050C">
        <w:rPr>
          <w:sz w:val="12"/>
          <w:szCs w:val="12"/>
        </w:rPr>
        <w:t xml:space="preserve"> </w:t>
      </w:r>
      <w:r w:rsidRPr="0016102A">
        <w:rPr>
          <w:sz w:val="12"/>
          <w:szCs w:val="12"/>
        </w:rPr>
        <w:t xml:space="preserve"> 3815</w:t>
      </w:r>
      <w:r w:rsidR="0016050C">
        <w:rPr>
          <w:sz w:val="12"/>
          <w:szCs w:val="12"/>
        </w:rPr>
        <w:t>|</w:t>
      </w:r>
      <w:r w:rsidRPr="0016102A">
        <w:rPr>
          <w:sz w:val="12"/>
          <w:szCs w:val="12"/>
        </w:rPr>
        <w:t xml:space="preserve">  </w:t>
      </w:r>
      <w:r w:rsidR="0016050C">
        <w:rPr>
          <w:sz w:val="12"/>
          <w:szCs w:val="12"/>
        </w:rPr>
        <w:t xml:space="preserve"> </w:t>
      </w:r>
      <w:r w:rsidRPr="0016102A">
        <w:rPr>
          <w:sz w:val="12"/>
          <w:szCs w:val="12"/>
        </w:rPr>
        <w:t xml:space="preserve"> </w:t>
      </w:r>
      <w:r w:rsidR="000017AF">
        <w:rPr>
          <w:sz w:val="12"/>
          <w:szCs w:val="12"/>
        </w:rPr>
        <w:t xml:space="preserve"> </w:t>
      </w:r>
      <w:r w:rsidRPr="0016102A">
        <w:rPr>
          <w:sz w:val="12"/>
          <w:szCs w:val="12"/>
        </w:rPr>
        <w:t xml:space="preserve">  4.075681</w:t>
      </w:r>
      <w:r w:rsidR="0016050C">
        <w:rPr>
          <w:sz w:val="12"/>
          <w:szCs w:val="12"/>
        </w:rPr>
        <w:t>|</w:t>
      </w:r>
      <w:r w:rsidRPr="0016102A">
        <w:rPr>
          <w:sz w:val="12"/>
          <w:szCs w:val="12"/>
        </w:rPr>
        <w:t xml:space="preserve"> </w:t>
      </w:r>
      <w:r w:rsidR="0016050C">
        <w:rPr>
          <w:sz w:val="12"/>
          <w:szCs w:val="12"/>
        </w:rPr>
        <w:t xml:space="preserve"> </w:t>
      </w:r>
      <w:r w:rsidRPr="0016102A">
        <w:rPr>
          <w:sz w:val="12"/>
          <w:szCs w:val="12"/>
        </w:rPr>
        <w:t xml:space="preserve"> 0.24</w:t>
      </w:r>
      <w:r w:rsidR="0016050C">
        <w:rPr>
          <w:sz w:val="12"/>
          <w:szCs w:val="12"/>
        </w:rPr>
        <w:t>535776|        1.130061|  0.85343369</w:t>
      </w:r>
      <w:r w:rsidR="0016050C">
        <w:rPr>
          <w:sz w:val="12"/>
          <w:szCs w:val="12"/>
        </w:rPr>
        <w:br/>
        <w:t xml:space="preserve">      </w:t>
      </w:r>
      <w:r w:rsidRPr="0016102A">
        <w:rPr>
          <w:sz w:val="12"/>
          <w:szCs w:val="12"/>
        </w:rPr>
        <w:t>1981919</w:t>
      </w:r>
      <w:r w:rsidR="0016050C">
        <w:rPr>
          <w:sz w:val="12"/>
          <w:szCs w:val="12"/>
        </w:rPr>
        <w:t>|</w:t>
      </w:r>
      <w:r w:rsidRPr="0016102A">
        <w:rPr>
          <w:sz w:val="12"/>
          <w:szCs w:val="12"/>
        </w:rPr>
        <w:t xml:space="preserve">       </w:t>
      </w:r>
      <w:r w:rsidR="0016050C">
        <w:rPr>
          <w:sz w:val="12"/>
          <w:szCs w:val="12"/>
        </w:rPr>
        <w:t xml:space="preserve">           </w:t>
      </w:r>
      <w:r w:rsidRPr="0016102A">
        <w:rPr>
          <w:sz w:val="12"/>
          <w:szCs w:val="12"/>
        </w:rPr>
        <w:t xml:space="preserve">             0.1047  </w:t>
      </w:r>
      <w:r w:rsidR="0016050C">
        <w:rPr>
          <w:sz w:val="12"/>
          <w:szCs w:val="12"/>
        </w:rPr>
        <w:t>|</w:t>
      </w:r>
      <w:r w:rsidRPr="0016102A">
        <w:rPr>
          <w:sz w:val="12"/>
          <w:szCs w:val="12"/>
        </w:rPr>
        <w:t xml:space="preserve">    </w:t>
      </w:r>
      <w:r w:rsidR="0016050C">
        <w:rPr>
          <w:sz w:val="12"/>
          <w:szCs w:val="12"/>
        </w:rPr>
        <w:t xml:space="preserve">                                           500|</w:t>
      </w:r>
      <w:r w:rsidRPr="0016102A">
        <w:rPr>
          <w:sz w:val="12"/>
          <w:szCs w:val="12"/>
        </w:rPr>
        <w:t xml:space="preserve">    </w:t>
      </w:r>
      <w:r w:rsidR="0016050C">
        <w:rPr>
          <w:sz w:val="12"/>
          <w:szCs w:val="12"/>
        </w:rPr>
        <w:t xml:space="preserve">                      </w:t>
      </w:r>
      <w:r w:rsidRPr="0016102A">
        <w:rPr>
          <w:sz w:val="12"/>
          <w:szCs w:val="12"/>
        </w:rPr>
        <w:t xml:space="preserve">         11</w:t>
      </w:r>
      <w:r w:rsidR="0016050C">
        <w:rPr>
          <w:sz w:val="12"/>
          <w:szCs w:val="12"/>
        </w:rPr>
        <w:t>|</w:t>
      </w:r>
      <w:r w:rsidRPr="0016102A">
        <w:rPr>
          <w:sz w:val="12"/>
          <w:szCs w:val="12"/>
        </w:rPr>
        <w:t xml:space="preserve">   </w:t>
      </w:r>
      <w:r w:rsidR="0016050C">
        <w:rPr>
          <w:sz w:val="12"/>
          <w:szCs w:val="12"/>
        </w:rPr>
        <w:t xml:space="preserve"> </w:t>
      </w:r>
      <w:r w:rsidR="000017AF">
        <w:rPr>
          <w:sz w:val="12"/>
          <w:szCs w:val="12"/>
        </w:rPr>
        <w:t xml:space="preserve"> </w:t>
      </w:r>
      <w:r w:rsidR="0016050C">
        <w:rPr>
          <w:sz w:val="12"/>
          <w:szCs w:val="12"/>
        </w:rPr>
        <w:t xml:space="preserve">     </w:t>
      </w:r>
      <w:r w:rsidRPr="0016102A">
        <w:rPr>
          <w:sz w:val="12"/>
          <w:szCs w:val="12"/>
        </w:rPr>
        <w:t xml:space="preserve">      207506.92</w:t>
      </w:r>
      <w:r w:rsidR="0016050C">
        <w:rPr>
          <w:sz w:val="12"/>
          <w:szCs w:val="12"/>
        </w:rPr>
        <w:t>|</w:t>
      </w:r>
      <w:r w:rsidRPr="0016102A">
        <w:rPr>
          <w:sz w:val="12"/>
          <w:szCs w:val="12"/>
        </w:rPr>
        <w:t xml:space="preserve">     </w:t>
      </w:r>
      <w:r w:rsidR="0016050C">
        <w:rPr>
          <w:sz w:val="12"/>
          <w:szCs w:val="12"/>
        </w:rPr>
        <w:t xml:space="preserve">            </w:t>
      </w:r>
      <w:r w:rsidRPr="0016102A">
        <w:rPr>
          <w:sz w:val="12"/>
          <w:szCs w:val="12"/>
        </w:rPr>
        <w:t xml:space="preserve">   20</w:t>
      </w:r>
      <w:r w:rsidR="0016050C" w:rsidRPr="00337B9F">
        <w:rPr>
          <w:sz w:val="12"/>
          <w:szCs w:val="12"/>
        </w:rPr>
        <w:t>|</w:t>
      </w:r>
      <w:r w:rsidRPr="00337B9F">
        <w:rPr>
          <w:color w:val="70AD47" w:themeColor="accent6"/>
          <w:sz w:val="12"/>
          <w:szCs w:val="12"/>
        </w:rPr>
        <w:t xml:space="preserve">    79.484211</w:t>
      </w:r>
      <w:r w:rsidR="0016050C">
        <w:rPr>
          <w:sz w:val="12"/>
          <w:szCs w:val="12"/>
        </w:rPr>
        <w:t>|</w:t>
      </w:r>
      <w:r w:rsidRPr="0016102A">
        <w:rPr>
          <w:sz w:val="12"/>
          <w:szCs w:val="12"/>
        </w:rPr>
        <w:t xml:space="preserve">  </w:t>
      </w:r>
      <w:r w:rsidR="0016050C">
        <w:rPr>
          <w:sz w:val="12"/>
          <w:szCs w:val="12"/>
        </w:rPr>
        <w:t xml:space="preserve"> </w:t>
      </w:r>
      <w:r w:rsidRPr="0016102A">
        <w:rPr>
          <w:sz w:val="12"/>
          <w:szCs w:val="12"/>
        </w:rPr>
        <w:t>0.01</w:t>
      </w:r>
      <w:r w:rsidR="0016050C">
        <w:rPr>
          <w:sz w:val="12"/>
          <w:szCs w:val="12"/>
        </w:rPr>
        <w:t>258112</w:t>
      </w:r>
      <w:r w:rsidR="0016050C" w:rsidRPr="00337B9F">
        <w:rPr>
          <w:sz w:val="12"/>
          <w:szCs w:val="12"/>
        </w:rPr>
        <w:t>|</w:t>
      </w:r>
      <w:r w:rsidR="0016050C" w:rsidRPr="00337B9F">
        <w:rPr>
          <w:color w:val="70AD47" w:themeColor="accent6"/>
          <w:sz w:val="12"/>
          <w:szCs w:val="12"/>
        </w:rPr>
        <w:t xml:space="preserve">      76.959517</w:t>
      </w:r>
      <w:r w:rsidR="0016050C">
        <w:rPr>
          <w:sz w:val="12"/>
          <w:szCs w:val="12"/>
        </w:rPr>
        <w:t>|  0.07711727</w:t>
      </w:r>
      <w:r w:rsidR="0016050C">
        <w:rPr>
          <w:sz w:val="12"/>
          <w:szCs w:val="12"/>
        </w:rPr>
        <w:br/>
        <w:t xml:space="preserve">        </w:t>
      </w:r>
      <w:r w:rsidRPr="0016102A">
        <w:rPr>
          <w:sz w:val="12"/>
          <w:szCs w:val="12"/>
        </w:rPr>
        <w:t>232479</w:t>
      </w:r>
      <w:r w:rsidR="0016050C">
        <w:rPr>
          <w:sz w:val="12"/>
          <w:szCs w:val="12"/>
        </w:rPr>
        <w:t>|</w:t>
      </w:r>
      <w:r w:rsidRPr="0016102A">
        <w:rPr>
          <w:sz w:val="12"/>
          <w:szCs w:val="12"/>
        </w:rPr>
        <w:t xml:space="preserve">     </w:t>
      </w:r>
      <w:r w:rsidR="0016050C">
        <w:rPr>
          <w:sz w:val="12"/>
          <w:szCs w:val="12"/>
        </w:rPr>
        <w:t xml:space="preserve">              </w:t>
      </w:r>
      <w:r w:rsidRPr="0016102A">
        <w:rPr>
          <w:sz w:val="12"/>
          <w:szCs w:val="12"/>
        </w:rPr>
        <w:t xml:space="preserve">               0.1667</w:t>
      </w:r>
      <w:r w:rsidR="0016050C">
        <w:rPr>
          <w:sz w:val="12"/>
          <w:szCs w:val="12"/>
        </w:rPr>
        <w:t>|</w:t>
      </w:r>
      <w:r w:rsidRPr="0016102A">
        <w:rPr>
          <w:sz w:val="12"/>
          <w:szCs w:val="12"/>
        </w:rPr>
        <w:t xml:space="preserve">      </w:t>
      </w:r>
      <w:r w:rsidR="0016050C">
        <w:rPr>
          <w:sz w:val="12"/>
          <w:szCs w:val="12"/>
        </w:rPr>
        <w:t xml:space="preserve">                       </w:t>
      </w:r>
      <w:r w:rsidRPr="0016102A">
        <w:rPr>
          <w:sz w:val="12"/>
          <w:szCs w:val="12"/>
        </w:rPr>
        <w:t xml:space="preserve">                  389</w:t>
      </w:r>
      <w:r w:rsidR="0016050C">
        <w:rPr>
          <w:sz w:val="12"/>
          <w:szCs w:val="12"/>
        </w:rPr>
        <w:t>|</w:t>
      </w:r>
      <w:r w:rsidRPr="0016102A">
        <w:rPr>
          <w:sz w:val="12"/>
          <w:szCs w:val="12"/>
        </w:rPr>
        <w:t xml:space="preserve">       </w:t>
      </w:r>
      <w:r w:rsidR="0016050C">
        <w:rPr>
          <w:sz w:val="12"/>
          <w:szCs w:val="12"/>
        </w:rPr>
        <w:t xml:space="preserve">                 </w:t>
      </w:r>
      <w:r w:rsidRPr="0016102A">
        <w:rPr>
          <w:sz w:val="12"/>
          <w:szCs w:val="12"/>
        </w:rPr>
        <w:t xml:space="preserve">             5</w:t>
      </w:r>
      <w:r w:rsidR="0016050C">
        <w:rPr>
          <w:sz w:val="12"/>
          <w:szCs w:val="12"/>
        </w:rPr>
        <w:t>|</w:t>
      </w:r>
      <w:r w:rsidRPr="0016102A">
        <w:rPr>
          <w:sz w:val="12"/>
          <w:szCs w:val="12"/>
        </w:rPr>
        <w:t xml:space="preserve">  </w:t>
      </w:r>
      <w:r w:rsidR="0016050C">
        <w:rPr>
          <w:sz w:val="12"/>
          <w:szCs w:val="12"/>
        </w:rPr>
        <w:t xml:space="preserve">   </w:t>
      </w:r>
      <w:r w:rsidR="000017AF">
        <w:rPr>
          <w:sz w:val="12"/>
          <w:szCs w:val="12"/>
        </w:rPr>
        <w:t xml:space="preserve"> </w:t>
      </w:r>
      <w:r w:rsidR="0016050C">
        <w:rPr>
          <w:sz w:val="12"/>
          <w:szCs w:val="12"/>
        </w:rPr>
        <w:t xml:space="preserve">    </w:t>
      </w:r>
      <w:r w:rsidRPr="0016102A">
        <w:rPr>
          <w:sz w:val="12"/>
          <w:szCs w:val="12"/>
        </w:rPr>
        <w:t xml:space="preserve">        38754.25</w:t>
      </w:r>
      <w:r w:rsidR="0016050C">
        <w:rPr>
          <w:sz w:val="12"/>
          <w:szCs w:val="12"/>
        </w:rPr>
        <w:t>|</w:t>
      </w:r>
      <w:r w:rsidRPr="0016102A">
        <w:rPr>
          <w:sz w:val="12"/>
          <w:szCs w:val="12"/>
        </w:rPr>
        <w:t xml:space="preserve">      </w:t>
      </w:r>
      <w:r w:rsidR="0016050C">
        <w:rPr>
          <w:sz w:val="12"/>
          <w:szCs w:val="12"/>
        </w:rPr>
        <w:t xml:space="preserve">           </w:t>
      </w:r>
      <w:r w:rsidRPr="0016102A">
        <w:rPr>
          <w:sz w:val="12"/>
          <w:szCs w:val="12"/>
        </w:rPr>
        <w:t xml:space="preserve">  </w:t>
      </w:r>
      <w:r w:rsidRPr="00337B9F">
        <w:rPr>
          <w:sz w:val="12"/>
          <w:szCs w:val="12"/>
        </w:rPr>
        <w:t xml:space="preserve">15 </w:t>
      </w:r>
      <w:r w:rsidR="0016050C" w:rsidRPr="00337B9F">
        <w:rPr>
          <w:sz w:val="12"/>
          <w:szCs w:val="12"/>
        </w:rPr>
        <w:t>|</w:t>
      </w:r>
      <w:r w:rsidRPr="00337B9F">
        <w:rPr>
          <w:color w:val="70AD47" w:themeColor="accent6"/>
          <w:sz w:val="12"/>
          <w:szCs w:val="12"/>
        </w:rPr>
        <w:t xml:space="preserve"> </w:t>
      </w:r>
      <w:r w:rsidR="0016050C" w:rsidRPr="00337B9F">
        <w:rPr>
          <w:color w:val="70AD47" w:themeColor="accent6"/>
          <w:sz w:val="12"/>
          <w:szCs w:val="12"/>
        </w:rPr>
        <w:t xml:space="preserve"> </w:t>
      </w:r>
      <w:r w:rsidRPr="00337B9F">
        <w:rPr>
          <w:color w:val="70AD47" w:themeColor="accent6"/>
          <w:sz w:val="12"/>
          <w:szCs w:val="12"/>
        </w:rPr>
        <w:t xml:space="preserve">  76.623596</w:t>
      </w:r>
      <w:r w:rsidR="0016050C">
        <w:rPr>
          <w:sz w:val="12"/>
          <w:szCs w:val="12"/>
        </w:rPr>
        <w:t>|</w:t>
      </w:r>
      <w:r w:rsidRPr="0016102A">
        <w:rPr>
          <w:sz w:val="12"/>
          <w:szCs w:val="12"/>
        </w:rPr>
        <w:t xml:space="preserve">  </w:t>
      </w:r>
      <w:r w:rsidR="0016050C">
        <w:rPr>
          <w:sz w:val="12"/>
          <w:szCs w:val="12"/>
        </w:rPr>
        <w:t xml:space="preserve"> </w:t>
      </w:r>
      <w:r w:rsidRPr="0016102A">
        <w:rPr>
          <w:sz w:val="12"/>
          <w:szCs w:val="12"/>
        </w:rPr>
        <w:t>0.01305081</w:t>
      </w:r>
      <w:r w:rsidR="0016050C" w:rsidRPr="00337B9F">
        <w:rPr>
          <w:sz w:val="12"/>
          <w:szCs w:val="12"/>
        </w:rPr>
        <w:t>|</w:t>
      </w:r>
      <w:r w:rsidRPr="00337B9F">
        <w:rPr>
          <w:color w:val="70AD47" w:themeColor="accent6"/>
          <w:sz w:val="12"/>
          <w:szCs w:val="12"/>
        </w:rPr>
        <w:t xml:space="preserve">   </w:t>
      </w:r>
      <w:r w:rsidR="0016050C" w:rsidRPr="00337B9F">
        <w:rPr>
          <w:color w:val="70AD47" w:themeColor="accent6"/>
          <w:sz w:val="12"/>
          <w:szCs w:val="12"/>
        </w:rPr>
        <w:t xml:space="preserve"> </w:t>
      </w:r>
      <w:r w:rsidRPr="00337B9F">
        <w:rPr>
          <w:color w:val="70AD47" w:themeColor="accent6"/>
          <w:sz w:val="12"/>
          <w:szCs w:val="12"/>
        </w:rPr>
        <w:t xml:space="preserve"> </w:t>
      </w:r>
      <w:r w:rsidR="0016050C" w:rsidRPr="00337B9F">
        <w:rPr>
          <w:color w:val="70AD47" w:themeColor="accent6"/>
          <w:sz w:val="12"/>
          <w:szCs w:val="12"/>
        </w:rPr>
        <w:t xml:space="preserve"> </w:t>
      </w:r>
      <w:r w:rsidRPr="00337B9F">
        <w:rPr>
          <w:color w:val="70AD47" w:themeColor="accent6"/>
          <w:sz w:val="12"/>
          <w:szCs w:val="12"/>
        </w:rPr>
        <w:t>75.742074</w:t>
      </w:r>
      <w:r w:rsidR="0016050C">
        <w:rPr>
          <w:sz w:val="12"/>
          <w:szCs w:val="12"/>
        </w:rPr>
        <w:t>|</w:t>
      </w:r>
      <w:r w:rsidRPr="0016102A">
        <w:rPr>
          <w:sz w:val="12"/>
          <w:szCs w:val="12"/>
        </w:rPr>
        <w:t xml:space="preserve">  0.24445583</w:t>
      </w:r>
    </w:p>
    <w:p w:rsidR="0016050C" w:rsidRDefault="0016050C" w:rsidP="00D059CF">
      <w:pPr>
        <w:rPr>
          <w:sz w:val="12"/>
          <w:szCs w:val="12"/>
        </w:rPr>
      </w:pPr>
    </w:p>
    <w:p w:rsidR="0016050C" w:rsidRDefault="0016050C" w:rsidP="00D059CF">
      <w:r>
        <w:t>Les 3 premières lignes du tableau concernent les individus les plus à droite dur l’axe et les 2 dernières lignes les individus les plus à gauche.</w:t>
      </w:r>
    </w:p>
    <w:p w:rsidR="00D059CF" w:rsidRDefault="000D7B71" w:rsidP="00337B9F">
      <w:r>
        <w:t xml:space="preserve">On peut voir que les individus à gauche sur l’axe ont des variables d’efficience </w:t>
      </w:r>
      <w:proofErr w:type="spellStart"/>
      <w:r w:rsidRPr="000D7B71">
        <w:t>Eff.CRS.OUT</w:t>
      </w:r>
      <w:proofErr w:type="spellEnd"/>
      <w:r w:rsidRPr="000D7B71">
        <w:t xml:space="preserve"> et </w:t>
      </w:r>
      <w:proofErr w:type="spellStart"/>
      <w:r>
        <w:t>Eff.VRS.OUT</w:t>
      </w:r>
      <w:proofErr w:type="spellEnd"/>
      <w:r w:rsidRPr="000D7B71">
        <w:t xml:space="preserve"> </w:t>
      </w:r>
      <w:r>
        <w:t xml:space="preserve"> </w:t>
      </w:r>
      <w:r w:rsidRPr="000D7B71">
        <w:t>bea</w:t>
      </w:r>
      <w:r>
        <w:t xml:space="preserve">ucoup plus grandes que </w:t>
      </w:r>
      <w:r w:rsidR="00337B9F">
        <w:t>celles des trois autres individus et des variabl</w:t>
      </w:r>
      <w:r w:rsidR="00337B9F" w:rsidRPr="00337B9F">
        <w:t xml:space="preserve">es Eff.CRS.IN </w:t>
      </w:r>
      <w:r w:rsidR="00337B9F" w:rsidRPr="00337B9F">
        <w:t xml:space="preserve"> </w:t>
      </w:r>
      <w:r w:rsidR="00337B9F" w:rsidRPr="00337B9F">
        <w:t>et Eff.VRS.IN</w:t>
      </w:r>
      <w:r w:rsidR="00337B9F">
        <w:t xml:space="preserve"> plus petites que celles des trois autres individus. On peut en conclure, d’après la précédente analyse des variables que les trois premiers OMF qui correspondent aux individus 110, 132 et 180 sont des OMF importants, de grandes tailles. Contrairement aux 2 derniers (OMF 415 et 432) qui sont surement des petites structures. On peut d’ailleurs voir qu’ils sont en rouge : ce sont des nouvelles structures. Les 3 autres sont eux des structures classées comme mature.</w:t>
      </w:r>
    </w:p>
    <w:p w:rsidR="000A5F62" w:rsidRDefault="00BA1B57" w:rsidP="000A5F62">
      <w:pPr>
        <w:jc w:val="center"/>
      </w:pPr>
      <w:r>
        <w:t>AFCM</w:t>
      </w:r>
    </w:p>
    <w:p w:rsidR="00480B94" w:rsidRDefault="00480B94" w:rsidP="00480B94">
      <w:r>
        <w:t>On effectue ensuite une Analyse Factorielle des Composantes Multiples pour voir les corrélations des variables qualitatives.</w:t>
      </w:r>
    </w:p>
    <w:p w:rsidR="00BA1B57" w:rsidRDefault="00E10660" w:rsidP="00656516">
      <w:pPr>
        <w:jc w:val="center"/>
      </w:pPr>
      <w:r>
        <w:t>$</w:t>
      </w:r>
      <w:r w:rsidR="00BA1B57">
        <w:rPr>
          <w:noProof/>
          <w:lang w:eastAsia="fr-FR"/>
        </w:rPr>
        <w:drawing>
          <wp:inline distT="0" distB="0" distL="0" distR="0" wp14:anchorId="3894F937" wp14:editId="46299643">
            <wp:extent cx="4448175" cy="444180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8840" cy="4452452"/>
                    </a:xfrm>
                    <a:prstGeom prst="rect">
                      <a:avLst/>
                    </a:prstGeom>
                  </pic:spPr>
                </pic:pic>
              </a:graphicData>
            </a:graphic>
          </wp:inline>
        </w:drawing>
      </w:r>
    </w:p>
    <w:p w:rsidR="00750AC1" w:rsidRDefault="00480B94" w:rsidP="00480B94">
      <w:r w:rsidRPr="00480B94">
        <w:rPr>
          <w:u w:val="single"/>
        </w:rPr>
        <w:t>Axe1 :</w:t>
      </w:r>
      <w:r>
        <w:rPr>
          <w:u w:val="single"/>
        </w:rPr>
        <w:t xml:space="preserve"> </w:t>
      </w:r>
      <w:r>
        <w:t>On voit que l’</w:t>
      </w:r>
      <w:r w:rsidR="00750AC1">
        <w:t>axe 1 est déterminé par :</w:t>
      </w:r>
      <w:r w:rsidR="00750AC1">
        <w:br/>
        <w:t>- la variable de la taille de l’OMF : les organismes les plus petits se situeront plutôt sur la droite de l’axe et les organismes les plus grands sur la gauche.</w:t>
      </w:r>
      <w:r w:rsidR="00750AC1">
        <w:br/>
        <w:t xml:space="preserve">- la variable Financial </w:t>
      </w:r>
      <w:proofErr w:type="spellStart"/>
      <w:r w:rsidR="00750AC1">
        <w:t>Intermediation</w:t>
      </w:r>
      <w:proofErr w:type="spellEnd"/>
      <w:r w:rsidR="00750AC1">
        <w:t xml:space="preserve"> : les OMF </w:t>
      </w:r>
      <w:proofErr w:type="spellStart"/>
      <w:r w:rsidR="00750AC1">
        <w:t>Low</w:t>
      </w:r>
      <w:proofErr w:type="spellEnd"/>
      <w:r w:rsidR="00750AC1">
        <w:t xml:space="preserve">-Fi seront plutôt sur la droite de l’axe et les organismes les Hi-Fi sur la gauche. Ceci parait logique car les organismes les plus petits auront aussi un </w:t>
      </w:r>
      <w:proofErr w:type="spellStart"/>
      <w:r w:rsidR="00750AC1">
        <w:t>Low</w:t>
      </w:r>
      <w:proofErr w:type="spellEnd"/>
      <w:r w:rsidR="00750AC1">
        <w:t>-FI et les organismes les plus grands auront plus tendance à avoir un Hi-Fi.</w:t>
      </w:r>
      <w:r w:rsidR="00750AC1">
        <w:br/>
        <w:t>- la variable profit : Les OMF qui ne font pas de profit seront situés à droite sur l’axe contrairement au</w:t>
      </w:r>
      <w:r w:rsidR="0052004E">
        <w:t>x</w:t>
      </w:r>
      <w:r w:rsidR="00750AC1">
        <w:t xml:space="preserve"> OMF qui font du profit et qui seront situé plutôt à gauche sur l’axe. </w:t>
      </w:r>
      <w:r w:rsidR="0052004E">
        <w:t>En accord avec le début de l’analyse.</w:t>
      </w:r>
    </w:p>
    <w:p w:rsidR="0052004E" w:rsidRPr="00750AC1" w:rsidRDefault="00750AC1" w:rsidP="00480B94">
      <w:r w:rsidRPr="00750AC1">
        <w:rPr>
          <w:u w:val="single"/>
        </w:rPr>
        <w:t>Axe2 :</w:t>
      </w:r>
      <w:r>
        <w:t xml:space="preserve"> L’axe 2 est lui plus déterminé par :</w:t>
      </w:r>
      <w:r>
        <w:br/>
        <w:t>- La variable région : on peut voir que les OMF d’Asie de l’est et du pacifique seront situés en haut de l’axe, contrairement aux OMF d’Europe de l’est et d’Asie centrale qui seront plutôt situé en bas du graphique.</w:t>
      </w:r>
      <w:r w:rsidR="0052004E">
        <w:br/>
        <w:t xml:space="preserve">- la variable profit : Les OMF qui ne font pas de profit seront situés en bas sur l’axe contrairement aux OMF qui font du profit et qui seront situé plutôt en haut sur l’axe. </w:t>
      </w:r>
    </w:p>
    <w:p w:rsidR="00BA1B57" w:rsidRDefault="000017AF" w:rsidP="000017AF">
      <w:r>
        <w:t>On va ensuite représenter les individus pour voir comment ils se répartissent selon les variables.</w:t>
      </w:r>
    </w:p>
    <w:p w:rsidR="000017AF" w:rsidRDefault="000017AF" w:rsidP="000017AF">
      <w:pPr>
        <w:jc w:val="center"/>
      </w:pPr>
      <w:r>
        <w:rPr>
          <w:noProof/>
          <w:lang w:eastAsia="fr-FR"/>
        </w:rPr>
        <w:drawing>
          <wp:inline distT="0" distB="0" distL="0" distR="0" wp14:anchorId="22BDBB18" wp14:editId="25B2F05F">
            <wp:extent cx="3648075" cy="364284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4517" cy="3649280"/>
                    </a:xfrm>
                    <a:prstGeom prst="rect">
                      <a:avLst/>
                    </a:prstGeom>
                  </pic:spPr>
                </pic:pic>
              </a:graphicData>
            </a:graphic>
          </wp:inline>
        </w:drawing>
      </w:r>
    </w:p>
    <w:p w:rsidR="000017AF" w:rsidRDefault="000017AF" w:rsidP="000017AF">
      <w:r>
        <w:t>On voit que la répartition des individus est assez homogène.</w:t>
      </w:r>
      <w:r w:rsidR="00BB3B93">
        <w:t xml:space="preserve"> Pour voir plus en détail cette répartition il faut analyser les valeurs des variables des individus extremes.</w:t>
      </w:r>
      <w:bookmarkStart w:id="0" w:name="_GoBack"/>
      <w:bookmarkEnd w:id="0"/>
    </w:p>
    <w:p w:rsidR="00BA1B57" w:rsidRDefault="00BA1B57" w:rsidP="00656516">
      <w:pPr>
        <w:jc w:val="center"/>
      </w:pPr>
      <w:proofErr w:type="gramStart"/>
      <w:r w:rsidRPr="00BA1B57">
        <w:t>l'Analyse</w:t>
      </w:r>
      <w:proofErr w:type="gramEnd"/>
      <w:r w:rsidRPr="00BA1B57">
        <w:t xml:space="preserve"> de la Variance</w:t>
      </w:r>
    </w:p>
    <w:sectPr w:rsidR="00BA1B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516"/>
    <w:rsid w:val="000017AF"/>
    <w:rsid w:val="000A5F62"/>
    <w:rsid w:val="000B2781"/>
    <w:rsid w:val="000D7B71"/>
    <w:rsid w:val="000F4F8F"/>
    <w:rsid w:val="0016050C"/>
    <w:rsid w:val="0016102A"/>
    <w:rsid w:val="001D646F"/>
    <w:rsid w:val="00202EDF"/>
    <w:rsid w:val="002A6E87"/>
    <w:rsid w:val="002E0712"/>
    <w:rsid w:val="00337B9F"/>
    <w:rsid w:val="003D3D4C"/>
    <w:rsid w:val="00480B94"/>
    <w:rsid w:val="0052004E"/>
    <w:rsid w:val="00656516"/>
    <w:rsid w:val="006A041D"/>
    <w:rsid w:val="00750AC1"/>
    <w:rsid w:val="00791F44"/>
    <w:rsid w:val="00997E50"/>
    <w:rsid w:val="00A87BFD"/>
    <w:rsid w:val="00BA1B57"/>
    <w:rsid w:val="00BB3B93"/>
    <w:rsid w:val="00CB5232"/>
    <w:rsid w:val="00D059CF"/>
    <w:rsid w:val="00E10660"/>
    <w:rsid w:val="00E248B6"/>
    <w:rsid w:val="00EA3361"/>
    <w:rsid w:val="00FD41CD"/>
    <w:rsid w:val="00FE6A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17C1095D-B36E-4AAC-A500-71D17A4C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A3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581887">
      <w:bodyDiv w:val="1"/>
      <w:marLeft w:val="0"/>
      <w:marRight w:val="0"/>
      <w:marTop w:val="0"/>
      <w:marBottom w:val="0"/>
      <w:divBdr>
        <w:top w:val="none" w:sz="0" w:space="0" w:color="auto"/>
        <w:left w:val="none" w:sz="0" w:space="0" w:color="auto"/>
        <w:bottom w:val="none" w:sz="0" w:space="0" w:color="auto"/>
        <w:right w:val="none" w:sz="0" w:space="0" w:color="auto"/>
      </w:divBdr>
    </w:div>
    <w:div w:id="456610835">
      <w:bodyDiv w:val="1"/>
      <w:marLeft w:val="0"/>
      <w:marRight w:val="0"/>
      <w:marTop w:val="0"/>
      <w:marBottom w:val="0"/>
      <w:divBdr>
        <w:top w:val="none" w:sz="0" w:space="0" w:color="auto"/>
        <w:left w:val="none" w:sz="0" w:space="0" w:color="auto"/>
        <w:bottom w:val="none" w:sz="0" w:space="0" w:color="auto"/>
        <w:right w:val="none" w:sz="0" w:space="0" w:color="auto"/>
      </w:divBdr>
    </w:div>
    <w:div w:id="549876693">
      <w:bodyDiv w:val="1"/>
      <w:marLeft w:val="0"/>
      <w:marRight w:val="0"/>
      <w:marTop w:val="0"/>
      <w:marBottom w:val="0"/>
      <w:divBdr>
        <w:top w:val="none" w:sz="0" w:space="0" w:color="auto"/>
        <w:left w:val="none" w:sz="0" w:space="0" w:color="auto"/>
        <w:bottom w:val="none" w:sz="0" w:space="0" w:color="auto"/>
        <w:right w:val="none" w:sz="0" w:space="0" w:color="auto"/>
      </w:divBdr>
    </w:div>
    <w:div w:id="169653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951</Words>
  <Characters>5235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Poulain</dc:creator>
  <cp:keywords/>
  <dc:description/>
  <cp:lastModifiedBy>Etudiant M1 ISMAG - 2015 - ZOE KRUG</cp:lastModifiedBy>
  <cp:revision>7</cp:revision>
  <dcterms:created xsi:type="dcterms:W3CDTF">2016-06-29T14:03:00Z</dcterms:created>
  <dcterms:modified xsi:type="dcterms:W3CDTF">2016-06-29T16:13:00Z</dcterms:modified>
</cp:coreProperties>
</file>