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jc w:val="left"/>
      </w:pPr>
      <w:r>
        <w:rPr>
          <w:rFonts w:ascii="Georgia" w:cs="Georgia" w:eastAsia="Georgia" w:hAnsi="Georgia"/>
          <w:b/>
          <w:bCs/>
          <w:color w:val="1C2B36"/>
          <w:spacing w:val="70"/>
          <w:sz w:val="24"/>
          <w:szCs w:val="24"/>
        </w:rPr>
        <w:t xml:space="preserve">THE OPEN UNIVERSITY OF KENYA</w:t>
      </w:r>
    </w:p>
    <w:p>
      <w:pPr>
        <w:spacing w:after="1100"/>
      </w:pPr>
      <w:r>
        <w:rPr>
          <w:rFonts w:ascii="Calibri" w:cs="Calibri" w:eastAsia="Calibri" w:hAnsi="Calibri"/>
          <w:color w:val="6B6560"/>
          <w:sz w:val="18"/>
          <w:szCs w:val="18"/>
        </w:rPr>
        <w:t xml:space="preserve">Konza Technopolis  |  Machakos County  |  Republic of Kenya</w:t>
      </w:r>
    </w:p>
    <w:p>
      <w:pPr>
        <w:pBdr>
          <w:bottom w:val="single" w:color="A84B12" w:sz="24" w:space="2"/>
        </w:pBdr>
        <w:spacing w:after="300" w:before="0"/>
      </w:pPr>
      <w:r>
        <w:t xml:space="preserve"/>
      </w:r>
    </w:p>
    <w:p>
      <w:pPr>
        <w:spacing w:after="0"/>
      </w:pPr>
      <w:r>
        <w:rPr>
          <w:rFonts w:ascii="Georgia" w:cs="Georgia" w:eastAsia="Georgia" w:hAnsi="Georgia"/>
          <w:b/>
          <w:bCs/>
          <w:color w:val="1C2B36"/>
          <w:spacing w:val="180"/>
          <w:sz w:val="128"/>
          <w:szCs w:val="128"/>
        </w:rPr>
        <w:t xml:space="preserve">FORGE</w:t>
      </w:r>
    </w:p>
    <w:p>
      <w:pPr>
        <w:spacing w:after="60" w:before="120"/>
      </w:pPr>
      <w:r>
        <w:rPr>
          <w:rFonts w:ascii="Georgia" w:cs="Georgia" w:eastAsia="Georgia" w:hAnsi="Georgia"/>
          <w:color w:val="A84B12"/>
          <w:sz w:val="26"/>
          <w:szCs w:val="26"/>
        </w:rPr>
        <w:t xml:space="preserve">Powered by The Open University of Kenya</w:t>
      </w:r>
    </w:p>
    <w:p>
      <w:pPr>
        <w:spacing w:after="300"/>
      </w:pPr>
      <w:r>
        <w:rPr>
          <w:rFonts w:ascii="Georgia" w:cs="Georgia" w:eastAsia="Georgia" w:hAnsi="Georgia"/>
          <w:i/>
          <w:iCs/>
          <w:color w:val="6B6560"/>
          <w:sz w:val="22"/>
          <w:szCs w:val="22"/>
        </w:rPr>
        <w:t xml:space="preserve">Don’t just learn. Forge.</w:t>
      </w:r>
    </w:p>
    <w:p>
      <w:pPr>
        <w:pBdr>
          <w:bottom w:val="single" w:color="D5CDC3" w:sz="8" w:space="2"/>
        </w:pBdr>
        <w:spacing w:after="320" w:before="0"/>
      </w:pPr>
      <w:r>
        <w:t xml:space="preserve"/>
      </w:r>
    </w:p>
    <w:p>
      <w:pPr>
        <w:spacing w:after="100"/>
      </w:pPr>
      <w:r>
        <w:rPr>
          <w:rFonts w:ascii="Georgia" w:cs="Georgia" w:eastAsia="Georgia" w:hAnsi="Georgia"/>
          <w:b/>
          <w:bCs/>
          <w:color w:val="1C2B36"/>
          <w:sz w:val="27"/>
          <w:szCs w:val="27"/>
        </w:rPr>
        <w:t xml:space="preserve">A Student Project, Collaboration and Practical Experience Ecosystem</w:t>
      </w:r>
    </w:p>
    <w:p>
      <w:pPr>
        <w:spacing w:after="1400"/>
      </w:pPr>
      <w:r>
        <w:rPr>
          <w:rFonts w:ascii="Calibri" w:cs="Calibri" w:eastAsia="Calibri" w:hAnsi="Calibri"/>
          <w:color w:val="20262B"/>
          <w:sz w:val="21"/>
          <w:szCs w:val="21"/>
        </w:rPr>
        <w:t xml:space="preserve">Concept Proposal submitted for the consideration of University Management</w:t>
      </w:r>
    </w:p>
    <w:p>
      <w:pPr>
        <w:tabs>
          <w:tab w:val="left" w:pos="2300"/>
        </w:tabs>
        <w:spacing w:after="30" w:line="252"/>
        <w:ind w:left="2300" w:hanging="2300"/>
      </w:pPr>
      <w:r>
        <w:rPr>
          <w:rFonts w:ascii="Calibri" w:cs="Calibri" w:eastAsia="Calibri" w:hAnsi="Calibri"/>
          <w:b/>
          <w:bCs/>
          <w:color w:val="A84B12"/>
          <w:spacing w:val="20"/>
          <w:sz w:val="18"/>
          <w:szCs w:val="18"/>
        </w:rPr>
        <w:t xml:space="preserve">Submitted to</w:t>
      </w:r>
      <w:r>
        <w:rPr>
          <w:rFonts w:ascii="Calibri" w:cs="Calibri" w:eastAsia="Calibri" w:hAnsi="Calibri"/>
          <w:sz w:val="19"/>
          <w:szCs w:val="19"/>
        </w:rPr>
        <w:t xml:space="preserve">	</w:t>
      </w:r>
      <w:r>
        <w:rPr>
          <w:rFonts w:ascii="Calibri" w:cs="Calibri" w:eastAsia="Calibri" w:hAnsi="Calibri"/>
          <w:color w:val="20262B"/>
          <w:sz w:val="19"/>
          <w:szCs w:val="19"/>
        </w:rPr>
        <w:t xml:space="preserve">The Vice-Chancellor, The Open University of Kenya</w:t>
      </w:r>
    </w:p>
    <w:p>
      <w:pPr>
        <w:tabs>
          <w:tab w:val="left" w:pos="2300"/>
        </w:tabs>
        <w:spacing w:after="130" w:line="252"/>
        <w:ind w:left="2300" w:hanging="2300"/>
      </w:pPr>
      <w:r>
        <w:rPr>
          <w:rFonts w:ascii="Calibri" w:cs="Calibri" w:eastAsia="Calibri" w:hAnsi="Calibri"/>
          <w:b/>
          <w:bCs/>
          <w:color w:val="A84B12"/>
          <w:spacing w:val="20"/>
          <w:sz w:val="18"/>
          <w:szCs w:val="18"/>
        </w:rPr>
        <w:t xml:space="preserve"/>
      </w:r>
      <w:r>
        <w:rPr>
          <w:rFonts w:ascii="Calibri" w:cs="Calibri" w:eastAsia="Calibri" w:hAnsi="Calibri"/>
          <w:sz w:val="19"/>
          <w:szCs w:val="19"/>
        </w:rPr>
        <w:t xml:space="preserve">	</w:t>
      </w:r>
      <w:r>
        <w:rPr>
          <w:rFonts w:ascii="Calibri" w:cs="Calibri" w:eastAsia="Calibri" w:hAnsi="Calibri"/>
          <w:color w:val="20262B"/>
          <w:sz w:val="19"/>
          <w:szCs w:val="19"/>
        </w:rPr>
        <w:t xml:space="preserve">Through the Deputy Vice-Chancellor (Academic Affairs) and the Dean, School of Science and Technology</w:t>
      </w:r>
    </w:p>
    <w:p>
      <w:pPr>
        <w:tabs>
          <w:tab w:val="left" w:pos="2300"/>
        </w:tabs>
        <w:spacing w:after="30" w:line="252"/>
        <w:ind w:left="2300" w:hanging="2300"/>
      </w:pPr>
      <w:r>
        <w:rPr>
          <w:rFonts w:ascii="Calibri" w:cs="Calibri" w:eastAsia="Calibri" w:hAnsi="Calibri"/>
          <w:b/>
          <w:bCs/>
          <w:color w:val="A84B12"/>
          <w:spacing w:val="20"/>
          <w:sz w:val="18"/>
          <w:szCs w:val="18"/>
        </w:rPr>
        <w:t xml:space="preserve">Submitted by</w:t>
      </w:r>
      <w:r>
        <w:rPr>
          <w:rFonts w:ascii="Calibri" w:cs="Calibri" w:eastAsia="Calibri" w:hAnsi="Calibri"/>
          <w:sz w:val="19"/>
          <w:szCs w:val="19"/>
        </w:rPr>
        <w:t xml:space="preserve">	</w:t>
      </w:r>
      <w:r>
        <w:rPr>
          <w:rFonts w:ascii="Calibri" w:cs="Calibri" w:eastAsia="Calibri" w:hAnsi="Calibri"/>
          <w:color w:val="20262B"/>
          <w:sz w:val="19"/>
          <w:szCs w:val="19"/>
        </w:rPr>
        <w:t xml:space="preserve">John Ouma, Undergraduate Student</w:t>
      </w:r>
    </w:p>
    <w:p>
      <w:pPr>
        <w:tabs>
          <w:tab w:val="left" w:pos="2300"/>
        </w:tabs>
        <w:spacing w:after="130" w:line="252"/>
        <w:ind w:left="2300" w:hanging="2300"/>
      </w:pPr>
      <w:r>
        <w:rPr>
          <w:rFonts w:ascii="Calibri" w:cs="Calibri" w:eastAsia="Calibri" w:hAnsi="Calibri"/>
          <w:b/>
          <w:bCs/>
          <w:color w:val="A84B12"/>
          <w:spacing w:val="20"/>
          <w:sz w:val="18"/>
          <w:szCs w:val="18"/>
        </w:rPr>
        <w:t xml:space="preserve"/>
      </w:r>
      <w:r>
        <w:rPr>
          <w:rFonts w:ascii="Calibri" w:cs="Calibri" w:eastAsia="Calibri" w:hAnsi="Calibri"/>
          <w:sz w:val="19"/>
          <w:szCs w:val="19"/>
        </w:rPr>
        <w:t xml:space="preserve">	</w:t>
      </w:r>
      <w:r>
        <w:rPr>
          <w:rFonts w:ascii="Calibri" w:cs="Calibri" w:eastAsia="Calibri" w:hAnsi="Calibri"/>
          <w:color w:val="20262B"/>
          <w:sz w:val="19"/>
          <w:szCs w:val="19"/>
        </w:rPr>
        <w:t xml:space="preserve">BSc. Cyber Security and Digital Forensics, School of Science and Technology</w:t>
      </w:r>
    </w:p>
    <w:p>
      <w:pPr>
        <w:tabs>
          <w:tab w:val="left" w:pos="2300"/>
        </w:tabs>
        <w:spacing w:after="30" w:line="252"/>
        <w:ind w:left="2300" w:hanging="2300"/>
      </w:pPr>
      <w:r>
        <w:rPr>
          <w:rFonts w:ascii="Calibri" w:cs="Calibri" w:eastAsia="Calibri" w:hAnsi="Calibri"/>
          <w:b/>
          <w:bCs/>
          <w:color w:val="A84B12"/>
          <w:spacing w:val="20"/>
          <w:sz w:val="18"/>
          <w:szCs w:val="18"/>
        </w:rPr>
        <w:t xml:space="preserve">On behalf of</w:t>
      </w:r>
      <w:r>
        <w:rPr>
          <w:rFonts w:ascii="Calibri" w:cs="Calibri" w:eastAsia="Calibri" w:hAnsi="Calibri"/>
          <w:sz w:val="19"/>
          <w:szCs w:val="19"/>
        </w:rPr>
        <w:t xml:space="preserve">	</w:t>
      </w:r>
      <w:r>
        <w:rPr>
          <w:rFonts w:ascii="Calibri" w:cs="Calibri" w:eastAsia="Calibri" w:hAnsi="Calibri"/>
          <w:color w:val="20262B"/>
          <w:sz w:val="19"/>
          <w:szCs w:val="19"/>
        </w:rPr>
        <w:t xml:space="preserve">A founding group of Open University of Kenya students drawn from across the University’s schools</w:t>
      </w:r>
    </w:p>
    <w:p>
      <w:pPr>
        <w:tabs>
          <w:tab w:val="left" w:pos="2300"/>
        </w:tabs>
        <w:spacing w:after="30" w:line="252"/>
        <w:ind w:left="2300" w:hanging="2300"/>
      </w:pPr>
      <w:r>
        <w:rPr>
          <w:rFonts w:ascii="Calibri" w:cs="Calibri" w:eastAsia="Calibri" w:hAnsi="Calibri"/>
          <w:b/>
          <w:bCs/>
          <w:color w:val="A84B12"/>
          <w:spacing w:val="20"/>
          <w:sz w:val="18"/>
          <w:szCs w:val="18"/>
        </w:rPr>
        <w:t xml:space="preserve">Nature of request</w:t>
      </w:r>
      <w:r>
        <w:rPr>
          <w:rFonts w:ascii="Calibri" w:cs="Calibri" w:eastAsia="Calibri" w:hAnsi="Calibri"/>
          <w:sz w:val="19"/>
          <w:szCs w:val="19"/>
        </w:rPr>
        <w:t xml:space="preserve">	</w:t>
      </w:r>
      <w:r>
        <w:rPr>
          <w:rFonts w:ascii="Calibri" w:cs="Calibri" w:eastAsia="Calibri" w:hAnsi="Calibri"/>
          <w:color w:val="20262B"/>
          <w:sz w:val="19"/>
          <w:szCs w:val="19"/>
        </w:rPr>
        <w:t xml:space="preserve">Institutional recognition and approval to pilot. No budget allocation is requested at this stage.</w:t>
      </w:r>
    </w:p>
    <w:p>
      <w:pPr>
        <w:tabs>
          <w:tab w:val="left" w:pos="2300"/>
        </w:tabs>
        <w:spacing w:after="30" w:line="252"/>
        <w:ind w:left="2300" w:hanging="2300"/>
      </w:pPr>
      <w:r>
        <w:rPr>
          <w:rFonts w:ascii="Calibri" w:cs="Calibri" w:eastAsia="Calibri" w:hAnsi="Calibri"/>
          <w:b/>
          <w:bCs/>
          <w:color w:val="A84B12"/>
          <w:spacing w:val="20"/>
          <w:sz w:val="18"/>
          <w:szCs w:val="18"/>
        </w:rPr>
        <w:t xml:space="preserve">Date</w:t>
      </w:r>
      <w:r>
        <w:rPr>
          <w:rFonts w:ascii="Calibri" w:cs="Calibri" w:eastAsia="Calibri" w:hAnsi="Calibri"/>
          <w:sz w:val="19"/>
          <w:szCs w:val="19"/>
        </w:rPr>
        <w:t xml:space="preserve">	</w:t>
      </w:r>
      <w:r>
        <w:rPr>
          <w:rFonts w:ascii="Calibri" w:cs="Calibri" w:eastAsia="Calibri" w:hAnsi="Calibri"/>
          <w:color w:val="20262B"/>
          <w:sz w:val="19"/>
          <w:szCs w:val="19"/>
        </w:rPr>
        <w:t xml:space="preserve">August 2026</w:t>
      </w:r>
    </w:p>
    <w:p>
      <w:pPr>
        <w:tabs>
          <w:tab w:val="left" w:pos="2300"/>
        </w:tabs>
        <w:spacing w:after="30" w:line="252"/>
        <w:ind w:left="2300" w:hanging="2300"/>
      </w:pPr>
      <w:r>
        <w:rPr>
          <w:rFonts w:ascii="Calibri" w:cs="Calibri" w:eastAsia="Calibri" w:hAnsi="Calibri"/>
          <w:b/>
          <w:bCs/>
          <w:color w:val="A84B12"/>
          <w:spacing w:val="20"/>
          <w:sz w:val="18"/>
          <w:szCs w:val="18"/>
        </w:rPr>
        <w:t xml:space="preserve">Version</w:t>
      </w:r>
      <w:r>
        <w:rPr>
          <w:rFonts w:ascii="Calibri" w:cs="Calibri" w:eastAsia="Calibri" w:hAnsi="Calibri"/>
          <w:sz w:val="19"/>
          <w:szCs w:val="19"/>
        </w:rPr>
        <w:t xml:space="preserve">	</w:t>
      </w:r>
      <w:r>
        <w:rPr>
          <w:rFonts w:ascii="Calibri" w:cs="Calibri" w:eastAsia="Calibri" w:hAnsi="Calibri"/>
          <w:color w:val="20262B"/>
          <w:sz w:val="19"/>
          <w:szCs w:val="19"/>
        </w:rPr>
        <w:t xml:space="preserve">1.0 (for internal circulation and comment)</w:t>
      </w:r>
    </w:p>
    <w:p>
      <w:r>
        <w:br w:type="page"/>
      </w:r>
    </w:p>
    <w:p>
      <w:pPr>
        <w:pStyle w:val="Heading1"/>
        <w:pBdr>
          <w:bottom w:val="single" w:color="A84B12" w:sz="10" w:space="6"/>
        </w:pBdr>
        <w:spacing w:after="200" w:before="400"/>
      </w:pPr>
      <w:r>
        <w:rPr>
          <w:rFonts w:ascii="Georgia" w:cs="Georgia" w:eastAsia="Georgia" w:hAnsi="Georgia"/>
          <w:b/>
          <w:bCs/>
          <w:color w:val="1C2B36"/>
          <w:sz w:val="30"/>
          <w:szCs w:val="30"/>
        </w:rPr>
        <w:t xml:space="preserve">Document Control</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400"/>
        <w:gridCol w:w="6670"/>
      </w:tblGrid>
      <w:tr>
        <w:trPr>
          <w:tblHeader/>
        </w:trPr>
        <w:tc>
          <w:tcPr>
            <w:tcW w:type="dxa" w:w="2400"/>
            <w:tcBorders>
              <w:top w:val="single" w:color="A84B12" w:sz="3"/>
              <w:left w:val="none" w:color="FFFFFF" w:sz="0"/>
              <w:bottom w:val="single" w:color="A84B12" w:sz="6"/>
              <w:right w:val="none" w:color="FFFFFF" w:sz="0"/>
            </w:tcBorders>
            <w:shd w:fill="F3E9DF" w:color="auto" w:val="clear"/>
            <w:tcMar>
              <w:top w:type="dxa" w:w="90"/>
              <w:left w:type="dxa" w:w="130"/>
              <w:bottom w:type="dxa" w:w="90"/>
              <w:right w:type="dxa" w:w="130"/>
            </w:tcMar>
          </w:tcPr>
          <w:p>
            <w:pPr>
              <w:spacing w:after="60" w:before="60" w:line="250"/>
              <w:jc w:val="left"/>
            </w:pPr>
            <w:r>
              <w:rPr>
                <w:rFonts w:ascii="Calibri" w:cs="Calibri" w:eastAsia="Calibri" w:hAnsi="Calibri"/>
                <w:b/>
                <w:bCs/>
                <w:color w:val="1C2B36"/>
                <w:sz w:val="19"/>
                <w:szCs w:val="19"/>
              </w:rPr>
              <w:t xml:space="preserve">Field</w:t>
            </w:r>
          </w:p>
        </w:tc>
        <w:tc>
          <w:tcPr>
            <w:tcW w:type="dxa" w:w="6670"/>
            <w:tcBorders>
              <w:top w:val="single" w:color="A84B12" w:sz="3"/>
              <w:left w:val="none" w:color="FFFFFF" w:sz="0"/>
              <w:bottom w:val="single" w:color="A84B12" w:sz="6"/>
              <w:right w:val="none" w:color="FFFFFF" w:sz="0"/>
            </w:tcBorders>
            <w:shd w:fill="F3E9DF" w:color="auto" w:val="clear"/>
            <w:tcMar>
              <w:top w:type="dxa" w:w="90"/>
              <w:left w:type="dxa" w:w="130"/>
              <w:bottom w:type="dxa" w:w="90"/>
              <w:right w:type="dxa" w:w="130"/>
            </w:tcMar>
          </w:tcPr>
          <w:p>
            <w:pPr>
              <w:spacing w:after="60" w:before="60" w:line="250"/>
              <w:jc w:val="left"/>
            </w:pPr>
            <w:r>
              <w:rPr>
                <w:rFonts w:ascii="Calibri" w:cs="Calibri" w:eastAsia="Calibri" w:hAnsi="Calibri"/>
                <w:b/>
                <w:bCs/>
                <w:color w:val="1C2B36"/>
                <w:sz w:val="19"/>
                <w:szCs w:val="19"/>
              </w:rPr>
              <w:t xml:space="preserve">Detail</w:t>
            </w:r>
          </w:p>
        </w:tc>
      </w:tr>
      <w:tr>
        <w:trPr>
          <w:tblHeader w:val="false"/>
        </w:trPr>
        <w:tc>
          <w:tcPr>
            <w:tcW w:type="dxa" w:w="24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bCs/>
                <w:color w:val="20262B"/>
                <w:sz w:val="19"/>
                <w:szCs w:val="19"/>
              </w:rPr>
              <w:t xml:space="preserve">Title</w:t>
            </w:r>
          </w:p>
        </w:tc>
        <w:tc>
          <w:tcPr>
            <w:tcW w:type="dxa" w:w="667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val="false"/>
                <w:bCs w:val="false"/>
                <w:color w:val="20262B"/>
                <w:sz w:val="19"/>
                <w:szCs w:val="19"/>
              </w:rPr>
              <w:t xml:space="preserve">FORGE: A Student Project, Collaboration and Practical Experience Ecosystem</w:t>
            </w:r>
          </w:p>
        </w:tc>
      </w:tr>
      <w:tr>
        <w:trPr>
          <w:tblHeader w:val="false"/>
        </w:trPr>
        <w:tc>
          <w:tcPr>
            <w:tcW w:type="dxa" w:w="24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bCs/>
                <w:color w:val="20262B"/>
                <w:sz w:val="19"/>
                <w:szCs w:val="19"/>
              </w:rPr>
              <w:t xml:space="preserve">Reference</w:t>
            </w:r>
          </w:p>
        </w:tc>
        <w:tc>
          <w:tcPr>
            <w:tcW w:type="dxa" w:w="667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val="false"/>
                <w:bCs w:val="false"/>
                <w:color w:val="20262B"/>
                <w:sz w:val="19"/>
                <w:szCs w:val="19"/>
              </w:rPr>
              <w:t xml:space="preserve">FORGE/CP/2026/01</w:t>
            </w:r>
          </w:p>
        </w:tc>
      </w:tr>
      <w:tr>
        <w:trPr>
          <w:tblHeader w:val="false"/>
        </w:trPr>
        <w:tc>
          <w:tcPr>
            <w:tcW w:type="dxa" w:w="24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bCs/>
                <w:color w:val="20262B"/>
                <w:sz w:val="19"/>
                <w:szCs w:val="19"/>
              </w:rPr>
              <w:t xml:space="preserve">Status</w:t>
            </w:r>
          </w:p>
        </w:tc>
        <w:tc>
          <w:tcPr>
            <w:tcW w:type="dxa" w:w="667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val="false"/>
                <w:bCs w:val="false"/>
                <w:color w:val="20262B"/>
                <w:sz w:val="19"/>
                <w:szCs w:val="19"/>
              </w:rPr>
              <w:t xml:space="preserve">Draft for consideration by University Management</w:t>
            </w:r>
          </w:p>
        </w:tc>
      </w:tr>
      <w:tr>
        <w:trPr>
          <w:tblHeader w:val="false"/>
        </w:trPr>
        <w:tc>
          <w:tcPr>
            <w:tcW w:type="dxa" w:w="24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bCs/>
                <w:color w:val="20262B"/>
                <w:sz w:val="19"/>
                <w:szCs w:val="19"/>
              </w:rPr>
              <w:t xml:space="preserve">Prepared by</w:t>
            </w:r>
          </w:p>
        </w:tc>
        <w:tc>
          <w:tcPr>
            <w:tcW w:type="dxa" w:w="667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val="false"/>
                <w:bCs w:val="false"/>
                <w:color w:val="20262B"/>
                <w:sz w:val="19"/>
                <w:szCs w:val="19"/>
              </w:rPr>
              <w:t xml:space="preserve">John Ouma, BSc. Cyber Security and Digital Forensics</w:t>
            </w:r>
          </w:p>
        </w:tc>
      </w:tr>
      <w:tr>
        <w:trPr>
          <w:tblHeader w:val="false"/>
        </w:trPr>
        <w:tc>
          <w:tcPr>
            <w:tcW w:type="dxa" w:w="24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bCs/>
                <w:color w:val="20262B"/>
                <w:sz w:val="19"/>
                <w:szCs w:val="19"/>
              </w:rPr>
              <w:t xml:space="preserve">Contact</w:t>
            </w:r>
          </w:p>
        </w:tc>
        <w:tc>
          <w:tcPr>
            <w:tcW w:type="dxa" w:w="667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val="false"/>
                <w:bCs w:val="false"/>
                <w:color w:val="20262B"/>
                <w:sz w:val="19"/>
                <w:szCs w:val="19"/>
              </w:rPr>
              <w:t xml:space="preserve">Email: [to be inserted]   |   Telephone: [to be inserted]</w:t>
            </w:r>
          </w:p>
        </w:tc>
      </w:tr>
      <w:tr>
        <w:trPr>
          <w:tblHeader w:val="false"/>
        </w:trPr>
        <w:tc>
          <w:tcPr>
            <w:tcW w:type="dxa" w:w="24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bCs/>
                <w:color w:val="20262B"/>
                <w:sz w:val="19"/>
                <w:szCs w:val="19"/>
              </w:rPr>
              <w:t xml:space="preserve">Circulation</w:t>
            </w:r>
          </w:p>
        </w:tc>
        <w:tc>
          <w:tcPr>
            <w:tcW w:type="dxa" w:w="667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val="false"/>
                <w:bCs w:val="false"/>
                <w:color w:val="20262B"/>
                <w:sz w:val="19"/>
                <w:szCs w:val="19"/>
              </w:rPr>
              <w:t xml:space="preserve">Office of the Vice-Chancellor; Deputy Vice-Chancellor (Academic Affairs); Dean, School of Science and Technology; Directorate of ICT; Dean of Students</w:t>
            </w:r>
          </w:p>
        </w:tc>
      </w:tr>
      <w:tr>
        <w:trPr>
          <w:tblHeader w:val="false"/>
        </w:trPr>
        <w:tc>
          <w:tcPr>
            <w:tcW w:type="dxa" w:w="24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bCs/>
                <w:color w:val="20262B"/>
                <w:sz w:val="19"/>
                <w:szCs w:val="19"/>
              </w:rPr>
              <w:t xml:space="preserve">Review cycle</w:t>
            </w:r>
          </w:p>
        </w:tc>
        <w:tc>
          <w:tcPr>
            <w:tcW w:type="dxa" w:w="667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val="false"/>
                <w:bCs w:val="false"/>
                <w:color w:val="20262B"/>
                <w:sz w:val="19"/>
                <w:szCs w:val="19"/>
              </w:rPr>
              <w:t xml:space="preserve">To be reviewed six months after the commencement of any approved pilot</w:t>
            </w:r>
          </w:p>
        </w:tc>
      </w:tr>
    </w:tbl>
    <w:p>
      <w:pPr>
        <w:spacing w:after="320"/>
      </w:pPr>
      <w:r>
        <w:t xml:space="preserve"/>
      </w:r>
    </w:p>
    <w:p>
      <w:pPr>
        <w:pStyle w:val="Heading2"/>
        <w:spacing w:after="120" w:before="300"/>
      </w:pPr>
      <w:r>
        <w:rPr>
          <w:rFonts w:ascii="Georgia" w:cs="Georgia" w:eastAsia="Georgia" w:hAnsi="Georgia"/>
          <w:b/>
          <w:bCs/>
          <w:color w:val="A84B12"/>
          <w:sz w:val="23"/>
          <w:szCs w:val="23"/>
        </w:rPr>
        <w:t xml:space="preserve">A note on the University logo and visual identity</w:t>
      </w:r>
    </w:p>
    <w:p>
      <w:pPr>
        <w:spacing w:after="140" w:line="276"/>
        <w:jc w:val="both"/>
      </w:pPr>
      <w:r>
        <w:rPr>
          <w:rFonts w:ascii="Calibri" w:cs="Calibri" w:eastAsia="Calibri" w:hAnsi="Calibri"/>
          <w:color w:val="20262B"/>
          <w:sz w:val="21"/>
          <w:szCs w:val="21"/>
        </w:rPr>
        <w:t xml:space="preserve">The Charter of the Open University of Kenya treats the University name, logo and other insignia as instruments of institutional authority. This document therefore carries a plain typographic masthead rather than the official crest. Should the University accept this concept, the Directorate of Corporate Communications is respectfully requested to apply the official visual identity to the final version, and to advise on the correct use of the phrase “Powered by The Open University of Kenya” in any student facing material.</w:t>
      </w:r>
    </w:p>
    <w:p>
      <w:pPr>
        <w:pStyle w:val="Heading2"/>
        <w:spacing w:after="120" w:before="300"/>
      </w:pPr>
      <w:r>
        <w:rPr>
          <w:rFonts w:ascii="Georgia" w:cs="Georgia" w:eastAsia="Georgia" w:hAnsi="Georgia"/>
          <w:b/>
          <w:bCs/>
          <w:color w:val="A84B12"/>
          <w:sz w:val="23"/>
          <w:szCs w:val="23"/>
        </w:rPr>
        <w:t xml:space="preserve">A note on the naming of the initiative</w:t>
      </w:r>
    </w:p>
    <w:p>
      <w:pPr>
        <w:spacing w:after="140" w:line="276"/>
        <w:jc w:val="both"/>
      </w:pPr>
      <w:r>
        <w:rPr>
          <w:rFonts w:ascii="Calibri" w:cs="Calibri" w:eastAsia="Calibri" w:hAnsi="Calibri"/>
          <w:color w:val="20262B"/>
          <w:sz w:val="21"/>
          <w:szCs w:val="21"/>
        </w:rPr>
        <w:t xml:space="preserve">The working name FORGE has been chosen deliberately. It is short, it is memorable, and it is not tied to any single discipline. A student of Nursing, Agri-Technology, Education, Economics or Cyber Security can each say, without any sense of exclusion, that they have a project on FORGE. The name also carries the philosophy of the initiative in a single word: raw material becomes something useful only through deliberate work. Before any public launch, the name should be checked against the Business Registration Service and Kenya Industrial Property Institute records, and against the University’s own naming conventions.</w:t>
      </w:r>
    </w:p>
    <w:p>
      <w:r>
        <w:br w:type="page"/>
      </w:r>
    </w:p>
    <w:p>
      <w:pPr>
        <w:pStyle w:val="Heading1"/>
        <w:pBdr>
          <w:bottom w:val="single" w:color="A84B12" w:sz="10" w:space="6"/>
        </w:pBdr>
        <w:spacing w:after="200" w:before="400"/>
      </w:pPr>
      <w:r>
        <w:rPr>
          <w:rFonts w:ascii="Georgia" w:cs="Georgia" w:eastAsia="Georgia" w:hAnsi="Georgia"/>
          <w:b/>
          <w:bCs/>
          <w:color w:val="1C2B36"/>
          <w:sz w:val="30"/>
          <w:szCs w:val="30"/>
        </w:rPr>
        <w:t xml:space="preserve">Contents</w:t>
      </w:r>
    </w:p>
    <w:p>
      <w:pPr>
        <w:tabs>
          <w:tab w:val="right" w:pos="9070" w:leader="dot"/>
        </w:tabs>
        <w:spacing w:after="70" w:line="250"/>
        <w:ind w:left="0"/>
      </w:pPr>
      <w:r>
        <w:rPr>
          <w:rFonts w:ascii="Calibri" w:cs="Calibri" w:eastAsia="Calibri" w:hAnsi="Calibri"/>
          <w:b/>
          <w:bCs/>
          <w:color w:val="1C2B36"/>
          <w:sz w:val="20"/>
          <w:szCs w:val="20"/>
        </w:rPr>
        <w:t xml:space="preserve">1.  Executive Summary</w:t>
      </w:r>
      <w:r>
        <w:rPr>
          <w:rFonts w:ascii="Calibri" w:cs="Calibri" w:eastAsia="Calibri" w:hAnsi="Calibri"/>
          <w:sz w:val="20"/>
          <w:szCs w:val="20"/>
        </w:rPr>
        <w:t xml:space="preserve">	</w:t>
      </w:r>
      <w:r>
        <w:rPr>
          <w:rFonts w:ascii="Calibri" w:cs="Calibri" w:eastAsia="Calibri" w:hAnsi="Calibri"/>
          <w:b/>
          <w:bCs/>
          <w:color w:val="20262B"/>
          <w:sz w:val="20"/>
          <w:szCs w:val="20"/>
        </w:rPr>
        <w:t xml:space="preserve">4</w:t>
      </w:r>
    </w:p>
    <w:p>
      <w:pPr>
        <w:tabs>
          <w:tab w:val="right" w:pos="9070" w:leader="dot"/>
        </w:tabs>
        <w:spacing w:after="70" w:line="250"/>
        <w:ind w:left="0"/>
      </w:pPr>
      <w:r>
        <w:rPr>
          <w:rFonts w:ascii="Calibri" w:cs="Calibri" w:eastAsia="Calibri" w:hAnsi="Calibri"/>
          <w:b/>
          <w:bCs/>
          <w:color w:val="1C2B36"/>
          <w:sz w:val="20"/>
          <w:szCs w:val="20"/>
        </w:rPr>
        <w:t xml:space="preserve">2.  The Institutional Context</w:t>
      </w:r>
      <w:r>
        <w:rPr>
          <w:rFonts w:ascii="Calibri" w:cs="Calibri" w:eastAsia="Calibri" w:hAnsi="Calibri"/>
          <w:sz w:val="20"/>
          <w:szCs w:val="20"/>
        </w:rPr>
        <w:t xml:space="preserve">	</w:t>
      </w:r>
      <w:r>
        <w:rPr>
          <w:rFonts w:ascii="Calibri" w:cs="Calibri" w:eastAsia="Calibri" w:hAnsi="Calibri"/>
          <w:b/>
          <w:bCs/>
          <w:color w:val="20262B"/>
          <w:sz w:val="20"/>
          <w:szCs w:val="20"/>
        </w:rPr>
        <w:t xml:space="preserve">4</w:t>
      </w:r>
    </w:p>
    <w:p>
      <w:pPr>
        <w:tabs>
          <w:tab w:val="right" w:pos="9070" w:leader="dot"/>
        </w:tabs>
        <w:spacing w:after="70" w:line="250"/>
        <w:ind w:left="0"/>
      </w:pPr>
      <w:r>
        <w:rPr>
          <w:rFonts w:ascii="Calibri" w:cs="Calibri" w:eastAsia="Calibri" w:hAnsi="Calibri"/>
          <w:b/>
          <w:bCs/>
          <w:color w:val="1C2B36"/>
          <w:sz w:val="20"/>
          <w:szCs w:val="20"/>
        </w:rPr>
        <w:t xml:space="preserve">3.  Statement of the Problem</w:t>
      </w:r>
      <w:r>
        <w:rPr>
          <w:rFonts w:ascii="Calibri" w:cs="Calibri" w:eastAsia="Calibri" w:hAnsi="Calibri"/>
          <w:sz w:val="20"/>
          <w:szCs w:val="20"/>
        </w:rPr>
        <w:t xml:space="preserve">	</w:t>
      </w:r>
      <w:r>
        <w:rPr>
          <w:rFonts w:ascii="Calibri" w:cs="Calibri" w:eastAsia="Calibri" w:hAnsi="Calibri"/>
          <w:b/>
          <w:bCs/>
          <w:color w:val="20262B"/>
          <w:sz w:val="20"/>
          <w:szCs w:val="20"/>
        </w:rPr>
        <w:t xml:space="preserve">5</w:t>
      </w:r>
    </w:p>
    <w:p>
      <w:pPr>
        <w:tabs>
          <w:tab w:val="right" w:pos="9070" w:leader="dot"/>
        </w:tabs>
        <w:spacing w:after="70" w:line="250"/>
        <w:ind w:left="0"/>
      </w:pPr>
      <w:r>
        <w:rPr>
          <w:rFonts w:ascii="Calibri" w:cs="Calibri" w:eastAsia="Calibri" w:hAnsi="Calibri"/>
          <w:b/>
          <w:bCs/>
          <w:color w:val="1C2B36"/>
          <w:sz w:val="20"/>
          <w:szCs w:val="20"/>
        </w:rPr>
        <w:t xml:space="preserve">4.  Alignment with University Strategy</w:t>
      </w:r>
      <w:r>
        <w:rPr>
          <w:rFonts w:ascii="Calibri" w:cs="Calibri" w:eastAsia="Calibri" w:hAnsi="Calibri"/>
          <w:sz w:val="20"/>
          <w:szCs w:val="20"/>
        </w:rPr>
        <w:t xml:space="preserve">	</w:t>
      </w:r>
      <w:r>
        <w:rPr>
          <w:rFonts w:ascii="Calibri" w:cs="Calibri" w:eastAsia="Calibri" w:hAnsi="Calibri"/>
          <w:b/>
          <w:bCs/>
          <w:color w:val="20262B"/>
          <w:sz w:val="20"/>
          <w:szCs w:val="20"/>
        </w:rPr>
        <w:t xml:space="preserve">6</w:t>
      </w:r>
    </w:p>
    <w:p>
      <w:pPr>
        <w:tabs>
          <w:tab w:val="right" w:pos="9070" w:leader="dot"/>
        </w:tabs>
        <w:spacing w:after="70" w:line="250"/>
        <w:ind w:left="0"/>
      </w:pPr>
      <w:r>
        <w:rPr>
          <w:rFonts w:ascii="Calibri" w:cs="Calibri" w:eastAsia="Calibri" w:hAnsi="Calibri"/>
          <w:b/>
          <w:bCs/>
          <w:color w:val="1C2B36"/>
          <w:sz w:val="20"/>
          <w:szCs w:val="20"/>
        </w:rPr>
        <w:t xml:space="preserve">5.  The Proposed Initiative</w:t>
      </w:r>
      <w:r>
        <w:rPr>
          <w:rFonts w:ascii="Calibri" w:cs="Calibri" w:eastAsia="Calibri" w:hAnsi="Calibri"/>
          <w:sz w:val="20"/>
          <w:szCs w:val="20"/>
        </w:rPr>
        <w:t xml:space="preserve">	</w:t>
      </w:r>
      <w:r>
        <w:rPr>
          <w:rFonts w:ascii="Calibri" w:cs="Calibri" w:eastAsia="Calibri" w:hAnsi="Calibri"/>
          <w:b/>
          <w:bCs/>
          <w:color w:val="20262B"/>
          <w:sz w:val="20"/>
          <w:szCs w:val="20"/>
        </w:rPr>
        <w:t xml:space="preserve">7</w:t>
      </w:r>
    </w:p>
    <w:p>
      <w:pPr>
        <w:tabs>
          <w:tab w:val="right" w:pos="9070" w:leader="dot"/>
        </w:tabs>
        <w:spacing w:after="70" w:line="250"/>
        <w:ind w:left="0"/>
      </w:pPr>
      <w:r>
        <w:rPr>
          <w:rFonts w:ascii="Calibri" w:cs="Calibri" w:eastAsia="Calibri" w:hAnsi="Calibri"/>
          <w:b/>
          <w:bCs/>
          <w:color w:val="1C2B36"/>
          <w:sz w:val="20"/>
          <w:szCs w:val="20"/>
        </w:rPr>
        <w:t xml:space="preserve">6.  Objectives</w:t>
      </w:r>
      <w:r>
        <w:rPr>
          <w:rFonts w:ascii="Calibri" w:cs="Calibri" w:eastAsia="Calibri" w:hAnsi="Calibri"/>
          <w:sz w:val="20"/>
          <w:szCs w:val="20"/>
        </w:rPr>
        <w:t xml:space="preserve">	</w:t>
      </w:r>
      <w:r>
        <w:rPr>
          <w:rFonts w:ascii="Calibri" w:cs="Calibri" w:eastAsia="Calibri" w:hAnsi="Calibri"/>
          <w:b/>
          <w:bCs/>
          <w:color w:val="20262B"/>
          <w:sz w:val="20"/>
          <w:szCs w:val="20"/>
        </w:rPr>
        <w:t xml:space="preserve">8</w:t>
      </w:r>
    </w:p>
    <w:p>
      <w:pPr>
        <w:tabs>
          <w:tab w:val="right" w:pos="9070" w:leader="dot"/>
        </w:tabs>
        <w:spacing w:after="70" w:line="250"/>
        <w:ind w:left="0"/>
      </w:pPr>
      <w:r>
        <w:rPr>
          <w:rFonts w:ascii="Calibri" w:cs="Calibri" w:eastAsia="Calibri" w:hAnsi="Calibri"/>
          <w:b/>
          <w:bCs/>
          <w:color w:val="1C2B36"/>
          <w:sz w:val="20"/>
          <w:szCs w:val="20"/>
        </w:rPr>
        <w:t xml:space="preserve">7.  Participants and Their Roles</w:t>
      </w:r>
      <w:r>
        <w:rPr>
          <w:rFonts w:ascii="Calibri" w:cs="Calibri" w:eastAsia="Calibri" w:hAnsi="Calibri"/>
          <w:sz w:val="20"/>
          <w:szCs w:val="20"/>
        </w:rPr>
        <w:t xml:space="preserve">	</w:t>
      </w:r>
      <w:r>
        <w:rPr>
          <w:rFonts w:ascii="Calibri" w:cs="Calibri" w:eastAsia="Calibri" w:hAnsi="Calibri"/>
          <w:b/>
          <w:bCs/>
          <w:color w:val="20262B"/>
          <w:sz w:val="20"/>
          <w:szCs w:val="20"/>
        </w:rPr>
        <w:t xml:space="preserve">9</w:t>
      </w:r>
    </w:p>
    <w:p>
      <w:pPr>
        <w:tabs>
          <w:tab w:val="right" w:pos="9070" w:leader="dot"/>
        </w:tabs>
        <w:spacing w:after="70" w:line="250"/>
        <w:ind w:left="0"/>
      </w:pPr>
      <w:r>
        <w:rPr>
          <w:rFonts w:ascii="Calibri" w:cs="Calibri" w:eastAsia="Calibri" w:hAnsi="Calibri"/>
          <w:b/>
          <w:bCs/>
          <w:color w:val="1C2B36"/>
          <w:sz w:val="20"/>
          <w:szCs w:val="20"/>
        </w:rPr>
        <w:t xml:space="preserve">8.  Components of the Platform</w:t>
      </w:r>
      <w:r>
        <w:rPr>
          <w:rFonts w:ascii="Calibri" w:cs="Calibri" w:eastAsia="Calibri" w:hAnsi="Calibri"/>
          <w:sz w:val="20"/>
          <w:szCs w:val="20"/>
        </w:rPr>
        <w:t xml:space="preserve">	</w:t>
      </w:r>
      <w:r>
        <w:rPr>
          <w:rFonts w:ascii="Calibri" w:cs="Calibri" w:eastAsia="Calibri" w:hAnsi="Calibri"/>
          <w:b/>
          <w:bCs/>
          <w:color w:val="20262B"/>
          <w:sz w:val="20"/>
          <w:szCs w:val="20"/>
        </w:rPr>
        <w:t xml:space="preserve">9</w:t>
      </w:r>
    </w:p>
    <w:p>
      <w:pPr>
        <w:tabs>
          <w:tab w:val="right" w:pos="9070" w:leader="dot"/>
        </w:tabs>
        <w:spacing w:after="70" w:line="250"/>
        <w:ind w:left="0"/>
      </w:pPr>
      <w:r>
        <w:rPr>
          <w:rFonts w:ascii="Calibri" w:cs="Calibri" w:eastAsia="Calibri" w:hAnsi="Calibri"/>
          <w:b/>
          <w:bCs/>
          <w:color w:val="1C2B36"/>
          <w:sz w:val="20"/>
          <w:szCs w:val="20"/>
        </w:rPr>
        <w:t xml:space="preserve">9.  The Project Lifecycle</w:t>
      </w:r>
      <w:r>
        <w:rPr>
          <w:rFonts w:ascii="Calibri" w:cs="Calibri" w:eastAsia="Calibri" w:hAnsi="Calibri"/>
          <w:sz w:val="20"/>
          <w:szCs w:val="20"/>
        </w:rPr>
        <w:t xml:space="preserve">	</w:t>
      </w:r>
      <w:r>
        <w:rPr>
          <w:rFonts w:ascii="Calibri" w:cs="Calibri" w:eastAsia="Calibri" w:hAnsi="Calibri"/>
          <w:b/>
          <w:bCs/>
          <w:color w:val="20262B"/>
          <w:sz w:val="20"/>
          <w:szCs w:val="20"/>
        </w:rPr>
        <w:t xml:space="preserve">10</w:t>
      </w:r>
    </w:p>
    <w:p>
      <w:pPr>
        <w:tabs>
          <w:tab w:val="right" w:pos="9070" w:leader="dot"/>
        </w:tabs>
        <w:spacing w:after="70" w:line="250"/>
        <w:ind w:left="0"/>
      </w:pPr>
      <w:r>
        <w:rPr>
          <w:rFonts w:ascii="Calibri" w:cs="Calibri" w:eastAsia="Calibri" w:hAnsi="Calibri"/>
          <w:b/>
          <w:bCs/>
          <w:color w:val="1C2B36"/>
          <w:sz w:val="20"/>
          <w:szCs w:val="20"/>
        </w:rPr>
        <w:t xml:space="preserve">10.  Contribution, Recognition and Reward</w:t>
      </w:r>
      <w:r>
        <w:rPr>
          <w:rFonts w:ascii="Calibri" w:cs="Calibri" w:eastAsia="Calibri" w:hAnsi="Calibri"/>
          <w:sz w:val="20"/>
          <w:szCs w:val="20"/>
        </w:rPr>
        <w:t xml:space="preserve">	</w:t>
      </w:r>
      <w:r>
        <w:rPr>
          <w:rFonts w:ascii="Calibri" w:cs="Calibri" w:eastAsia="Calibri" w:hAnsi="Calibri"/>
          <w:b/>
          <w:bCs/>
          <w:color w:val="20262B"/>
          <w:sz w:val="20"/>
          <w:szCs w:val="20"/>
        </w:rPr>
        <w:t xml:space="preserve">11</w:t>
      </w:r>
    </w:p>
    <w:p>
      <w:pPr>
        <w:tabs>
          <w:tab w:val="right" w:pos="9070" w:leader="dot"/>
        </w:tabs>
        <w:spacing w:after="70" w:line="250"/>
        <w:ind w:left="0"/>
      </w:pPr>
      <w:r>
        <w:rPr>
          <w:rFonts w:ascii="Calibri" w:cs="Calibri" w:eastAsia="Calibri" w:hAnsi="Calibri"/>
          <w:b/>
          <w:bCs/>
          <w:color w:val="1C2B36"/>
          <w:sz w:val="20"/>
          <w:szCs w:val="20"/>
        </w:rPr>
        <w:t xml:space="preserve">11.  The Role of Academic Staff</w:t>
      </w:r>
      <w:r>
        <w:rPr>
          <w:rFonts w:ascii="Calibri" w:cs="Calibri" w:eastAsia="Calibri" w:hAnsi="Calibri"/>
          <w:sz w:val="20"/>
          <w:szCs w:val="20"/>
        </w:rPr>
        <w:t xml:space="preserve">	</w:t>
      </w:r>
      <w:r>
        <w:rPr>
          <w:rFonts w:ascii="Calibri" w:cs="Calibri" w:eastAsia="Calibri" w:hAnsi="Calibri"/>
          <w:b/>
          <w:bCs/>
          <w:color w:val="20262B"/>
          <w:sz w:val="20"/>
          <w:szCs w:val="20"/>
        </w:rPr>
        <w:t xml:space="preserve">13</w:t>
      </w:r>
    </w:p>
    <w:p>
      <w:pPr>
        <w:tabs>
          <w:tab w:val="right" w:pos="9070" w:leader="dot"/>
        </w:tabs>
        <w:spacing w:after="70" w:line="250"/>
        <w:ind w:left="0"/>
      </w:pPr>
      <w:r>
        <w:rPr>
          <w:rFonts w:ascii="Calibri" w:cs="Calibri" w:eastAsia="Calibri" w:hAnsi="Calibri"/>
          <w:b/>
          <w:bCs/>
          <w:color w:val="1C2B36"/>
          <w:sz w:val="20"/>
          <w:szCs w:val="20"/>
        </w:rPr>
        <w:t xml:space="preserve">12.  Governance and Accountability</w:t>
      </w:r>
      <w:r>
        <w:rPr>
          <w:rFonts w:ascii="Calibri" w:cs="Calibri" w:eastAsia="Calibri" w:hAnsi="Calibri"/>
          <w:sz w:val="20"/>
          <w:szCs w:val="20"/>
        </w:rPr>
        <w:t xml:space="preserve">	</w:t>
      </w:r>
      <w:r>
        <w:rPr>
          <w:rFonts w:ascii="Calibri" w:cs="Calibri" w:eastAsia="Calibri" w:hAnsi="Calibri"/>
          <w:b/>
          <w:bCs/>
          <w:color w:val="20262B"/>
          <w:sz w:val="20"/>
          <w:szCs w:val="20"/>
        </w:rPr>
        <w:t xml:space="preserve">13</w:t>
      </w:r>
    </w:p>
    <w:p>
      <w:pPr>
        <w:tabs>
          <w:tab w:val="right" w:pos="9070" w:leader="dot"/>
        </w:tabs>
        <w:spacing w:after="70" w:line="250"/>
        <w:ind w:left="0"/>
      </w:pPr>
      <w:r>
        <w:rPr>
          <w:rFonts w:ascii="Calibri" w:cs="Calibri" w:eastAsia="Calibri" w:hAnsi="Calibri"/>
          <w:b/>
          <w:bCs/>
          <w:color w:val="1C2B36"/>
          <w:sz w:val="20"/>
          <w:szCs w:val="20"/>
        </w:rPr>
        <w:t xml:space="preserve">13.  Intellectual Property and Student Ownership</w:t>
      </w:r>
      <w:r>
        <w:rPr>
          <w:rFonts w:ascii="Calibri" w:cs="Calibri" w:eastAsia="Calibri" w:hAnsi="Calibri"/>
          <w:sz w:val="20"/>
          <w:szCs w:val="20"/>
        </w:rPr>
        <w:t xml:space="preserve">	</w:t>
      </w:r>
      <w:r>
        <w:rPr>
          <w:rFonts w:ascii="Calibri" w:cs="Calibri" w:eastAsia="Calibri" w:hAnsi="Calibri"/>
          <w:b/>
          <w:bCs/>
          <w:color w:val="20262B"/>
          <w:sz w:val="20"/>
          <w:szCs w:val="20"/>
        </w:rPr>
        <w:t xml:space="preserve">14</w:t>
      </w:r>
    </w:p>
    <w:p>
      <w:pPr>
        <w:tabs>
          <w:tab w:val="right" w:pos="9070" w:leader="dot"/>
        </w:tabs>
        <w:spacing w:after="70" w:line="250"/>
        <w:ind w:left="0"/>
      </w:pPr>
      <w:r>
        <w:rPr>
          <w:rFonts w:ascii="Calibri" w:cs="Calibri" w:eastAsia="Calibri" w:hAnsi="Calibri"/>
          <w:b/>
          <w:bCs/>
          <w:color w:val="1C2B36"/>
          <w:sz w:val="20"/>
          <w:szCs w:val="20"/>
        </w:rPr>
        <w:t xml:space="preserve">14.  Safeguarding, Privacy and Data Protection</w:t>
      </w:r>
      <w:r>
        <w:rPr>
          <w:rFonts w:ascii="Calibri" w:cs="Calibri" w:eastAsia="Calibri" w:hAnsi="Calibri"/>
          <w:sz w:val="20"/>
          <w:szCs w:val="20"/>
        </w:rPr>
        <w:t xml:space="preserve">	</w:t>
      </w:r>
      <w:r>
        <w:rPr>
          <w:rFonts w:ascii="Calibri" w:cs="Calibri" w:eastAsia="Calibri" w:hAnsi="Calibri"/>
          <w:b/>
          <w:bCs/>
          <w:color w:val="20262B"/>
          <w:sz w:val="20"/>
          <w:szCs w:val="20"/>
        </w:rPr>
        <w:t xml:space="preserve">15</w:t>
      </w:r>
    </w:p>
    <w:p>
      <w:pPr>
        <w:tabs>
          <w:tab w:val="right" w:pos="9070" w:leader="dot"/>
        </w:tabs>
        <w:spacing w:after="70" w:line="250"/>
        <w:ind w:left="0"/>
      </w:pPr>
      <w:r>
        <w:rPr>
          <w:rFonts w:ascii="Calibri" w:cs="Calibri" w:eastAsia="Calibri" w:hAnsi="Calibri"/>
          <w:b/>
          <w:bCs/>
          <w:color w:val="1C2B36"/>
          <w:sz w:val="20"/>
          <w:szCs w:val="20"/>
        </w:rPr>
        <w:t xml:space="preserve">15.  Technical Approach</w:t>
      </w:r>
      <w:r>
        <w:rPr>
          <w:rFonts w:ascii="Calibri" w:cs="Calibri" w:eastAsia="Calibri" w:hAnsi="Calibri"/>
          <w:sz w:val="20"/>
          <w:szCs w:val="20"/>
        </w:rPr>
        <w:t xml:space="preserve">	</w:t>
      </w:r>
      <w:r>
        <w:rPr>
          <w:rFonts w:ascii="Calibri" w:cs="Calibri" w:eastAsia="Calibri" w:hAnsi="Calibri"/>
          <w:b/>
          <w:bCs/>
          <w:color w:val="20262B"/>
          <w:sz w:val="20"/>
          <w:szCs w:val="20"/>
        </w:rPr>
        <w:t xml:space="preserve">16</w:t>
      </w:r>
    </w:p>
    <w:p>
      <w:pPr>
        <w:tabs>
          <w:tab w:val="right" w:pos="9070" w:leader="dot"/>
        </w:tabs>
        <w:spacing w:after="70" w:line="250"/>
        <w:ind w:left="0"/>
      </w:pPr>
      <w:r>
        <w:rPr>
          <w:rFonts w:ascii="Calibri" w:cs="Calibri" w:eastAsia="Calibri" w:hAnsi="Calibri"/>
          <w:b/>
          <w:bCs/>
          <w:color w:val="1C2B36"/>
          <w:sz w:val="20"/>
          <w:szCs w:val="20"/>
        </w:rPr>
        <w:t xml:space="preserve">16.  Implementation Roadmap</w:t>
      </w:r>
      <w:r>
        <w:rPr>
          <w:rFonts w:ascii="Calibri" w:cs="Calibri" w:eastAsia="Calibri" w:hAnsi="Calibri"/>
          <w:sz w:val="20"/>
          <w:szCs w:val="20"/>
        </w:rPr>
        <w:t xml:space="preserve">	</w:t>
      </w:r>
      <w:r>
        <w:rPr>
          <w:rFonts w:ascii="Calibri" w:cs="Calibri" w:eastAsia="Calibri" w:hAnsi="Calibri"/>
          <w:b/>
          <w:bCs/>
          <w:color w:val="20262B"/>
          <w:sz w:val="20"/>
          <w:szCs w:val="20"/>
        </w:rPr>
        <w:t xml:space="preserve">17</w:t>
      </w:r>
    </w:p>
    <w:p>
      <w:pPr>
        <w:tabs>
          <w:tab w:val="right" w:pos="9070" w:leader="dot"/>
        </w:tabs>
        <w:spacing w:after="70" w:line="250"/>
        <w:ind w:left="0"/>
      </w:pPr>
      <w:r>
        <w:rPr>
          <w:rFonts w:ascii="Calibri" w:cs="Calibri" w:eastAsia="Calibri" w:hAnsi="Calibri"/>
          <w:b/>
          <w:bCs/>
          <w:color w:val="1C2B36"/>
          <w:sz w:val="20"/>
          <w:szCs w:val="20"/>
        </w:rPr>
        <w:t xml:space="preserve">17.  Resource Requirements</w:t>
      </w:r>
      <w:r>
        <w:rPr>
          <w:rFonts w:ascii="Calibri" w:cs="Calibri" w:eastAsia="Calibri" w:hAnsi="Calibri"/>
          <w:sz w:val="20"/>
          <w:szCs w:val="20"/>
        </w:rPr>
        <w:t xml:space="preserve">	</w:t>
      </w:r>
      <w:r>
        <w:rPr>
          <w:rFonts w:ascii="Calibri" w:cs="Calibri" w:eastAsia="Calibri" w:hAnsi="Calibri"/>
          <w:b/>
          <w:bCs/>
          <w:color w:val="20262B"/>
          <w:sz w:val="20"/>
          <w:szCs w:val="20"/>
        </w:rPr>
        <w:t xml:space="preserve">17</w:t>
      </w:r>
    </w:p>
    <w:p>
      <w:pPr>
        <w:tabs>
          <w:tab w:val="right" w:pos="9070" w:leader="dot"/>
        </w:tabs>
        <w:spacing w:after="70" w:line="250"/>
        <w:ind w:left="0"/>
      </w:pPr>
      <w:r>
        <w:rPr>
          <w:rFonts w:ascii="Calibri" w:cs="Calibri" w:eastAsia="Calibri" w:hAnsi="Calibri"/>
          <w:b/>
          <w:bCs/>
          <w:color w:val="1C2B36"/>
          <w:sz w:val="20"/>
          <w:szCs w:val="20"/>
        </w:rPr>
        <w:t xml:space="preserve">18.  Sustainability</w:t>
      </w:r>
      <w:r>
        <w:rPr>
          <w:rFonts w:ascii="Calibri" w:cs="Calibri" w:eastAsia="Calibri" w:hAnsi="Calibri"/>
          <w:sz w:val="20"/>
          <w:szCs w:val="20"/>
        </w:rPr>
        <w:t xml:space="preserve">	</w:t>
      </w:r>
      <w:r>
        <w:rPr>
          <w:rFonts w:ascii="Calibri" w:cs="Calibri" w:eastAsia="Calibri" w:hAnsi="Calibri"/>
          <w:b/>
          <w:bCs/>
          <w:color w:val="20262B"/>
          <w:sz w:val="20"/>
          <w:szCs w:val="20"/>
        </w:rPr>
        <w:t xml:space="preserve">18</w:t>
      </w:r>
    </w:p>
    <w:p>
      <w:pPr>
        <w:tabs>
          <w:tab w:val="right" w:pos="9070" w:leader="dot"/>
        </w:tabs>
        <w:spacing w:after="70" w:line="250"/>
        <w:ind w:left="0"/>
      </w:pPr>
      <w:r>
        <w:rPr>
          <w:rFonts w:ascii="Calibri" w:cs="Calibri" w:eastAsia="Calibri" w:hAnsi="Calibri"/>
          <w:b/>
          <w:bCs/>
          <w:color w:val="1C2B36"/>
          <w:sz w:val="20"/>
          <w:szCs w:val="20"/>
        </w:rPr>
        <w:t xml:space="preserve">19.  Risk Assessment</w:t>
      </w:r>
      <w:r>
        <w:rPr>
          <w:rFonts w:ascii="Calibri" w:cs="Calibri" w:eastAsia="Calibri" w:hAnsi="Calibri"/>
          <w:sz w:val="20"/>
          <w:szCs w:val="20"/>
        </w:rPr>
        <w:t xml:space="preserve">	</w:t>
      </w:r>
      <w:r>
        <w:rPr>
          <w:rFonts w:ascii="Calibri" w:cs="Calibri" w:eastAsia="Calibri" w:hAnsi="Calibri"/>
          <w:b/>
          <w:bCs/>
          <w:color w:val="20262B"/>
          <w:sz w:val="20"/>
          <w:szCs w:val="20"/>
        </w:rPr>
        <w:t xml:space="preserve">19</w:t>
      </w:r>
    </w:p>
    <w:p>
      <w:pPr>
        <w:tabs>
          <w:tab w:val="right" w:pos="9070" w:leader="dot"/>
        </w:tabs>
        <w:spacing w:after="70" w:line="250"/>
        <w:ind w:left="0"/>
      </w:pPr>
      <w:r>
        <w:rPr>
          <w:rFonts w:ascii="Calibri" w:cs="Calibri" w:eastAsia="Calibri" w:hAnsi="Calibri"/>
          <w:b/>
          <w:bCs/>
          <w:color w:val="1C2B36"/>
          <w:sz w:val="20"/>
          <w:szCs w:val="20"/>
        </w:rPr>
        <w:t xml:space="preserve">20.  Monitoring and Evaluation</w:t>
      </w:r>
      <w:r>
        <w:rPr>
          <w:rFonts w:ascii="Calibri" w:cs="Calibri" w:eastAsia="Calibri" w:hAnsi="Calibri"/>
          <w:sz w:val="20"/>
          <w:szCs w:val="20"/>
        </w:rPr>
        <w:t xml:space="preserve">	</w:t>
      </w:r>
      <w:r>
        <w:rPr>
          <w:rFonts w:ascii="Calibri" w:cs="Calibri" w:eastAsia="Calibri" w:hAnsi="Calibri"/>
          <w:b/>
          <w:bCs/>
          <w:color w:val="20262B"/>
          <w:sz w:val="20"/>
          <w:szCs w:val="20"/>
        </w:rPr>
        <w:t xml:space="preserve">19</w:t>
      </w:r>
    </w:p>
    <w:p>
      <w:pPr>
        <w:tabs>
          <w:tab w:val="right" w:pos="9070" w:leader="dot"/>
        </w:tabs>
        <w:spacing w:after="70" w:line="250"/>
        <w:ind w:left="0"/>
      </w:pPr>
      <w:r>
        <w:rPr>
          <w:rFonts w:ascii="Calibri" w:cs="Calibri" w:eastAsia="Calibri" w:hAnsi="Calibri"/>
          <w:b/>
          <w:bCs/>
          <w:color w:val="1C2B36"/>
          <w:sz w:val="20"/>
          <w:szCs w:val="20"/>
        </w:rPr>
        <w:t xml:space="preserve">21.  Requests to the University</w:t>
      </w:r>
      <w:r>
        <w:rPr>
          <w:rFonts w:ascii="Calibri" w:cs="Calibri" w:eastAsia="Calibri" w:hAnsi="Calibri"/>
          <w:sz w:val="20"/>
          <w:szCs w:val="20"/>
        </w:rPr>
        <w:t xml:space="preserve">	</w:t>
      </w:r>
      <w:r>
        <w:rPr>
          <w:rFonts w:ascii="Calibri" w:cs="Calibri" w:eastAsia="Calibri" w:hAnsi="Calibri"/>
          <w:b/>
          <w:bCs/>
          <w:color w:val="20262B"/>
          <w:sz w:val="20"/>
          <w:szCs w:val="20"/>
        </w:rPr>
        <w:t xml:space="preserve">20</w:t>
      </w:r>
    </w:p>
    <w:p>
      <w:pPr>
        <w:tabs>
          <w:tab w:val="right" w:pos="9070" w:leader="dot"/>
        </w:tabs>
        <w:spacing w:after="70" w:line="250"/>
        <w:ind w:left="0"/>
      </w:pPr>
      <w:r>
        <w:rPr>
          <w:rFonts w:ascii="Calibri" w:cs="Calibri" w:eastAsia="Calibri" w:hAnsi="Calibri"/>
          <w:b/>
          <w:bCs/>
          <w:color w:val="1C2B36"/>
          <w:sz w:val="20"/>
          <w:szCs w:val="20"/>
        </w:rPr>
        <w:t xml:space="preserve">22.  Conclusion</w:t>
      </w:r>
      <w:r>
        <w:rPr>
          <w:rFonts w:ascii="Calibri" w:cs="Calibri" w:eastAsia="Calibri" w:hAnsi="Calibri"/>
          <w:sz w:val="20"/>
          <w:szCs w:val="20"/>
        </w:rPr>
        <w:t xml:space="preserve">	</w:t>
      </w:r>
      <w:r>
        <w:rPr>
          <w:rFonts w:ascii="Calibri" w:cs="Calibri" w:eastAsia="Calibri" w:hAnsi="Calibri"/>
          <w:b/>
          <w:bCs/>
          <w:color w:val="20262B"/>
          <w:sz w:val="20"/>
          <w:szCs w:val="20"/>
        </w:rPr>
        <w:t xml:space="preserve">21</w:t>
      </w:r>
    </w:p>
    <w:p>
      <w:pPr>
        <w:tabs>
          <w:tab w:val="right" w:pos="9070" w:leader="dot"/>
        </w:tabs>
        <w:spacing w:after="70" w:line="250"/>
        <w:ind w:left="0"/>
      </w:pPr>
      <w:r>
        <w:rPr>
          <w:rFonts w:ascii="Calibri" w:cs="Calibri" w:eastAsia="Calibri" w:hAnsi="Calibri"/>
          <w:b w:val="false"/>
          <w:bCs w:val="false"/>
          <w:color w:val="20262B"/>
          <w:sz w:val="20"/>
          <w:szCs w:val="20"/>
        </w:rPr>
        <w:t xml:space="preserve">Appendix A: Proposed Founding Team Structure</w:t>
      </w:r>
      <w:r>
        <w:rPr>
          <w:rFonts w:ascii="Calibri" w:cs="Calibri" w:eastAsia="Calibri" w:hAnsi="Calibri"/>
          <w:sz w:val="20"/>
          <w:szCs w:val="20"/>
        </w:rPr>
        <w:t xml:space="preserve">	</w:t>
      </w:r>
      <w:r>
        <w:rPr>
          <w:rFonts w:ascii="Calibri" w:cs="Calibri" w:eastAsia="Calibri" w:hAnsi="Calibri"/>
          <w:b w:val="false"/>
          <w:bCs w:val="false"/>
          <w:color w:val="20262B"/>
          <w:sz w:val="20"/>
          <w:szCs w:val="20"/>
        </w:rPr>
        <w:t xml:space="preserve">22</w:t>
      </w:r>
    </w:p>
    <w:p>
      <w:pPr>
        <w:tabs>
          <w:tab w:val="right" w:pos="9070" w:leader="dot"/>
        </w:tabs>
        <w:spacing w:after="70" w:line="250"/>
        <w:ind w:left="0"/>
      </w:pPr>
      <w:r>
        <w:rPr>
          <w:rFonts w:ascii="Calibri" w:cs="Calibri" w:eastAsia="Calibri" w:hAnsi="Calibri"/>
          <w:b w:val="false"/>
          <w:bCs w:val="false"/>
          <w:color w:val="20262B"/>
          <w:sz w:val="20"/>
          <w:szCs w:val="20"/>
        </w:rPr>
        <w:t xml:space="preserve">Appendix B: Indicative Twelve Week Pilot Build</w:t>
      </w:r>
      <w:r>
        <w:rPr>
          <w:rFonts w:ascii="Calibri" w:cs="Calibri" w:eastAsia="Calibri" w:hAnsi="Calibri"/>
          <w:sz w:val="20"/>
          <w:szCs w:val="20"/>
        </w:rPr>
        <w:t xml:space="preserve">	</w:t>
      </w:r>
      <w:r>
        <w:rPr>
          <w:rFonts w:ascii="Calibri" w:cs="Calibri" w:eastAsia="Calibri" w:hAnsi="Calibri"/>
          <w:b w:val="false"/>
          <w:bCs w:val="false"/>
          <w:color w:val="20262B"/>
          <w:sz w:val="20"/>
          <w:szCs w:val="20"/>
        </w:rPr>
        <w:t xml:space="preserve">22</w:t>
      </w:r>
    </w:p>
    <w:p>
      <w:pPr>
        <w:tabs>
          <w:tab w:val="right" w:pos="9070" w:leader="dot"/>
        </w:tabs>
        <w:spacing w:after="70" w:line="250"/>
        <w:ind w:left="0"/>
      </w:pPr>
      <w:r>
        <w:rPr>
          <w:rFonts w:ascii="Calibri" w:cs="Calibri" w:eastAsia="Calibri" w:hAnsi="Calibri"/>
          <w:b w:val="false"/>
          <w:bCs w:val="false"/>
          <w:color w:val="20262B"/>
          <w:sz w:val="20"/>
          <w:szCs w:val="20"/>
        </w:rPr>
        <w:t xml:space="preserve">Appendix C: Background of the Proposer</w:t>
      </w:r>
      <w:r>
        <w:rPr>
          <w:rFonts w:ascii="Calibri" w:cs="Calibri" w:eastAsia="Calibri" w:hAnsi="Calibri"/>
          <w:sz w:val="20"/>
          <w:szCs w:val="20"/>
        </w:rPr>
        <w:t xml:space="preserve">	</w:t>
      </w:r>
      <w:r>
        <w:rPr>
          <w:rFonts w:ascii="Calibri" w:cs="Calibri" w:eastAsia="Calibri" w:hAnsi="Calibri"/>
          <w:b w:val="false"/>
          <w:bCs w:val="false"/>
          <w:color w:val="20262B"/>
          <w:sz w:val="20"/>
          <w:szCs w:val="20"/>
        </w:rPr>
        <w:t xml:space="preserve">23</w:t>
      </w:r>
    </w:p>
    <w:p>
      <w:r>
        <w:br w:type="page"/>
      </w:r>
    </w:p>
    <w:p>
      <w:pPr>
        <w:pStyle w:val="Heading1"/>
        <w:pBdr>
          <w:bottom w:val="single" w:color="A84B12" w:sz="10" w:space="6"/>
        </w:pBdr>
        <w:spacing w:after="200" w:before="400"/>
      </w:pPr>
      <w:r>
        <w:rPr>
          <w:rFonts w:ascii="Georgia" w:cs="Georgia" w:eastAsia="Georgia" w:hAnsi="Georgia"/>
          <w:b/>
          <w:bCs/>
          <w:color w:val="1C2B36"/>
          <w:sz w:val="30"/>
          <w:szCs w:val="30"/>
        </w:rPr>
        <w:t xml:space="preserve">1.  Executive Summary</w:t>
      </w:r>
    </w:p>
    <w:p>
      <w:pPr>
        <w:spacing w:after="140" w:line="276"/>
        <w:jc w:val="both"/>
      </w:pPr>
      <w:r>
        <w:rPr>
          <w:rFonts w:ascii="Calibri" w:cs="Calibri" w:eastAsia="Calibri" w:hAnsi="Calibri"/>
          <w:color w:val="20262B"/>
          <w:sz w:val="21"/>
          <w:szCs w:val="21"/>
        </w:rPr>
        <w:t xml:space="preserve">In a remarkably short period, the Open University of Kenya has answered one of the most stubborn questions in Kenyan higher education: how to give a qualified learner in Turkana, Kilifi, Kisumu or Kibera a genuine university place without requiring that learner to relocate, resign from employment or abandon a family. Access has been opened. What this proposal addresses is the second half of that journey, which is the conversion of access into demonstrable practical competence.</w:t>
      </w:r>
    </w:p>
    <w:p>
      <w:pPr>
        <w:spacing w:after="140" w:line="276"/>
        <w:jc w:val="both"/>
      </w:pPr>
      <w:r>
        <w:rPr>
          <w:rFonts w:ascii="Calibri" w:cs="Calibri" w:eastAsia="Calibri" w:hAnsi="Calibri"/>
          <w:color w:val="20262B"/>
          <w:sz w:val="21"/>
          <w:szCs w:val="21"/>
        </w:rPr>
        <w:t xml:space="preserve">A student may pass every unit in a programme and graduate with a good classification while never having built a working system, never having collaborated on a real deliverable with peers, never having documented a piece of work for an audience beyond an examiner, and never having anything to show an employer other than a transcript. This is not a criticism of any curriculum. It is a structural feature of assessment based education everywhere, and it is felt more sharply in a distance learning institution where the informal life of a campus, the corridor conversation, the club, the group project that forms itself over lunch, does not occur naturally.</w:t>
      </w:r>
    </w:p>
    <w:p>
      <w:pPr>
        <w:spacing w:after="140" w:line="276"/>
        <w:jc w:val="both"/>
      </w:pPr>
      <w:r>
        <w:rPr>
          <w:rFonts w:ascii="Calibri" w:cs="Calibri" w:eastAsia="Calibri" w:hAnsi="Calibri"/>
          <w:color w:val="20262B"/>
          <w:sz w:val="21"/>
          <w:szCs w:val="21"/>
        </w:rPr>
        <w:t xml:space="preserve">This document proposes FORGE, a voluntary, student led project and collaboration ecosystem powered by the Open University of Kenya. FORGE is a place where a student proposes a piece of work, recruits classmates from any school to help build it, is guided by a volunteer academic mentor, delivers something real, documents it, demonstrates it, and accumulates a verifiable record of what they have actually done. It is open to every school of the University and is expressly not limited to computing.</w:t>
      </w:r>
    </w:p>
    <w:p>
      <w:pPr>
        <w:pBdr>
          <w:left w:val="single" w:color="A84B12" w:sz="14" w:space="14"/>
        </w:pBdr>
        <w:spacing w:after="220" w:before="200" w:line="288"/>
        <w:ind w:left="340"/>
        <w:jc w:val="left"/>
      </w:pPr>
      <w:r>
        <w:rPr>
          <w:rFonts w:ascii="Georgia" w:cs="Georgia" w:eastAsia="Georgia" w:hAnsi="Georgia"/>
          <w:i/>
          <w:iCs/>
          <w:color w:val="1C2B36"/>
          <w:sz w:val="22"/>
          <w:szCs w:val="22"/>
        </w:rPr>
        <w:t xml:space="preserve">FORGE does not exist to give students more notes. It exists to give students more opportunities to build, and a credible record of having built.</w:t>
      </w:r>
    </w:p>
    <w:p>
      <w:pPr>
        <w:spacing w:after="140" w:line="276"/>
        <w:jc w:val="both"/>
      </w:pPr>
      <w:r>
        <w:rPr>
          <w:rFonts w:ascii="Calibri" w:cs="Calibri" w:eastAsia="Calibri" w:hAnsi="Calibri"/>
          <w:color w:val="20262B"/>
          <w:sz w:val="21"/>
          <w:szCs w:val="21"/>
        </w:rPr>
        <w:t xml:space="preserve">The initiative is designed around four commitments. It is voluntary, so that it never becomes another compliance burden on students or staff. It is cross-disciplinary, so that a Nursing student and a Cyber Security student can work on the same problem. It is light on the University, in that the first version would be designed and built by students at no cost to the institution. And it is bounded, in that it complements the Learning Management System rather than duplicating it: the Learning Management System remains the home of formal instruction, assessment and certification, while FORGE is the home of voluntary practical application.</w:t>
      </w:r>
    </w:p>
    <w:p>
      <w:pPr>
        <w:spacing w:after="140" w:line="276"/>
        <w:jc w:val="both"/>
      </w:pPr>
      <w:r>
        <w:rPr>
          <w:rFonts w:ascii="Calibri" w:cs="Calibri" w:eastAsia="Calibri" w:hAnsi="Calibri"/>
          <w:color w:val="20262B"/>
          <w:sz w:val="21"/>
          <w:szCs w:val="21"/>
        </w:rPr>
        <w:t xml:space="preserve">What is requested of the University at this stage is modest. It is not a budget. It is recognition of the initiative, the appointment of a faculty advisor, permission to authenticate students against University identity, the use of a subdomain, and approval to run a pilot for two academic trimesters, after which the pilot is formally evaluated and the University decides whether to continue, expand or discontinue it. The full set of requests appears in Section 21.</w:t>
      </w:r>
    </w:p>
    <w:p>
      <w:pPr>
        <w:pStyle w:val="Heading1"/>
        <w:pBdr>
          <w:bottom w:val="single" w:color="A84B12" w:sz="10" w:space="6"/>
        </w:pBdr>
        <w:spacing w:after="200" w:before="400"/>
      </w:pPr>
      <w:r>
        <w:rPr>
          <w:rFonts w:ascii="Georgia" w:cs="Georgia" w:eastAsia="Georgia" w:hAnsi="Georgia"/>
          <w:b/>
          <w:bCs/>
          <w:color w:val="1C2B36"/>
          <w:sz w:val="30"/>
          <w:szCs w:val="30"/>
        </w:rPr>
        <w:t xml:space="preserve">2.  The Institutional Context</w:t>
      </w:r>
    </w:p>
    <w:p>
      <w:pPr>
        <w:spacing w:after="140" w:line="276"/>
        <w:jc w:val="both"/>
      </w:pPr>
      <w:r>
        <w:rPr>
          <w:rFonts w:ascii="Calibri" w:cs="Calibri" w:eastAsia="Calibri" w:hAnsi="Calibri"/>
          <w:color w:val="20262B"/>
          <w:sz w:val="21"/>
          <w:szCs w:val="21"/>
        </w:rPr>
        <w:t xml:space="preserve">The Open University of Kenya was chartered in August 2023 as the country’s first fully virtual public university, and operates from Konza Technopolis in Machakos County. It offers diploma, undergraduate, postgraduate and doctoral programmes through schools that include Science and Technology, Business and Economics, and Education, with recent expansion into fields such as Nursing, Public Communication and Public Administration. Its stated core values are Excellence, Inclusivity, Innovation and Integrity.</w:t>
      </w:r>
    </w:p>
    <w:p>
      <w:pPr>
        <w:spacing w:after="140" w:line="276"/>
        <w:jc w:val="both"/>
      </w:pPr>
      <w:r>
        <w:rPr>
          <w:rFonts w:ascii="Calibri" w:cs="Calibri" w:eastAsia="Calibri" w:hAnsi="Calibri"/>
          <w:color w:val="20262B"/>
          <w:sz w:val="21"/>
          <w:szCs w:val="21"/>
        </w:rPr>
        <w:t xml:space="preserve">Three features of the University’s current position make this proposal timely rather than premature.</w:t>
      </w:r>
    </w:p>
    <w:p>
      <w:pPr>
        <w:pStyle w:val="Heading3"/>
        <w:spacing w:after="90" w:before="220"/>
      </w:pPr>
      <w:r>
        <w:rPr>
          <w:rFonts w:ascii="Calibri" w:cs="Calibri" w:eastAsia="Calibri" w:hAnsi="Calibri"/>
          <w:b/>
          <w:bCs/>
          <w:color w:val="1C2B36"/>
          <w:sz w:val="21"/>
          <w:szCs w:val="21"/>
        </w:rPr>
        <w:t xml:space="preserve">Scale is arriving quickly</w:t>
      </w:r>
    </w:p>
    <w:p>
      <w:pPr>
        <w:spacing w:after="140" w:line="276"/>
        <w:jc w:val="both"/>
      </w:pPr>
      <w:r>
        <w:rPr>
          <w:rFonts w:ascii="Calibri" w:cs="Calibri" w:eastAsia="Calibri" w:hAnsi="Calibri"/>
          <w:color w:val="20262B"/>
          <w:sz w:val="21"/>
          <w:szCs w:val="21"/>
        </w:rPr>
        <w:t xml:space="preserve">The University is pursuing an enrolment trajectory measured in tens of thousands of learners. Growth of that order cannot be supported by staff intensive interventions alone. Peer to peer structures, in which senior students carry part of the load of orienting, mentoring and encouraging junior students, are among the few mechanisms that scale with the student body rather than against it. A platform of the kind proposed here becomes more useful, not more expensive, as enrolment grows.</w:t>
      </w:r>
    </w:p>
    <w:p>
      <w:pPr>
        <w:pStyle w:val="Heading3"/>
        <w:spacing w:after="90" w:before="220"/>
      </w:pPr>
      <w:r>
        <w:rPr>
          <w:rFonts w:ascii="Calibri" w:cs="Calibri" w:eastAsia="Calibri" w:hAnsi="Calibri"/>
          <w:b/>
          <w:bCs/>
          <w:color w:val="1C2B36"/>
          <w:sz w:val="21"/>
          <w:szCs w:val="21"/>
        </w:rPr>
        <w:t xml:space="preserve">The practical infrastructure is already being assembled</w:t>
      </w:r>
    </w:p>
    <w:p>
      <w:pPr>
        <w:spacing w:after="140" w:line="276"/>
        <w:jc w:val="both"/>
      </w:pPr>
      <w:r>
        <w:rPr>
          <w:rFonts w:ascii="Calibri" w:cs="Calibri" w:eastAsia="Calibri" w:hAnsi="Calibri"/>
          <w:color w:val="20262B"/>
          <w:sz w:val="21"/>
          <w:szCs w:val="21"/>
        </w:rPr>
        <w:t xml:space="preserve">The University, together with Huawei Kenya and the Equity Group Foundation, has launched a Huawei ICT Academy targeting ten thousand learners with certification pathways in artificial intelligence, cloud computing, cyber security, networking and software development, alongside a Virtual Innovation Hub intended to support student led solutions in areas such as agriculture, education, health and financial technology. The University has also entered partnerships in drone technology, robotics and artificial intelligence, in smart city higher education, and in humanitarian training. These are significant assets.</w:t>
      </w:r>
    </w:p>
    <w:p>
      <w:pPr>
        <w:spacing w:after="140" w:line="276"/>
        <w:jc w:val="both"/>
      </w:pPr>
      <w:r>
        <w:rPr>
          <w:rFonts w:ascii="Calibri" w:cs="Calibri" w:eastAsia="Calibri" w:hAnsi="Calibri"/>
          <w:color w:val="20262B"/>
          <w:sz w:val="21"/>
          <w:szCs w:val="21"/>
        </w:rPr>
        <w:t xml:space="preserve">What such initiatives typically lack is not content or credibility but a continuous, everyday student layer that connects them to ordinary student activity between formal events. A certification pathway produces certified learners. It does not by itself produce a student who has led a team, resolved a merge conflict, defended a design decision or delivered under a deadline. FORGE is proposed as precisely that connective layer.</w:t>
      </w:r>
    </w:p>
    <w:p>
      <w:pPr>
        <w:pStyle w:val="Heading3"/>
        <w:spacing w:after="90" w:before="220"/>
      </w:pPr>
      <w:r>
        <w:rPr>
          <w:rFonts w:ascii="Calibri" w:cs="Calibri" w:eastAsia="Calibri" w:hAnsi="Calibri"/>
          <w:b/>
          <w:bCs/>
          <w:color w:val="1C2B36"/>
          <w:sz w:val="21"/>
          <w:szCs w:val="21"/>
        </w:rPr>
        <w:t xml:space="preserve">The University is small enough to try this properly</w:t>
      </w:r>
    </w:p>
    <w:p>
      <w:pPr>
        <w:spacing w:after="140" w:line="276"/>
        <w:jc w:val="both"/>
      </w:pPr>
      <w:r>
        <w:rPr>
          <w:rFonts w:ascii="Calibri" w:cs="Calibri" w:eastAsia="Calibri" w:hAnsi="Calibri"/>
          <w:color w:val="20262B"/>
          <w:sz w:val="21"/>
          <w:szCs w:val="21"/>
        </w:rPr>
        <w:t xml:space="preserve">A young institution can adopt a practice and have it become part of its identity. An older one must first dislodge an existing habit. If the University wishes practical, portfolio backed, project based learning to be part of what its name means to employers, the least expensive moment to establish that is now.</w:t>
      </w:r>
    </w:p>
    <w:p>
      <w:pPr>
        <w:pStyle w:val="Heading1"/>
        <w:pBdr>
          <w:bottom w:val="single" w:color="A84B12" w:sz="10" w:space="6"/>
        </w:pBdr>
        <w:spacing w:after="200" w:before="400"/>
      </w:pPr>
      <w:r>
        <w:rPr>
          <w:rFonts w:ascii="Georgia" w:cs="Georgia" w:eastAsia="Georgia" w:hAnsi="Georgia"/>
          <w:b/>
          <w:bCs/>
          <w:color w:val="1C2B36"/>
          <w:sz w:val="30"/>
          <w:szCs w:val="30"/>
        </w:rPr>
        <w:t xml:space="preserve">3.  Statement of the Problem</w:t>
      </w:r>
    </w:p>
    <w:p>
      <w:pPr>
        <w:spacing w:after="140" w:line="276"/>
        <w:jc w:val="both"/>
      </w:pPr>
      <w:r>
        <w:rPr>
          <w:rFonts w:ascii="Calibri" w:cs="Calibri" w:eastAsia="Calibri" w:hAnsi="Calibri"/>
          <w:color w:val="20262B"/>
          <w:sz w:val="21"/>
          <w:szCs w:val="21"/>
        </w:rPr>
        <w:t xml:space="preserve">The problem this proposal addresses can be stated in one sentence: there is a persistent gap between what our students know and what they can demonstrate, and the distance learning model widens that gap unless something is deliberately built to close it.</w:t>
      </w:r>
    </w:p>
    <w:p>
      <w:pPr>
        <w:pStyle w:val="Heading2"/>
        <w:spacing w:after="120" w:before="300"/>
      </w:pPr>
      <w:r>
        <w:rPr>
          <w:rFonts w:ascii="Georgia" w:cs="Georgia" w:eastAsia="Georgia" w:hAnsi="Georgia"/>
          <w:b/>
          <w:bCs/>
          <w:color w:val="A84B12"/>
          <w:sz w:val="23"/>
          <w:szCs w:val="23"/>
        </w:rPr>
        <w:t xml:space="preserve">3.1  The experience gap</w:t>
      </w:r>
    </w:p>
    <w:p>
      <w:pPr>
        <w:spacing w:after="140" w:line="276"/>
        <w:jc w:val="both"/>
      </w:pPr>
      <w:r>
        <w:rPr>
          <w:rFonts w:ascii="Calibri" w:cs="Calibri" w:eastAsia="Calibri" w:hAnsi="Calibri"/>
          <w:color w:val="20262B"/>
          <w:sz w:val="21"/>
          <w:szCs w:val="21"/>
        </w:rPr>
        <w:t xml:space="preserve">Consider a diligent student who completes a computing programme with a good classification. That student may nevertheless graduate without ever having done any of the following:</w:t>
      </w:r>
    </w:p>
    <w:p>
      <w:pPr>
        <w:pStyle w:val="ListParagraph"/>
        <w:numPr>
          <w:ilvl w:val="0"/>
          <w:numId w:val="2"/>
        </w:numPr>
        <w:spacing w:after="80" w:line="268"/>
        <w:jc w:val="both"/>
      </w:pPr>
      <w:r>
        <w:rPr>
          <w:rFonts w:ascii="Calibri" w:cs="Calibri" w:eastAsia="Calibri" w:hAnsi="Calibri"/>
          <w:color w:val="20262B"/>
          <w:sz w:val="21"/>
          <w:szCs w:val="21"/>
        </w:rPr>
        <w:t xml:space="preserve">built and deployed an application that a real user has actually used</w:t>
      </w:r>
    </w:p>
    <w:p>
      <w:pPr>
        <w:pStyle w:val="ListParagraph"/>
        <w:numPr>
          <w:ilvl w:val="0"/>
          <w:numId w:val="2"/>
        </w:numPr>
        <w:spacing w:after="80" w:line="268"/>
        <w:jc w:val="both"/>
      </w:pPr>
      <w:r>
        <w:rPr>
          <w:rFonts w:ascii="Calibri" w:cs="Calibri" w:eastAsia="Calibri" w:hAnsi="Calibri"/>
          <w:color w:val="20262B"/>
          <w:sz w:val="21"/>
          <w:szCs w:val="21"/>
        </w:rPr>
        <w:t xml:space="preserve">worked inside a version controlled repository alongside other developers</w:t>
      </w:r>
    </w:p>
    <w:p>
      <w:pPr>
        <w:pStyle w:val="ListParagraph"/>
        <w:numPr>
          <w:ilvl w:val="0"/>
          <w:numId w:val="2"/>
        </w:numPr>
        <w:spacing w:after="80" w:line="268"/>
        <w:jc w:val="both"/>
      </w:pPr>
      <w:r>
        <w:rPr>
          <w:rFonts w:ascii="Calibri" w:cs="Calibri" w:eastAsia="Calibri" w:hAnsi="Calibri"/>
          <w:color w:val="20262B"/>
          <w:sz w:val="21"/>
          <w:szCs w:val="21"/>
        </w:rPr>
        <w:t xml:space="preserve">written technical documentation intended for someone other than an examiner</w:t>
      </w:r>
    </w:p>
    <w:p>
      <w:pPr>
        <w:pStyle w:val="ListParagraph"/>
        <w:numPr>
          <w:ilvl w:val="0"/>
          <w:numId w:val="2"/>
        </w:numPr>
        <w:spacing w:after="80" w:line="268"/>
        <w:jc w:val="both"/>
      </w:pPr>
      <w:r>
        <w:rPr>
          <w:rFonts w:ascii="Calibri" w:cs="Calibri" w:eastAsia="Calibri" w:hAnsi="Calibri"/>
          <w:color w:val="20262B"/>
          <w:sz w:val="21"/>
          <w:szCs w:val="21"/>
        </w:rPr>
        <w:t xml:space="preserve">participated in a security assessment, a forensic investigation or an incident simulation</w:t>
      </w:r>
    </w:p>
    <w:p>
      <w:pPr>
        <w:pStyle w:val="ListParagraph"/>
        <w:numPr>
          <w:ilvl w:val="0"/>
          <w:numId w:val="2"/>
        </w:numPr>
        <w:spacing w:after="80" w:line="268"/>
        <w:jc w:val="both"/>
      </w:pPr>
      <w:r>
        <w:rPr>
          <w:rFonts w:ascii="Calibri" w:cs="Calibri" w:eastAsia="Calibri" w:hAnsi="Calibri"/>
          <w:color w:val="20262B"/>
          <w:sz w:val="21"/>
          <w:szCs w:val="21"/>
        </w:rPr>
        <w:t xml:space="preserve">negotiated a scope disagreement inside a team and delivered anyway</w:t>
      </w:r>
    </w:p>
    <w:p>
      <w:pPr>
        <w:pStyle w:val="ListParagraph"/>
        <w:numPr>
          <w:ilvl w:val="0"/>
          <w:numId w:val="2"/>
        </w:numPr>
        <w:spacing w:after="80" w:line="268"/>
        <w:jc w:val="both"/>
      </w:pPr>
      <w:r>
        <w:rPr>
          <w:rFonts w:ascii="Calibri" w:cs="Calibri" w:eastAsia="Calibri" w:hAnsi="Calibri"/>
          <w:color w:val="20262B"/>
          <w:sz w:val="21"/>
          <w:szCs w:val="21"/>
        </w:rPr>
        <w:t xml:space="preserve">presented and defended a piece of work in front of a critical audience</w:t>
      </w:r>
    </w:p>
    <w:p>
      <w:pPr>
        <w:pStyle w:val="ListParagraph"/>
        <w:numPr>
          <w:ilvl w:val="0"/>
          <w:numId w:val="2"/>
        </w:numPr>
        <w:spacing w:after="80" w:line="268"/>
        <w:jc w:val="both"/>
      </w:pPr>
      <w:r>
        <w:rPr>
          <w:rFonts w:ascii="Calibri" w:cs="Calibri" w:eastAsia="Calibri" w:hAnsi="Calibri"/>
          <w:color w:val="20262B"/>
          <w:sz w:val="21"/>
          <w:szCs w:val="21"/>
        </w:rPr>
        <w:t xml:space="preserve">assembled a portfolio that an employer can inspect in ten minutes</w:t>
      </w:r>
    </w:p>
    <w:p>
      <w:pPr>
        <w:spacing w:after="60"/>
      </w:pPr>
      <w:r>
        <w:t xml:space="preserve"/>
      </w:r>
    </w:p>
    <w:p>
      <w:pPr>
        <w:spacing w:after="140" w:line="276"/>
        <w:jc w:val="both"/>
      </w:pPr>
      <w:r>
        <w:rPr>
          <w:rFonts w:ascii="Calibri" w:cs="Calibri" w:eastAsia="Calibri" w:hAnsi="Calibri"/>
          <w:color w:val="20262B"/>
          <w:sz w:val="21"/>
          <w:szCs w:val="21"/>
        </w:rPr>
        <w:t xml:space="preserve">The equivalent list can be written for almost any programme in the University. A Business student may graduate without having run a costed pilot. An Education student may graduate without having produced and tested a piece of digital learning material. An Agri-Technology student may graduate without having collected and analysed field data with a partner farmer. The gap is not confined to computing, and neither should the remedy be.</w:t>
      </w:r>
    </w:p>
    <w:p>
      <w:pPr>
        <w:pStyle w:val="Heading2"/>
        <w:spacing w:after="120" w:before="300"/>
      </w:pPr>
      <w:r>
        <w:rPr>
          <w:rFonts w:ascii="Georgia" w:cs="Georgia" w:eastAsia="Georgia" w:hAnsi="Georgia"/>
          <w:b/>
          <w:bCs/>
          <w:color w:val="A84B12"/>
          <w:sz w:val="23"/>
          <w:szCs w:val="23"/>
        </w:rPr>
        <w:t xml:space="preserve">3.2  The particular condition of distance learning</w:t>
      </w:r>
    </w:p>
    <w:p>
      <w:pPr>
        <w:spacing w:after="140" w:line="276"/>
        <w:jc w:val="both"/>
      </w:pPr>
      <w:r>
        <w:rPr>
          <w:rFonts w:ascii="Calibri" w:cs="Calibri" w:eastAsia="Calibri" w:hAnsi="Calibri"/>
          <w:color w:val="20262B"/>
          <w:sz w:val="21"/>
          <w:szCs w:val="21"/>
        </w:rPr>
        <w:t xml:space="preserve">In a residential university, part of this gap is closed accidentally. Students meet, form clubs, argue in corridors, borrow each other’s notes and end up building things together without any institution planning it. A virtual university does not get that for free. Cohorts are dispersed, many students are in employment, and interaction outside scheduled sessions tends to collapse into messaging groups that are excellent for logistics and poor for construction.</w:t>
      </w:r>
    </w:p>
    <w:p>
      <w:pPr>
        <w:spacing w:after="140" w:line="276"/>
        <w:jc w:val="both"/>
      </w:pPr>
      <w:r>
        <w:rPr>
          <w:rFonts w:ascii="Calibri" w:cs="Calibri" w:eastAsia="Calibri" w:hAnsi="Calibri"/>
          <w:color w:val="20262B"/>
          <w:sz w:val="21"/>
          <w:szCs w:val="21"/>
        </w:rPr>
        <w:t xml:space="preserve">The consequence is a quieter problem than the skills gap, and in some ways a more serious one: isolation. A student who studies alone for four years, and who never once collaborates with a fellow student on anything consequential, is a student at higher risk of disengaging altogether. Whatever else FORGE does, giving dispersed learners a reason to work together is a retention measure as much as a skills measure.</w:t>
      </w:r>
    </w:p>
    <w:p>
      <w:pPr>
        <w:pStyle w:val="Heading2"/>
        <w:spacing w:after="120" w:before="300"/>
      </w:pPr>
      <w:r>
        <w:rPr>
          <w:rFonts w:ascii="Georgia" w:cs="Georgia" w:eastAsia="Georgia" w:hAnsi="Georgia"/>
          <w:b/>
          <w:bCs/>
          <w:color w:val="A84B12"/>
          <w:sz w:val="23"/>
          <w:szCs w:val="23"/>
        </w:rPr>
        <w:t xml:space="preserve">3.3  Why existing channels do not close it</w:t>
      </w:r>
    </w:p>
    <w:p>
      <w:pPr>
        <w:spacing w:after="140" w:line="276"/>
        <w:jc w:val="both"/>
      </w:pPr>
      <w:r>
        <w:rPr>
          <w:rFonts w:ascii="Calibri" w:cs="Calibri" w:eastAsia="Calibri" w:hAnsi="Calibri"/>
          <w:color w:val="20262B"/>
          <w:sz w:val="21"/>
          <w:szCs w:val="21"/>
        </w:rPr>
        <w:t xml:space="preserve">It is fair to ask why the Learning Management System, the messaging groups and the certification academies do not already solve this. Briefly:</w:t>
      </w:r>
    </w:p>
    <w:p>
      <w:pPr>
        <w:pStyle w:val="ListParagraph"/>
        <w:numPr>
          <w:ilvl w:val="0"/>
          <w:numId w:val="2"/>
        </w:numPr>
        <w:spacing w:after="80" w:line="268"/>
        <w:jc w:val="both"/>
      </w:pPr>
      <w:r>
        <w:rPr>
          <w:rFonts w:ascii="Calibri" w:cs="Calibri" w:eastAsia="Calibri" w:hAnsi="Calibri"/>
          <w:color w:val="20262B"/>
          <w:sz w:val="21"/>
          <w:szCs w:val="21"/>
        </w:rPr>
        <w:t xml:space="preserve">The Learning Management System is correctly optimised for instruction and assessment. Adding voluntary project collaboration, contribution tracking and public portfolios to it would distort a system that must remain authoritative for grades.</w:t>
      </w:r>
    </w:p>
    <w:p>
      <w:pPr>
        <w:pStyle w:val="ListParagraph"/>
        <w:numPr>
          <w:ilvl w:val="0"/>
          <w:numId w:val="2"/>
        </w:numPr>
        <w:spacing w:after="80" w:line="268"/>
        <w:jc w:val="both"/>
      </w:pPr>
      <w:r>
        <w:rPr>
          <w:rFonts w:ascii="Calibri" w:cs="Calibri" w:eastAsia="Calibri" w:hAnsi="Calibri"/>
          <w:color w:val="20262B"/>
          <w:sz w:val="21"/>
          <w:szCs w:val="21"/>
        </w:rPr>
        <w:t xml:space="preserve">Messaging groups have no memory, no structure and no evidence. A brilliant piece of collaborative work in a group chat is invisible to a future employer and to the University.</w:t>
      </w:r>
    </w:p>
    <w:p>
      <w:pPr>
        <w:pStyle w:val="ListParagraph"/>
        <w:numPr>
          <w:ilvl w:val="0"/>
          <w:numId w:val="2"/>
        </w:numPr>
        <w:spacing w:after="80" w:line="268"/>
        <w:jc w:val="both"/>
      </w:pPr>
      <w:r>
        <w:rPr>
          <w:rFonts w:ascii="Calibri" w:cs="Calibri" w:eastAsia="Calibri" w:hAnsi="Calibri"/>
          <w:color w:val="20262B"/>
          <w:sz w:val="21"/>
          <w:szCs w:val="21"/>
        </w:rPr>
        <w:t xml:space="preserve">Certification pathways confer credentials, but they are individual and self-paced by design. They do not create teams, and they do not produce the artefact of a delivered project.</w:t>
      </w:r>
    </w:p>
    <w:p>
      <w:pPr>
        <w:spacing w:after="60"/>
      </w:pPr>
      <w:r>
        <w:t xml:space="preserve"/>
      </w:r>
    </w:p>
    <w:p>
      <w:pPr>
        <w:spacing w:after="140" w:line="276"/>
        <w:jc w:val="both"/>
      </w:pPr>
      <w:r>
        <w:rPr>
          <w:rFonts w:ascii="Calibri" w:cs="Calibri" w:eastAsia="Calibri" w:hAnsi="Calibri"/>
          <w:color w:val="20262B"/>
          <w:sz w:val="21"/>
          <w:szCs w:val="21"/>
        </w:rPr>
        <w:t xml:space="preserve">What is missing is a structured, persistent, cross-disciplinary space in which voluntary work is proposed, staffed, built, documented, reviewed and recorded. That is the whole of what FORGE proposes to provide.</w:t>
      </w:r>
    </w:p>
    <w:p>
      <w:pPr>
        <w:pStyle w:val="Heading1"/>
        <w:pBdr>
          <w:bottom w:val="single" w:color="A84B12" w:sz="10" w:space="6"/>
        </w:pBdr>
        <w:spacing w:after="200" w:before="400"/>
      </w:pPr>
      <w:r>
        <w:rPr>
          <w:rFonts w:ascii="Georgia" w:cs="Georgia" w:eastAsia="Georgia" w:hAnsi="Georgia"/>
          <w:b/>
          <w:bCs/>
          <w:color w:val="1C2B36"/>
          <w:sz w:val="30"/>
          <w:szCs w:val="30"/>
        </w:rPr>
        <w:t xml:space="preserve">4.  Alignment with University Strategy</w:t>
      </w:r>
    </w:p>
    <w:p>
      <w:pPr>
        <w:spacing w:after="140" w:line="276"/>
        <w:jc w:val="both"/>
      </w:pPr>
      <w:r>
        <w:rPr>
          <w:rFonts w:ascii="Calibri" w:cs="Calibri" w:eastAsia="Calibri" w:hAnsi="Calibri"/>
          <w:color w:val="20262B"/>
          <w:sz w:val="21"/>
          <w:szCs w:val="21"/>
        </w:rPr>
        <w:t xml:space="preserve">This proposal does not ask the University to adopt a new strategic direction. It asks the University to permit a student led mechanism for delivering directions it has already chosen. The table below sets out the correspondence.</w:t>
      </w:r>
    </w:p>
    <w:p>
      <w:pPr>
        <w:spacing w:after="6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600"/>
        <w:gridCol w:w="5470"/>
      </w:tblGrid>
      <w:tr>
        <w:trPr>
          <w:tblHeader/>
        </w:trPr>
        <w:tc>
          <w:tcPr>
            <w:tcW w:type="dxa" w:w="3600"/>
            <w:tcBorders>
              <w:top w:val="single" w:color="A84B12" w:sz="3"/>
              <w:left w:val="none" w:color="FFFFFF" w:sz="0"/>
              <w:bottom w:val="single" w:color="A84B12" w:sz="6"/>
              <w:right w:val="none" w:color="FFFFFF" w:sz="0"/>
            </w:tcBorders>
            <w:shd w:fill="F3E9DF" w:color="auto" w:val="clear"/>
            <w:tcMar>
              <w:top w:type="dxa" w:w="90"/>
              <w:left w:type="dxa" w:w="130"/>
              <w:bottom w:type="dxa" w:w="90"/>
              <w:right w:type="dxa" w:w="130"/>
            </w:tcMar>
          </w:tcPr>
          <w:p>
            <w:pPr>
              <w:spacing w:after="60" w:before="60" w:line="250"/>
              <w:jc w:val="left"/>
            </w:pPr>
            <w:r>
              <w:rPr>
                <w:rFonts w:ascii="Calibri" w:cs="Calibri" w:eastAsia="Calibri" w:hAnsi="Calibri"/>
                <w:b/>
                <w:bCs/>
                <w:color w:val="1C2B36"/>
                <w:sz w:val="19"/>
                <w:szCs w:val="19"/>
              </w:rPr>
              <w:t xml:space="preserve">Stated institutional priority</w:t>
            </w:r>
          </w:p>
        </w:tc>
        <w:tc>
          <w:tcPr>
            <w:tcW w:type="dxa" w:w="5470"/>
            <w:tcBorders>
              <w:top w:val="single" w:color="A84B12" w:sz="3"/>
              <w:left w:val="none" w:color="FFFFFF" w:sz="0"/>
              <w:bottom w:val="single" w:color="A84B12" w:sz="6"/>
              <w:right w:val="none" w:color="FFFFFF" w:sz="0"/>
            </w:tcBorders>
            <w:shd w:fill="F3E9DF" w:color="auto" w:val="clear"/>
            <w:tcMar>
              <w:top w:type="dxa" w:w="90"/>
              <w:left w:type="dxa" w:w="130"/>
              <w:bottom w:type="dxa" w:w="90"/>
              <w:right w:type="dxa" w:w="130"/>
            </w:tcMar>
          </w:tcPr>
          <w:p>
            <w:pPr>
              <w:spacing w:after="60" w:before="60" w:line="250"/>
              <w:jc w:val="left"/>
            </w:pPr>
            <w:r>
              <w:rPr>
                <w:rFonts w:ascii="Calibri" w:cs="Calibri" w:eastAsia="Calibri" w:hAnsi="Calibri"/>
                <w:b/>
                <w:bCs/>
                <w:color w:val="1C2B36"/>
                <w:sz w:val="19"/>
                <w:szCs w:val="19"/>
              </w:rPr>
              <w:t xml:space="preserve">Contribution of FORGE</w:t>
            </w:r>
          </w:p>
        </w:tc>
      </w:tr>
      <w:tr>
        <w:trPr>
          <w:tblHeader w:val="false"/>
        </w:trPr>
        <w:tc>
          <w:tcPr>
            <w:tcW w:type="dxa" w:w="36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color w:val="20262B"/>
                <w:sz w:val="19"/>
                <w:szCs w:val="19"/>
              </w:rPr>
              <w:t xml:space="preserve">Technology enabled, learner centred education</w:t>
            </w:r>
          </w:p>
        </w:tc>
        <w:tc>
          <w:tcPr>
            <w:tcW w:type="dxa" w:w="547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color w:val="20262B"/>
                <w:sz w:val="19"/>
                <w:szCs w:val="19"/>
              </w:rPr>
              <w:t xml:space="preserve">Provides a practical environment in which learners apply, rather than only receive, what is taught.</w:t>
            </w:r>
          </w:p>
        </w:tc>
      </w:tr>
      <w:tr>
        <w:trPr>
          <w:tblHeader w:val="false"/>
        </w:trPr>
        <w:tc>
          <w:tcPr>
            <w:tcW w:type="dxa" w:w="36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color w:val="20262B"/>
                <w:sz w:val="19"/>
                <w:szCs w:val="19"/>
              </w:rPr>
              <w:t xml:space="preserve">Peer learner support and learner communities</w:t>
            </w:r>
          </w:p>
        </w:tc>
        <w:tc>
          <w:tcPr>
            <w:tcW w:type="dxa" w:w="547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color w:val="20262B"/>
                <w:sz w:val="19"/>
                <w:szCs w:val="19"/>
              </w:rPr>
              <w:t xml:space="preserve">Creates structured peer collaboration with visible roles, tasks and outcomes, in place of informal messaging groups.</w:t>
            </w:r>
          </w:p>
        </w:tc>
      </w:tr>
      <w:tr>
        <w:trPr>
          <w:tblHeader w:val="false"/>
        </w:trPr>
        <w:tc>
          <w:tcPr>
            <w:tcW w:type="dxa" w:w="36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color w:val="20262B"/>
                <w:sz w:val="19"/>
                <w:szCs w:val="19"/>
              </w:rPr>
              <w:t xml:space="preserve">Innovation, research and entrepreneurship</w:t>
            </w:r>
          </w:p>
        </w:tc>
        <w:tc>
          <w:tcPr>
            <w:tcW w:type="dxa" w:w="547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color w:val="20262B"/>
                <w:sz w:val="19"/>
                <w:szCs w:val="19"/>
              </w:rPr>
              <w:t xml:space="preserve">Establishes a pipeline in which a student idea becomes a documented prototype, and the best prototypes become candidates for incubation or research supervision.</w:t>
            </w:r>
          </w:p>
        </w:tc>
      </w:tr>
      <w:tr>
        <w:trPr>
          <w:tblHeader w:val="false"/>
        </w:trPr>
        <w:tc>
          <w:tcPr>
            <w:tcW w:type="dxa" w:w="36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color w:val="20262B"/>
                <w:sz w:val="19"/>
                <w:szCs w:val="19"/>
              </w:rPr>
              <w:t xml:space="preserve">Industry linkage and employability</w:t>
            </w:r>
          </w:p>
        </w:tc>
        <w:tc>
          <w:tcPr>
            <w:tcW w:type="dxa" w:w="547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color w:val="20262B"/>
                <w:sz w:val="19"/>
                <w:szCs w:val="19"/>
              </w:rPr>
              <w:t xml:space="preserve">Produces verifiable evidence of practical competence that employers and internship providers can inspect directly.</w:t>
            </w:r>
          </w:p>
        </w:tc>
      </w:tr>
      <w:tr>
        <w:trPr>
          <w:tblHeader w:val="false"/>
        </w:trPr>
        <w:tc>
          <w:tcPr>
            <w:tcW w:type="dxa" w:w="36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color w:val="20262B"/>
                <w:sz w:val="19"/>
                <w:szCs w:val="19"/>
              </w:rPr>
              <w:t xml:space="preserve">Growth toward a very large enrolment</w:t>
            </w:r>
          </w:p>
        </w:tc>
        <w:tc>
          <w:tcPr>
            <w:tcW w:type="dxa" w:w="547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color w:val="20262B"/>
                <w:sz w:val="19"/>
                <w:szCs w:val="19"/>
              </w:rPr>
              <w:t xml:space="preserve">Scales through peer effort rather than staff effort, and therefore becomes stronger as the student body grows.</w:t>
            </w:r>
          </w:p>
        </w:tc>
      </w:tr>
      <w:tr>
        <w:trPr>
          <w:tblHeader w:val="false"/>
        </w:trPr>
        <w:tc>
          <w:tcPr>
            <w:tcW w:type="dxa" w:w="36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color w:val="20262B"/>
                <w:sz w:val="19"/>
                <w:szCs w:val="19"/>
              </w:rPr>
              <w:t xml:space="preserve">Core values of Excellence, Inclusivity, Innovation and Integrity</w:t>
            </w:r>
          </w:p>
        </w:tc>
        <w:tc>
          <w:tcPr>
            <w:tcW w:type="dxa" w:w="547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color w:val="20262B"/>
                <w:sz w:val="19"/>
                <w:szCs w:val="19"/>
              </w:rPr>
              <w:t xml:space="preserve">Rewards demonstrated contribution rather than popularity, is open to every school without prerequisite, and records evidence rather than claims.</w:t>
            </w:r>
          </w:p>
        </w:tc>
      </w:tr>
    </w:tbl>
    <w:p>
      <w:pPr>
        <w:spacing w:after="220" w:before="100"/>
      </w:pPr>
      <w:r>
        <w:rPr>
          <w:rFonts w:ascii="Calibri" w:cs="Calibri" w:eastAsia="Calibri" w:hAnsi="Calibri"/>
          <w:i/>
          <w:iCs/>
          <w:color w:val="6B6560"/>
          <w:sz w:val="17"/>
          <w:szCs w:val="17"/>
        </w:rPr>
        <w:t xml:space="preserve">Table 1: Correspondence between institutional priorities and the proposed initiative.</w:t>
      </w:r>
    </w:p>
    <w:p>
      <w:pPr>
        <w:spacing w:after="140" w:line="276"/>
        <w:jc w:val="both"/>
      </w:pPr>
      <w:r>
        <w:rPr>
          <w:rFonts w:ascii="Calibri" w:cs="Calibri" w:eastAsia="Calibri" w:hAnsi="Calibri"/>
          <w:color w:val="20262B"/>
          <w:sz w:val="21"/>
          <w:szCs w:val="21"/>
        </w:rPr>
        <w:t xml:space="preserve">The practical significance of this alignment is that the proposal can be assessed on a single question. The University has already decided that practical digital competence, peer community and innovation matter. The question before Management is therefore not whether these objectives are worth pursuing, but whether this particular student led mechanism is a credible and low risk way to pursue them.</w:t>
      </w:r>
    </w:p>
    <w:p>
      <w:pPr>
        <w:pStyle w:val="Heading1"/>
        <w:pBdr>
          <w:bottom w:val="single" w:color="A84B12" w:sz="10" w:space="6"/>
        </w:pBdr>
        <w:spacing w:after="200" w:before="400"/>
      </w:pPr>
      <w:r>
        <w:rPr>
          <w:rFonts w:ascii="Georgia" w:cs="Georgia" w:eastAsia="Georgia" w:hAnsi="Georgia"/>
          <w:b/>
          <w:bCs/>
          <w:color w:val="1C2B36"/>
          <w:sz w:val="30"/>
          <w:szCs w:val="30"/>
        </w:rPr>
        <w:t xml:space="preserve">5.  The Proposed Initiative</w:t>
      </w:r>
    </w:p>
    <w:p>
      <w:pPr>
        <w:pStyle w:val="Heading2"/>
        <w:spacing w:after="120" w:before="300"/>
      </w:pPr>
      <w:r>
        <w:rPr>
          <w:rFonts w:ascii="Georgia" w:cs="Georgia" w:eastAsia="Georgia" w:hAnsi="Georgia"/>
          <w:b/>
          <w:bCs/>
          <w:color w:val="A84B12"/>
          <w:sz w:val="23"/>
          <w:szCs w:val="23"/>
        </w:rPr>
        <w:t xml:space="preserve">5.1  Definition</w:t>
      </w:r>
    </w:p>
    <w:p>
      <w:pPr>
        <w:spacing w:after="140" w:line="276"/>
        <w:jc w:val="both"/>
      </w:pPr>
      <w:r>
        <w:rPr>
          <w:rFonts w:ascii="Calibri" w:cs="Calibri" w:eastAsia="Calibri" w:hAnsi="Calibri"/>
          <w:color w:val="20262B"/>
          <w:sz w:val="21"/>
          <w:szCs w:val="21"/>
        </w:rPr>
        <w:t xml:space="preserve">FORGE is a voluntary, student led project and collaboration ecosystem powered by the Open University of Kenya, in which students of any school may propose projects, form teams across disciplines, receive light touch mentorship from volunteer academic staff and alumni, build and document real work, demonstrate it publicly, and accumulate a verified record of their contribution.</w:t>
      </w:r>
    </w:p>
    <w:p>
      <w:pPr>
        <w:pStyle w:val="Heading2"/>
        <w:spacing w:after="120" w:before="300"/>
      </w:pPr>
      <w:r>
        <w:rPr>
          <w:rFonts w:ascii="Georgia" w:cs="Georgia" w:eastAsia="Georgia" w:hAnsi="Georgia"/>
          <w:b/>
          <w:bCs/>
          <w:color w:val="A84B12"/>
          <w:sz w:val="23"/>
          <w:szCs w:val="23"/>
        </w:rPr>
        <w:t xml:space="preserve">5.2  Guiding principles</w:t>
      </w:r>
    </w:p>
    <w:p>
      <w:pPr>
        <w:spacing w:after="140" w:line="276"/>
        <w:jc w:val="both"/>
      </w:pPr>
      <w:r>
        <w:rPr>
          <w:rFonts w:ascii="Calibri" w:cs="Calibri" w:eastAsia="Calibri" w:hAnsi="Calibri"/>
          <w:color w:val="20262B"/>
          <w:sz w:val="21"/>
          <w:szCs w:val="21"/>
        </w:rPr>
        <w:t xml:space="preserve">The following principles are proposed as binding on the initiative, and are offered to the University as commitments rather than aspirations.</w:t>
      </w:r>
    </w:p>
    <w:p>
      <w:pPr>
        <w:pStyle w:val="ListParagraph"/>
        <w:numPr>
          <w:ilvl w:val="0"/>
          <w:numId w:val="3"/>
        </w:numPr>
        <w:spacing w:after="100" w:line="272"/>
        <w:jc w:val="both"/>
      </w:pPr>
      <w:r>
        <w:rPr>
          <w:rFonts w:ascii="Calibri" w:cs="Calibri" w:eastAsia="Calibri" w:hAnsi="Calibri"/>
          <w:color w:val="20262B"/>
          <w:sz w:val="21"/>
          <w:szCs w:val="21"/>
        </w:rPr>
        <w:t xml:space="preserve">Voluntary in every direction. No student is required to participate and no member of staff is required to mentor. Participation that must be compelled is not worth having, and compulsion would immediately turn the initiative into an administrative burden.</w:t>
      </w:r>
    </w:p>
    <w:p>
      <w:pPr>
        <w:pStyle w:val="ListParagraph"/>
        <w:numPr>
          <w:ilvl w:val="0"/>
          <w:numId w:val="3"/>
        </w:numPr>
        <w:spacing w:after="100" w:line="272"/>
        <w:jc w:val="both"/>
      </w:pPr>
      <w:r>
        <w:rPr>
          <w:rFonts w:ascii="Calibri" w:cs="Calibri" w:eastAsia="Calibri" w:hAnsi="Calibri"/>
          <w:color w:val="20262B"/>
          <w:sz w:val="21"/>
          <w:szCs w:val="21"/>
        </w:rPr>
        <w:t xml:space="preserve">Never a substitute for the curriculum. FORGE awards no academic credit, sets no examinations and issues nothing that could be mistaken for a University qualification. It complements the Learning Management System and stays out of its territory.</w:t>
      </w:r>
    </w:p>
    <w:p>
      <w:pPr>
        <w:pStyle w:val="ListParagraph"/>
        <w:numPr>
          <w:ilvl w:val="0"/>
          <w:numId w:val="3"/>
        </w:numPr>
        <w:spacing w:after="100" w:line="272"/>
        <w:jc w:val="both"/>
      </w:pPr>
      <w:r>
        <w:rPr>
          <w:rFonts w:ascii="Calibri" w:cs="Calibri" w:eastAsia="Calibri" w:hAnsi="Calibri"/>
          <w:color w:val="20262B"/>
          <w:sz w:val="21"/>
          <w:szCs w:val="21"/>
        </w:rPr>
        <w:t xml:space="preserve">Evidence before claims. A student may not simply assert a skill. Recognition follows from work that has been submitted, reviewed and recorded.</w:t>
      </w:r>
    </w:p>
    <w:p>
      <w:pPr>
        <w:pStyle w:val="ListParagraph"/>
        <w:numPr>
          <w:ilvl w:val="0"/>
          <w:numId w:val="3"/>
        </w:numPr>
        <w:spacing w:after="100" w:line="272"/>
        <w:jc w:val="both"/>
      </w:pPr>
      <w:r>
        <w:rPr>
          <w:rFonts w:ascii="Calibri" w:cs="Calibri" w:eastAsia="Calibri" w:hAnsi="Calibri"/>
          <w:color w:val="20262B"/>
          <w:sz w:val="21"/>
          <w:szCs w:val="21"/>
        </w:rPr>
        <w:t xml:space="preserve">Cross-disciplinary by default. Every school is welcome from the first day. The initiative is not a computing club.</w:t>
      </w:r>
    </w:p>
    <w:p>
      <w:pPr>
        <w:pStyle w:val="ListParagraph"/>
        <w:numPr>
          <w:ilvl w:val="0"/>
          <w:numId w:val="3"/>
        </w:numPr>
        <w:spacing w:after="100" w:line="272"/>
        <w:jc w:val="both"/>
      </w:pPr>
      <w:r>
        <w:rPr>
          <w:rFonts w:ascii="Calibri" w:cs="Calibri" w:eastAsia="Calibri" w:hAnsi="Calibri"/>
          <w:color w:val="20262B"/>
          <w:sz w:val="21"/>
          <w:szCs w:val="21"/>
        </w:rPr>
        <w:t xml:space="preserve">Students own what they create. The University’s support does not transfer ownership of student work to the platform or to any individual.</w:t>
      </w:r>
    </w:p>
    <w:p>
      <w:pPr>
        <w:pStyle w:val="ListParagraph"/>
        <w:numPr>
          <w:ilvl w:val="0"/>
          <w:numId w:val="3"/>
        </w:numPr>
        <w:spacing w:after="100" w:line="272"/>
        <w:jc w:val="both"/>
      </w:pPr>
      <w:r>
        <w:rPr>
          <w:rFonts w:ascii="Calibri" w:cs="Calibri" w:eastAsia="Calibri" w:hAnsi="Calibri"/>
          <w:color w:val="20262B"/>
          <w:sz w:val="21"/>
          <w:szCs w:val="21"/>
        </w:rPr>
        <w:t xml:space="preserve">Light on the institution. The first version is designed, built and maintained by student volunteers, and asks the University for permission and guidance rather than money.</w:t>
      </w:r>
    </w:p>
    <w:p>
      <w:pPr>
        <w:pStyle w:val="ListParagraph"/>
        <w:numPr>
          <w:ilvl w:val="0"/>
          <w:numId w:val="3"/>
        </w:numPr>
        <w:spacing w:after="100" w:line="272"/>
        <w:jc w:val="both"/>
      </w:pPr>
      <w:r>
        <w:rPr>
          <w:rFonts w:ascii="Calibri" w:cs="Calibri" w:eastAsia="Calibri" w:hAnsi="Calibri"/>
          <w:color w:val="20262B"/>
          <w:sz w:val="21"/>
          <w:szCs w:val="21"/>
        </w:rPr>
        <w:t xml:space="preserve">Safe by construction. Personal data is minimised, access is role based, moderation is active, and any technical exercise that could touch live systems is confined to isolated environments.</w:t>
      </w:r>
    </w:p>
    <w:p>
      <w:pPr>
        <w:pStyle w:val="Heading2"/>
        <w:spacing w:after="120" w:before="300"/>
      </w:pPr>
      <w:r>
        <w:rPr>
          <w:rFonts w:ascii="Georgia" w:cs="Georgia" w:eastAsia="Georgia" w:hAnsi="Georgia"/>
          <w:b/>
          <w:bCs/>
          <w:color w:val="A84B12"/>
          <w:sz w:val="23"/>
          <w:szCs w:val="23"/>
        </w:rPr>
        <w:t xml:space="preserve">5.3  The boundary with the Learning Management System</w:t>
      </w:r>
    </w:p>
    <w:p>
      <w:pPr>
        <w:spacing w:after="140" w:line="276"/>
        <w:jc w:val="both"/>
      </w:pPr>
      <w:r>
        <w:rPr>
          <w:rFonts w:ascii="Calibri" w:cs="Calibri" w:eastAsia="Calibri" w:hAnsi="Calibri"/>
          <w:color w:val="20262B"/>
          <w:sz w:val="21"/>
          <w:szCs w:val="21"/>
        </w:rPr>
        <w:t xml:space="preserve">This boundary is stated explicitly because it is the point on which a proposal of this kind is most likely to raise legitimate institutional concern.</w:t>
      </w:r>
    </w:p>
    <w:p>
      <w:pPr>
        <w:spacing w:after="6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900"/>
        <w:gridCol w:w="3585"/>
        <w:gridCol w:w="3585"/>
      </w:tblGrid>
      <w:tr>
        <w:trPr>
          <w:tblHeader/>
        </w:trPr>
        <w:tc>
          <w:tcPr>
            <w:tcW w:type="dxa" w:w="1900"/>
            <w:tcBorders>
              <w:top w:val="single" w:color="A84B12" w:sz="3"/>
              <w:left w:val="none" w:color="FFFFFF" w:sz="0"/>
              <w:bottom w:val="single" w:color="A84B12" w:sz="6"/>
              <w:right w:val="none" w:color="FFFFFF" w:sz="0"/>
            </w:tcBorders>
            <w:shd w:fill="F3E9DF" w:color="auto" w:val="clear"/>
            <w:tcMar>
              <w:top w:type="dxa" w:w="90"/>
              <w:left w:type="dxa" w:w="130"/>
              <w:bottom w:type="dxa" w:w="90"/>
              <w:right w:type="dxa" w:w="130"/>
            </w:tcMar>
          </w:tcPr>
          <w:p>
            <w:pPr>
              <w:spacing w:after="60" w:before="60" w:line="250"/>
              <w:jc w:val="left"/>
            </w:pPr>
            <w:r>
              <w:rPr>
                <w:rFonts w:ascii="Calibri" w:cs="Calibri" w:eastAsia="Calibri" w:hAnsi="Calibri"/>
                <w:b/>
                <w:bCs/>
                <w:color w:val="1C2B36"/>
                <w:sz w:val="19"/>
                <w:szCs w:val="19"/>
              </w:rPr>
              <w:t xml:space="preserve"/>
            </w:r>
          </w:p>
        </w:tc>
        <w:tc>
          <w:tcPr>
            <w:tcW w:type="dxa" w:w="3585"/>
            <w:tcBorders>
              <w:top w:val="single" w:color="A84B12" w:sz="3"/>
              <w:left w:val="none" w:color="FFFFFF" w:sz="0"/>
              <w:bottom w:val="single" w:color="A84B12" w:sz="6"/>
              <w:right w:val="none" w:color="FFFFFF" w:sz="0"/>
            </w:tcBorders>
            <w:shd w:fill="F3E9DF" w:color="auto" w:val="clear"/>
            <w:tcMar>
              <w:top w:type="dxa" w:w="90"/>
              <w:left w:type="dxa" w:w="130"/>
              <w:bottom w:type="dxa" w:w="90"/>
              <w:right w:type="dxa" w:w="130"/>
            </w:tcMar>
          </w:tcPr>
          <w:p>
            <w:pPr>
              <w:spacing w:after="60" w:before="60" w:line="250"/>
              <w:jc w:val="left"/>
            </w:pPr>
            <w:r>
              <w:rPr>
                <w:rFonts w:ascii="Calibri" w:cs="Calibri" w:eastAsia="Calibri" w:hAnsi="Calibri"/>
                <w:b/>
                <w:bCs/>
                <w:color w:val="1C2B36"/>
                <w:sz w:val="19"/>
                <w:szCs w:val="19"/>
              </w:rPr>
              <w:t xml:space="preserve">Learning Management System</w:t>
            </w:r>
          </w:p>
        </w:tc>
        <w:tc>
          <w:tcPr>
            <w:tcW w:type="dxa" w:w="3585"/>
            <w:tcBorders>
              <w:top w:val="single" w:color="A84B12" w:sz="3"/>
              <w:left w:val="none" w:color="FFFFFF" w:sz="0"/>
              <w:bottom w:val="single" w:color="A84B12" w:sz="6"/>
              <w:right w:val="none" w:color="FFFFFF" w:sz="0"/>
            </w:tcBorders>
            <w:shd w:fill="F3E9DF" w:color="auto" w:val="clear"/>
            <w:tcMar>
              <w:top w:type="dxa" w:w="90"/>
              <w:left w:type="dxa" w:w="130"/>
              <w:bottom w:type="dxa" w:w="90"/>
              <w:right w:type="dxa" w:w="130"/>
            </w:tcMar>
          </w:tcPr>
          <w:p>
            <w:pPr>
              <w:spacing w:after="60" w:before="60" w:line="250"/>
              <w:jc w:val="left"/>
            </w:pPr>
            <w:r>
              <w:rPr>
                <w:rFonts w:ascii="Calibri" w:cs="Calibri" w:eastAsia="Calibri" w:hAnsi="Calibri"/>
                <w:b/>
                <w:bCs/>
                <w:color w:val="1C2B36"/>
                <w:sz w:val="19"/>
                <w:szCs w:val="19"/>
              </w:rPr>
              <w:t xml:space="preserve">FORGE</w:t>
            </w:r>
          </w:p>
        </w:tc>
      </w:tr>
      <w:tr>
        <w:trPr>
          <w:tblHeader w:val="false"/>
        </w:trPr>
        <w:tc>
          <w:tcPr>
            <w:tcW w:type="dxa" w:w="19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bCs/>
                <w:color w:val="20262B"/>
                <w:sz w:val="19"/>
                <w:szCs w:val="19"/>
              </w:rPr>
              <w:t xml:space="preserve">Purpose</w:t>
            </w:r>
          </w:p>
        </w:tc>
        <w:tc>
          <w:tcPr>
            <w:tcW w:type="dxa" w:w="3585"/>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val="false"/>
                <w:bCs w:val="false"/>
                <w:color w:val="20262B"/>
                <w:sz w:val="19"/>
                <w:szCs w:val="19"/>
              </w:rPr>
              <w:t xml:space="preserve">Formal instruction, assessment and certification</w:t>
            </w:r>
          </w:p>
        </w:tc>
        <w:tc>
          <w:tcPr>
            <w:tcW w:type="dxa" w:w="3585"/>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val="false"/>
                <w:bCs w:val="false"/>
                <w:color w:val="20262B"/>
                <w:sz w:val="19"/>
                <w:szCs w:val="19"/>
              </w:rPr>
              <w:t xml:space="preserve">Voluntary application of learning through projects</w:t>
            </w:r>
          </w:p>
        </w:tc>
      </w:tr>
      <w:tr>
        <w:trPr>
          <w:tblHeader w:val="false"/>
        </w:trPr>
        <w:tc>
          <w:tcPr>
            <w:tcW w:type="dxa" w:w="19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bCs/>
                <w:color w:val="20262B"/>
                <w:sz w:val="19"/>
                <w:szCs w:val="19"/>
              </w:rPr>
              <w:t xml:space="preserve">Participation</w:t>
            </w:r>
          </w:p>
        </w:tc>
        <w:tc>
          <w:tcPr>
            <w:tcW w:type="dxa" w:w="3585"/>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val="false"/>
                <w:bCs w:val="false"/>
                <w:color w:val="20262B"/>
                <w:sz w:val="19"/>
                <w:szCs w:val="19"/>
              </w:rPr>
              <w:t xml:space="preserve">Compulsory, tied to registration in a unit</w:t>
            </w:r>
          </w:p>
        </w:tc>
        <w:tc>
          <w:tcPr>
            <w:tcW w:type="dxa" w:w="3585"/>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val="false"/>
                <w:bCs w:val="false"/>
                <w:color w:val="20262B"/>
                <w:sz w:val="19"/>
                <w:szCs w:val="19"/>
              </w:rPr>
              <w:t xml:space="preserve">Optional, by student interest</w:t>
            </w:r>
          </w:p>
        </w:tc>
      </w:tr>
      <w:tr>
        <w:trPr>
          <w:tblHeader w:val="false"/>
        </w:trPr>
        <w:tc>
          <w:tcPr>
            <w:tcW w:type="dxa" w:w="19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bCs/>
                <w:color w:val="20262B"/>
                <w:sz w:val="19"/>
                <w:szCs w:val="19"/>
              </w:rPr>
              <w:t xml:space="preserve">Who sets the work</w:t>
            </w:r>
          </w:p>
        </w:tc>
        <w:tc>
          <w:tcPr>
            <w:tcW w:type="dxa" w:w="3585"/>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val="false"/>
                <w:bCs w:val="false"/>
                <w:color w:val="20262B"/>
                <w:sz w:val="19"/>
                <w:szCs w:val="19"/>
              </w:rPr>
              <w:t xml:space="preserve">Academic staff, against the curriculum</w:t>
            </w:r>
          </w:p>
        </w:tc>
        <w:tc>
          <w:tcPr>
            <w:tcW w:type="dxa" w:w="3585"/>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val="false"/>
                <w:bCs w:val="false"/>
                <w:color w:val="20262B"/>
                <w:sz w:val="19"/>
                <w:szCs w:val="19"/>
              </w:rPr>
              <w:t xml:space="preserve">Students, subject to mentor review</w:t>
            </w:r>
          </w:p>
        </w:tc>
      </w:tr>
      <w:tr>
        <w:trPr>
          <w:tblHeader w:val="false"/>
        </w:trPr>
        <w:tc>
          <w:tcPr>
            <w:tcW w:type="dxa" w:w="19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bCs/>
                <w:color w:val="20262B"/>
                <w:sz w:val="19"/>
                <w:szCs w:val="19"/>
              </w:rPr>
              <w:t xml:space="preserve">Output</w:t>
            </w:r>
          </w:p>
        </w:tc>
        <w:tc>
          <w:tcPr>
            <w:tcW w:type="dxa" w:w="3585"/>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val="false"/>
                <w:bCs w:val="false"/>
                <w:color w:val="20262B"/>
                <w:sz w:val="19"/>
                <w:szCs w:val="19"/>
              </w:rPr>
              <w:t xml:space="preserve">Grades, transcripts, awards</w:t>
            </w:r>
          </w:p>
        </w:tc>
        <w:tc>
          <w:tcPr>
            <w:tcW w:type="dxa" w:w="3585"/>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val="false"/>
                <w:bCs w:val="false"/>
                <w:color w:val="20262B"/>
                <w:sz w:val="19"/>
                <w:szCs w:val="19"/>
              </w:rPr>
              <w:t xml:space="preserve">Projects, documentation, demonstrations, contribution records</w:t>
            </w:r>
          </w:p>
        </w:tc>
      </w:tr>
      <w:tr>
        <w:trPr>
          <w:tblHeader w:val="false"/>
        </w:trPr>
        <w:tc>
          <w:tcPr>
            <w:tcW w:type="dxa" w:w="19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bCs/>
                <w:color w:val="20262B"/>
                <w:sz w:val="19"/>
                <w:szCs w:val="19"/>
              </w:rPr>
              <w:t xml:space="preserve">Assessment</w:t>
            </w:r>
          </w:p>
        </w:tc>
        <w:tc>
          <w:tcPr>
            <w:tcW w:type="dxa" w:w="3585"/>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val="false"/>
                <w:bCs w:val="false"/>
                <w:color w:val="20262B"/>
                <w:sz w:val="19"/>
                <w:szCs w:val="19"/>
              </w:rPr>
              <w:t xml:space="preserve">Examination and continuous assessment</w:t>
            </w:r>
          </w:p>
        </w:tc>
        <w:tc>
          <w:tcPr>
            <w:tcW w:type="dxa" w:w="3585"/>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val="false"/>
                <w:bCs w:val="false"/>
                <w:color w:val="20262B"/>
                <w:sz w:val="19"/>
                <w:szCs w:val="19"/>
              </w:rPr>
              <w:t xml:space="preserve">Peer review, mentor review and evidence of contribution</w:t>
            </w:r>
          </w:p>
        </w:tc>
      </w:tr>
      <w:tr>
        <w:trPr>
          <w:tblHeader w:val="false"/>
        </w:trPr>
        <w:tc>
          <w:tcPr>
            <w:tcW w:type="dxa" w:w="19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bCs/>
                <w:color w:val="20262B"/>
                <w:sz w:val="19"/>
                <w:szCs w:val="19"/>
              </w:rPr>
              <w:t xml:space="preserve">Staff involvement</w:t>
            </w:r>
          </w:p>
        </w:tc>
        <w:tc>
          <w:tcPr>
            <w:tcW w:type="dxa" w:w="3585"/>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val="false"/>
                <w:bCs w:val="false"/>
                <w:color w:val="20262B"/>
                <w:sz w:val="19"/>
                <w:szCs w:val="19"/>
              </w:rPr>
              <w:t xml:space="preserve">Core teaching duty</w:t>
            </w:r>
          </w:p>
        </w:tc>
        <w:tc>
          <w:tcPr>
            <w:tcW w:type="dxa" w:w="3585"/>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val="false"/>
                <w:bCs w:val="false"/>
                <w:color w:val="20262B"/>
                <w:sz w:val="19"/>
                <w:szCs w:val="19"/>
              </w:rPr>
              <w:t xml:space="preserve">Voluntary, light touch advisory</w:t>
            </w:r>
          </w:p>
        </w:tc>
      </w:tr>
      <w:tr>
        <w:trPr>
          <w:tblHeader w:val="false"/>
        </w:trPr>
        <w:tc>
          <w:tcPr>
            <w:tcW w:type="dxa" w:w="19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bCs/>
                <w:color w:val="20262B"/>
                <w:sz w:val="19"/>
                <w:szCs w:val="19"/>
              </w:rPr>
              <w:t xml:space="preserve">Authority</w:t>
            </w:r>
          </w:p>
        </w:tc>
        <w:tc>
          <w:tcPr>
            <w:tcW w:type="dxa" w:w="3585"/>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val="false"/>
                <w:bCs w:val="false"/>
                <w:color w:val="20262B"/>
                <w:sz w:val="19"/>
                <w:szCs w:val="19"/>
              </w:rPr>
              <w:t xml:space="preserve">Definitive record of academic achievement</w:t>
            </w:r>
          </w:p>
        </w:tc>
        <w:tc>
          <w:tcPr>
            <w:tcW w:type="dxa" w:w="3585"/>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val="false"/>
                <w:bCs w:val="false"/>
                <w:color w:val="20262B"/>
                <w:sz w:val="19"/>
                <w:szCs w:val="19"/>
              </w:rPr>
              <w:t xml:space="preserve">Supplementary record of practical experience only</w:t>
            </w:r>
          </w:p>
        </w:tc>
      </w:tr>
    </w:tbl>
    <w:p>
      <w:pPr>
        <w:spacing w:after="220" w:before="100"/>
      </w:pPr>
      <w:r>
        <w:rPr>
          <w:rFonts w:ascii="Calibri" w:cs="Calibri" w:eastAsia="Calibri" w:hAnsi="Calibri"/>
          <w:i/>
          <w:iCs/>
          <w:color w:val="6B6560"/>
          <w:sz w:val="17"/>
          <w:szCs w:val="17"/>
        </w:rPr>
        <w:t xml:space="preserve">Table 2: The Learning Management System remains authoritative. FORGE claims no academic standing.</w:t>
      </w:r>
    </w:p>
    <w:p>
      <w:pPr>
        <w:pStyle w:val="Heading1"/>
        <w:pBdr>
          <w:bottom w:val="single" w:color="A84B12" w:sz="10" w:space="6"/>
        </w:pBdr>
        <w:spacing w:after="200" w:before="400"/>
      </w:pPr>
      <w:r>
        <w:rPr>
          <w:rFonts w:ascii="Georgia" w:cs="Georgia" w:eastAsia="Georgia" w:hAnsi="Georgia"/>
          <w:b/>
          <w:bCs/>
          <w:color w:val="1C2B36"/>
          <w:sz w:val="30"/>
          <w:szCs w:val="30"/>
        </w:rPr>
        <w:t xml:space="preserve">6.  Objectives</w:t>
      </w:r>
    </w:p>
    <w:p>
      <w:pPr>
        <w:spacing w:after="140" w:line="276"/>
        <w:jc w:val="both"/>
      </w:pPr>
      <w:r>
        <w:rPr>
          <w:rFonts w:ascii="Calibri" w:cs="Calibri" w:eastAsia="Calibri" w:hAnsi="Calibri"/>
          <w:color w:val="20262B"/>
          <w:sz w:val="21"/>
          <w:szCs w:val="21"/>
        </w:rPr>
        <w:t xml:space="preserve">Within the first twelve months of an approved pilot, the initiative would pursue the following objectives. Each is written so that it can be verified rather than merely asserted, and each is measured in Section 20.</w:t>
      </w:r>
    </w:p>
    <w:p>
      <w:pPr>
        <w:pStyle w:val="ListParagraph"/>
        <w:numPr>
          <w:ilvl w:val="0"/>
          <w:numId w:val="4"/>
        </w:numPr>
        <w:spacing w:after="100" w:line="272"/>
        <w:jc w:val="both"/>
      </w:pPr>
      <w:r>
        <w:rPr>
          <w:rFonts w:ascii="Calibri" w:cs="Calibri" w:eastAsia="Calibri" w:hAnsi="Calibri"/>
          <w:color w:val="20262B"/>
          <w:sz w:val="21"/>
          <w:szCs w:val="21"/>
        </w:rPr>
        <w:t xml:space="preserve">To establish a functioning platform on which students of the Open University of Kenya can propose, staff and deliver voluntary projects.</w:t>
      </w:r>
    </w:p>
    <w:p>
      <w:pPr>
        <w:pStyle w:val="ListParagraph"/>
        <w:numPr>
          <w:ilvl w:val="0"/>
          <w:numId w:val="4"/>
        </w:numPr>
        <w:spacing w:after="100" w:line="272"/>
        <w:jc w:val="both"/>
      </w:pPr>
      <w:r>
        <w:rPr>
          <w:rFonts w:ascii="Calibri" w:cs="Calibri" w:eastAsia="Calibri" w:hAnsi="Calibri"/>
          <w:color w:val="20262B"/>
          <w:sz w:val="21"/>
          <w:szCs w:val="21"/>
        </w:rPr>
        <w:t xml:space="preserve">To produce a body of completed, documented student projects that did not previously exist, spanning more than one school.</w:t>
      </w:r>
    </w:p>
    <w:p>
      <w:pPr>
        <w:pStyle w:val="ListParagraph"/>
        <w:numPr>
          <w:ilvl w:val="0"/>
          <w:numId w:val="4"/>
        </w:numPr>
        <w:spacing w:after="100" w:line="272"/>
        <w:jc w:val="both"/>
      </w:pPr>
      <w:r>
        <w:rPr>
          <w:rFonts w:ascii="Calibri" w:cs="Calibri" w:eastAsia="Calibri" w:hAnsi="Calibri"/>
          <w:color w:val="20262B"/>
          <w:sz w:val="21"/>
          <w:szCs w:val="21"/>
        </w:rPr>
        <w:t xml:space="preserve">To give participating students a portfolio record of contribution that can be shown to an employer, an internship provider or a postgraduate admissions committee.</w:t>
      </w:r>
    </w:p>
    <w:p>
      <w:pPr>
        <w:pStyle w:val="ListParagraph"/>
        <w:numPr>
          <w:ilvl w:val="0"/>
          <w:numId w:val="4"/>
        </w:numPr>
        <w:spacing w:after="100" w:line="272"/>
        <w:jc w:val="both"/>
      </w:pPr>
      <w:r>
        <w:rPr>
          <w:rFonts w:ascii="Calibri" w:cs="Calibri" w:eastAsia="Calibri" w:hAnsi="Calibri"/>
          <w:color w:val="20262B"/>
          <w:sz w:val="21"/>
          <w:szCs w:val="21"/>
        </w:rPr>
        <w:t xml:space="preserve">To create structured peer to peer learning and mentorship among a dispersed student body, and thereby to strengthen engagement and retention.</w:t>
      </w:r>
    </w:p>
    <w:p>
      <w:pPr>
        <w:pStyle w:val="ListParagraph"/>
        <w:numPr>
          <w:ilvl w:val="0"/>
          <w:numId w:val="4"/>
        </w:numPr>
        <w:spacing w:after="100" w:line="272"/>
        <w:jc w:val="both"/>
      </w:pPr>
      <w:r>
        <w:rPr>
          <w:rFonts w:ascii="Calibri" w:cs="Calibri" w:eastAsia="Calibri" w:hAnsi="Calibri"/>
          <w:color w:val="20262B"/>
          <w:sz w:val="21"/>
          <w:szCs w:val="21"/>
        </w:rPr>
        <w:t xml:space="preserve">To involve volunteer academic staff as mentors in a form that respects their existing workload.</w:t>
      </w:r>
    </w:p>
    <w:p>
      <w:pPr>
        <w:pStyle w:val="ListParagraph"/>
        <w:numPr>
          <w:ilvl w:val="0"/>
          <w:numId w:val="4"/>
        </w:numPr>
        <w:spacing w:after="100" w:line="272"/>
        <w:jc w:val="both"/>
      </w:pPr>
      <w:r>
        <w:rPr>
          <w:rFonts w:ascii="Calibri" w:cs="Calibri" w:eastAsia="Calibri" w:hAnsi="Calibri"/>
          <w:color w:val="20262B"/>
          <w:sz w:val="21"/>
          <w:szCs w:val="21"/>
        </w:rPr>
        <w:t xml:space="preserve">To connect the University’s existing partnerships, academies and innovation initiatives to continuous everyday student activity.</w:t>
      </w:r>
    </w:p>
    <w:p>
      <w:pPr>
        <w:pStyle w:val="ListParagraph"/>
        <w:numPr>
          <w:ilvl w:val="0"/>
          <w:numId w:val="4"/>
        </w:numPr>
        <w:spacing w:after="100" w:line="272"/>
        <w:jc w:val="both"/>
      </w:pPr>
      <w:r>
        <w:rPr>
          <w:rFonts w:ascii="Calibri" w:cs="Calibri" w:eastAsia="Calibri" w:hAnsi="Calibri"/>
          <w:color w:val="20262B"/>
          <w:sz w:val="21"/>
          <w:szCs w:val="21"/>
        </w:rPr>
        <w:t xml:space="preserve">To generate an evidence base, at the end of the pilot, sufficient for the University to make an informed decision on continuation.</w:t>
      </w:r>
    </w:p>
    <w:p>
      <w:pPr>
        <w:pStyle w:val="Heading1"/>
        <w:pBdr>
          <w:bottom w:val="single" w:color="A84B12" w:sz="10" w:space="6"/>
        </w:pBdr>
        <w:spacing w:after="200" w:before="400"/>
      </w:pPr>
      <w:r>
        <w:rPr>
          <w:rFonts w:ascii="Georgia" w:cs="Georgia" w:eastAsia="Georgia" w:hAnsi="Georgia"/>
          <w:b/>
          <w:bCs/>
          <w:color w:val="1C2B36"/>
          <w:sz w:val="30"/>
          <w:szCs w:val="30"/>
        </w:rPr>
        <w:t xml:space="preserve">7.  Participants and Their Roles</w:t>
      </w:r>
    </w:p>
    <w:p>
      <w:pPr>
        <w:spacing w:after="140" w:line="276"/>
        <w:jc w:val="both"/>
      </w:pPr>
      <w:r>
        <w:rPr>
          <w:rFonts w:ascii="Calibri" w:cs="Calibri" w:eastAsia="Calibri" w:hAnsi="Calibri"/>
          <w:color w:val="20262B"/>
          <w:sz w:val="21"/>
          <w:szCs w:val="21"/>
        </w:rPr>
        <w:t xml:space="preserve">Six categories of participant are envisaged. The design deliberately places the heaviest load on students and the lightest on staff.</w:t>
      </w:r>
    </w:p>
    <w:p>
      <w:pPr>
        <w:spacing w:after="6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100"/>
        <w:gridCol w:w="3400"/>
        <w:gridCol w:w="3570"/>
      </w:tblGrid>
      <w:tr>
        <w:trPr>
          <w:tblHeader/>
        </w:trPr>
        <w:tc>
          <w:tcPr>
            <w:tcW w:type="dxa" w:w="2100"/>
            <w:tcBorders>
              <w:top w:val="single" w:color="A84B12" w:sz="3"/>
              <w:left w:val="none" w:color="FFFFFF" w:sz="0"/>
              <w:bottom w:val="single" w:color="A84B12" w:sz="6"/>
              <w:right w:val="none" w:color="FFFFFF" w:sz="0"/>
            </w:tcBorders>
            <w:shd w:fill="F3E9DF" w:color="auto" w:val="clear"/>
            <w:tcMar>
              <w:top w:type="dxa" w:w="90"/>
              <w:left w:type="dxa" w:w="130"/>
              <w:bottom w:type="dxa" w:w="90"/>
              <w:right w:type="dxa" w:w="130"/>
            </w:tcMar>
          </w:tcPr>
          <w:p>
            <w:pPr>
              <w:spacing w:after="60" w:before="60" w:line="250"/>
              <w:jc w:val="left"/>
            </w:pPr>
            <w:r>
              <w:rPr>
                <w:rFonts w:ascii="Calibri" w:cs="Calibri" w:eastAsia="Calibri" w:hAnsi="Calibri"/>
                <w:b/>
                <w:bCs/>
                <w:color w:val="1C2B36"/>
                <w:sz w:val="19"/>
                <w:szCs w:val="19"/>
              </w:rPr>
              <w:t xml:space="preserve">Participant</w:t>
            </w:r>
          </w:p>
        </w:tc>
        <w:tc>
          <w:tcPr>
            <w:tcW w:type="dxa" w:w="3400"/>
            <w:tcBorders>
              <w:top w:val="single" w:color="A84B12" w:sz="3"/>
              <w:left w:val="none" w:color="FFFFFF" w:sz="0"/>
              <w:bottom w:val="single" w:color="A84B12" w:sz="6"/>
              <w:right w:val="none" w:color="FFFFFF" w:sz="0"/>
            </w:tcBorders>
            <w:shd w:fill="F3E9DF" w:color="auto" w:val="clear"/>
            <w:tcMar>
              <w:top w:type="dxa" w:w="90"/>
              <w:left w:type="dxa" w:w="130"/>
              <w:bottom w:type="dxa" w:w="90"/>
              <w:right w:type="dxa" w:w="130"/>
            </w:tcMar>
          </w:tcPr>
          <w:p>
            <w:pPr>
              <w:spacing w:after="60" w:before="60" w:line="250"/>
              <w:jc w:val="left"/>
            </w:pPr>
            <w:r>
              <w:rPr>
                <w:rFonts w:ascii="Calibri" w:cs="Calibri" w:eastAsia="Calibri" w:hAnsi="Calibri"/>
                <w:b/>
                <w:bCs/>
                <w:color w:val="1C2B36"/>
                <w:sz w:val="19"/>
                <w:szCs w:val="19"/>
              </w:rPr>
              <w:t xml:space="preserve">Role</w:t>
            </w:r>
          </w:p>
        </w:tc>
        <w:tc>
          <w:tcPr>
            <w:tcW w:type="dxa" w:w="3570"/>
            <w:tcBorders>
              <w:top w:val="single" w:color="A84B12" w:sz="3"/>
              <w:left w:val="none" w:color="FFFFFF" w:sz="0"/>
              <w:bottom w:val="single" w:color="A84B12" w:sz="6"/>
              <w:right w:val="none" w:color="FFFFFF" w:sz="0"/>
            </w:tcBorders>
            <w:shd w:fill="F3E9DF" w:color="auto" w:val="clear"/>
            <w:tcMar>
              <w:top w:type="dxa" w:w="90"/>
              <w:left w:type="dxa" w:w="130"/>
              <w:bottom w:type="dxa" w:w="90"/>
              <w:right w:type="dxa" w:w="130"/>
            </w:tcMar>
          </w:tcPr>
          <w:p>
            <w:pPr>
              <w:spacing w:after="60" w:before="60" w:line="250"/>
              <w:jc w:val="left"/>
            </w:pPr>
            <w:r>
              <w:rPr>
                <w:rFonts w:ascii="Calibri" w:cs="Calibri" w:eastAsia="Calibri" w:hAnsi="Calibri"/>
                <w:b/>
                <w:bCs/>
                <w:color w:val="1C2B36"/>
                <w:sz w:val="19"/>
                <w:szCs w:val="19"/>
              </w:rPr>
              <w:t xml:space="preserve">Expected commitment</w:t>
            </w:r>
          </w:p>
        </w:tc>
      </w:tr>
      <w:tr>
        <w:trPr>
          <w:tblHeader w:val="false"/>
        </w:trPr>
        <w:tc>
          <w:tcPr>
            <w:tcW w:type="dxa" w:w="21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bCs/>
                <w:color w:val="20262B"/>
                <w:sz w:val="19"/>
                <w:szCs w:val="19"/>
              </w:rPr>
              <w:t xml:space="preserve">Student member</w:t>
            </w:r>
          </w:p>
        </w:tc>
        <w:tc>
          <w:tcPr>
            <w:tcW w:type="dxa" w:w="34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val="false"/>
                <w:bCs w:val="false"/>
                <w:color w:val="20262B"/>
                <w:sz w:val="19"/>
                <w:szCs w:val="19"/>
              </w:rPr>
              <w:t xml:space="preserve">Joins projects, contributes work, learns from peers, builds a portfolio</w:t>
            </w:r>
          </w:p>
        </w:tc>
        <w:tc>
          <w:tcPr>
            <w:tcW w:type="dxa" w:w="357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val="false"/>
                <w:bCs w:val="false"/>
                <w:color w:val="20262B"/>
                <w:sz w:val="19"/>
                <w:szCs w:val="19"/>
              </w:rPr>
              <w:t xml:space="preserve">Entirely at the student’s discretion</w:t>
            </w:r>
          </w:p>
        </w:tc>
      </w:tr>
      <w:tr>
        <w:trPr>
          <w:tblHeader w:val="false"/>
        </w:trPr>
        <w:tc>
          <w:tcPr>
            <w:tcW w:type="dxa" w:w="21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bCs/>
                <w:color w:val="20262B"/>
                <w:sz w:val="19"/>
                <w:szCs w:val="19"/>
              </w:rPr>
              <w:t xml:space="preserve">Project lead</w:t>
            </w:r>
          </w:p>
        </w:tc>
        <w:tc>
          <w:tcPr>
            <w:tcW w:type="dxa" w:w="34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val="false"/>
                <w:bCs w:val="false"/>
                <w:color w:val="20262B"/>
                <w:sz w:val="19"/>
                <w:szCs w:val="19"/>
              </w:rPr>
              <w:t xml:space="preserve">Proposes a project, defines scope, recruits and coordinates a team, reports progress</w:t>
            </w:r>
          </w:p>
        </w:tc>
        <w:tc>
          <w:tcPr>
            <w:tcW w:type="dxa" w:w="357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val="false"/>
                <w:bCs w:val="false"/>
                <w:color w:val="20262B"/>
                <w:sz w:val="19"/>
                <w:szCs w:val="19"/>
              </w:rPr>
              <w:t xml:space="preserve">Self-selected; typically a few hours weekly during an active project</w:t>
            </w:r>
          </w:p>
        </w:tc>
      </w:tr>
      <w:tr>
        <w:trPr>
          <w:tblHeader w:val="false"/>
        </w:trPr>
        <w:tc>
          <w:tcPr>
            <w:tcW w:type="dxa" w:w="21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bCs/>
                <w:color w:val="20262B"/>
                <w:sz w:val="19"/>
                <w:szCs w:val="19"/>
              </w:rPr>
              <w:t xml:space="preserve">Community lead</w:t>
            </w:r>
          </w:p>
        </w:tc>
        <w:tc>
          <w:tcPr>
            <w:tcW w:type="dxa" w:w="34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val="false"/>
                <w:bCs w:val="false"/>
                <w:color w:val="20262B"/>
                <w:sz w:val="19"/>
                <w:szCs w:val="19"/>
              </w:rPr>
              <w:t xml:space="preserve">Coordinates a discipline area, curates resources, welcomes new members, moderates</w:t>
            </w:r>
          </w:p>
        </w:tc>
        <w:tc>
          <w:tcPr>
            <w:tcW w:type="dxa" w:w="357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val="false"/>
                <w:bCs w:val="false"/>
                <w:color w:val="20262B"/>
                <w:sz w:val="19"/>
                <w:szCs w:val="19"/>
              </w:rPr>
              <w:t xml:space="preserve">Appointed by the student executive for one academic year</w:t>
            </w:r>
          </w:p>
        </w:tc>
      </w:tr>
      <w:tr>
        <w:trPr>
          <w:tblHeader w:val="false"/>
        </w:trPr>
        <w:tc>
          <w:tcPr>
            <w:tcW w:type="dxa" w:w="21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bCs/>
                <w:color w:val="20262B"/>
                <w:sz w:val="19"/>
                <w:szCs w:val="19"/>
              </w:rPr>
              <w:t xml:space="preserve">Faculty mentor</w:t>
            </w:r>
          </w:p>
        </w:tc>
        <w:tc>
          <w:tcPr>
            <w:tcW w:type="dxa" w:w="34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val="false"/>
                <w:bCs w:val="false"/>
                <w:color w:val="20262B"/>
                <w:sz w:val="19"/>
                <w:szCs w:val="19"/>
              </w:rPr>
              <w:t xml:space="preserve">Validates project quality, advises on approach, signs off completion, judges challenges</w:t>
            </w:r>
          </w:p>
        </w:tc>
        <w:tc>
          <w:tcPr>
            <w:tcW w:type="dxa" w:w="357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val="false"/>
                <w:bCs w:val="false"/>
                <w:color w:val="20262B"/>
                <w:sz w:val="19"/>
                <w:szCs w:val="19"/>
              </w:rPr>
              <w:t xml:space="preserve">Voluntary; targeted at two to four hours per month</w:t>
            </w:r>
          </w:p>
        </w:tc>
      </w:tr>
      <w:tr>
        <w:trPr>
          <w:tblHeader w:val="false"/>
        </w:trPr>
        <w:tc>
          <w:tcPr>
            <w:tcW w:type="dxa" w:w="21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bCs/>
                <w:color w:val="20262B"/>
                <w:sz w:val="19"/>
                <w:szCs w:val="19"/>
              </w:rPr>
              <w:t xml:space="preserve">Alumni or industry mentor</w:t>
            </w:r>
          </w:p>
        </w:tc>
        <w:tc>
          <w:tcPr>
            <w:tcW w:type="dxa" w:w="34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val="false"/>
                <w:bCs w:val="false"/>
                <w:color w:val="20262B"/>
                <w:sz w:val="19"/>
                <w:szCs w:val="19"/>
              </w:rPr>
              <w:t xml:space="preserve">Runs occasional sessions, reviews work, opens doors to attachment and employment</w:t>
            </w:r>
          </w:p>
        </w:tc>
        <w:tc>
          <w:tcPr>
            <w:tcW w:type="dxa" w:w="357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val="false"/>
                <w:bCs w:val="false"/>
                <w:color w:val="20262B"/>
                <w:sz w:val="19"/>
                <w:szCs w:val="19"/>
              </w:rPr>
              <w:t xml:space="preserve">Voluntary and occasional</w:t>
            </w:r>
          </w:p>
        </w:tc>
      </w:tr>
      <w:tr>
        <w:trPr>
          <w:tblHeader w:val="false"/>
        </w:trPr>
        <w:tc>
          <w:tcPr>
            <w:tcW w:type="dxa" w:w="21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bCs/>
                <w:color w:val="20262B"/>
                <w:sz w:val="19"/>
                <w:szCs w:val="19"/>
              </w:rPr>
              <w:t xml:space="preserve">Platform team</w:t>
            </w:r>
          </w:p>
        </w:tc>
        <w:tc>
          <w:tcPr>
            <w:tcW w:type="dxa" w:w="34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val="false"/>
                <w:bCs w:val="false"/>
                <w:color w:val="20262B"/>
                <w:sz w:val="19"/>
                <w:szCs w:val="19"/>
              </w:rPr>
              <w:t xml:space="preserve">Builds and maintains the platform itself, as a student engineering team</w:t>
            </w:r>
          </w:p>
        </w:tc>
        <w:tc>
          <w:tcPr>
            <w:tcW w:type="dxa" w:w="357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val="false"/>
                <w:bCs w:val="false"/>
                <w:color w:val="20262B"/>
                <w:sz w:val="19"/>
                <w:szCs w:val="19"/>
              </w:rPr>
              <w:t xml:space="preserve">Student volunteers, coordinated by the technical lead</w:t>
            </w:r>
          </w:p>
        </w:tc>
      </w:tr>
    </w:tbl>
    <w:p>
      <w:pPr>
        <w:spacing w:after="220" w:before="100"/>
      </w:pPr>
      <w:r>
        <w:rPr>
          <w:rFonts w:ascii="Calibri" w:cs="Calibri" w:eastAsia="Calibri" w:hAnsi="Calibri"/>
          <w:i/>
          <w:iCs/>
          <w:color w:val="6B6560"/>
          <w:sz w:val="17"/>
          <w:szCs w:val="17"/>
        </w:rPr>
        <w:t xml:space="preserve">Table 3: Participants and the commitment each is asked to make.</w:t>
      </w:r>
    </w:p>
    <w:p>
      <w:pPr>
        <w:spacing w:after="140" w:line="276"/>
        <w:jc w:val="both"/>
      </w:pPr>
      <w:r>
        <w:rPr>
          <w:rFonts w:ascii="Calibri" w:cs="Calibri" w:eastAsia="Calibri" w:hAnsi="Calibri"/>
          <w:color w:val="20262B"/>
          <w:sz w:val="21"/>
          <w:szCs w:val="21"/>
        </w:rPr>
        <w:t xml:space="preserve">It is worth noting that the platform team is itself an instance of the problem being solved. The students who build FORGE will, in the course of building it, acquire exactly the experience the initiative exists to create: requirements analysis, architecture, code review, testing, deployment, and the discipline of maintaining something other people depend on.</w:t>
      </w:r>
    </w:p>
    <w:p>
      <w:pPr>
        <w:pStyle w:val="Heading1"/>
        <w:pBdr>
          <w:bottom w:val="single" w:color="A84B12" w:sz="10" w:space="6"/>
        </w:pBdr>
        <w:spacing w:after="200" w:before="400"/>
      </w:pPr>
      <w:r>
        <w:rPr>
          <w:rFonts w:ascii="Georgia" w:cs="Georgia" w:eastAsia="Georgia" w:hAnsi="Georgia"/>
          <w:b/>
          <w:bCs/>
          <w:color w:val="1C2B36"/>
          <w:sz w:val="30"/>
          <w:szCs w:val="30"/>
        </w:rPr>
        <w:t xml:space="preserve">8.  Components of the Platform</w:t>
      </w:r>
    </w:p>
    <w:p>
      <w:pPr>
        <w:spacing w:after="140" w:line="276"/>
        <w:jc w:val="both"/>
      </w:pPr>
      <w:r>
        <w:rPr>
          <w:rFonts w:ascii="Calibri" w:cs="Calibri" w:eastAsia="Calibri" w:hAnsi="Calibri"/>
          <w:color w:val="20262B"/>
          <w:sz w:val="21"/>
          <w:szCs w:val="21"/>
        </w:rPr>
        <w:t xml:space="preserve">FORGE is proposed as a single platform with clearly separated modules. Not all modules belong to the pilot; Section 16 sets out what is built when.</w:t>
      </w:r>
    </w:p>
    <w:p>
      <w:pPr>
        <w:spacing w:after="6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100"/>
        <w:gridCol w:w="6970"/>
      </w:tblGrid>
      <w:tr>
        <w:trPr>
          <w:tblHeader/>
        </w:trPr>
        <w:tc>
          <w:tcPr>
            <w:tcW w:type="dxa" w:w="2100"/>
            <w:tcBorders>
              <w:top w:val="single" w:color="A84B12" w:sz="3"/>
              <w:left w:val="none" w:color="FFFFFF" w:sz="0"/>
              <w:bottom w:val="single" w:color="A84B12" w:sz="6"/>
              <w:right w:val="none" w:color="FFFFFF" w:sz="0"/>
            </w:tcBorders>
            <w:shd w:fill="F3E9DF" w:color="auto" w:val="clear"/>
            <w:tcMar>
              <w:top w:type="dxa" w:w="90"/>
              <w:left w:type="dxa" w:w="130"/>
              <w:bottom w:type="dxa" w:w="90"/>
              <w:right w:type="dxa" w:w="130"/>
            </w:tcMar>
          </w:tcPr>
          <w:p>
            <w:pPr>
              <w:spacing w:after="60" w:before="60" w:line="250"/>
              <w:jc w:val="left"/>
            </w:pPr>
            <w:r>
              <w:rPr>
                <w:rFonts w:ascii="Calibri" w:cs="Calibri" w:eastAsia="Calibri" w:hAnsi="Calibri"/>
                <w:b/>
                <w:bCs/>
                <w:color w:val="1C2B36"/>
                <w:sz w:val="19"/>
                <w:szCs w:val="19"/>
              </w:rPr>
              <w:t xml:space="preserve">Module</w:t>
            </w:r>
          </w:p>
        </w:tc>
        <w:tc>
          <w:tcPr>
            <w:tcW w:type="dxa" w:w="6970"/>
            <w:tcBorders>
              <w:top w:val="single" w:color="A84B12" w:sz="3"/>
              <w:left w:val="none" w:color="FFFFFF" w:sz="0"/>
              <w:bottom w:val="single" w:color="A84B12" w:sz="6"/>
              <w:right w:val="none" w:color="FFFFFF" w:sz="0"/>
            </w:tcBorders>
            <w:shd w:fill="F3E9DF" w:color="auto" w:val="clear"/>
            <w:tcMar>
              <w:top w:type="dxa" w:w="90"/>
              <w:left w:type="dxa" w:w="130"/>
              <w:bottom w:type="dxa" w:w="90"/>
              <w:right w:type="dxa" w:w="130"/>
            </w:tcMar>
          </w:tcPr>
          <w:p>
            <w:pPr>
              <w:spacing w:after="60" w:before="60" w:line="250"/>
              <w:jc w:val="left"/>
            </w:pPr>
            <w:r>
              <w:rPr>
                <w:rFonts w:ascii="Calibri" w:cs="Calibri" w:eastAsia="Calibri" w:hAnsi="Calibri"/>
                <w:b/>
                <w:bCs/>
                <w:color w:val="1C2B36"/>
                <w:sz w:val="19"/>
                <w:szCs w:val="19"/>
              </w:rPr>
              <w:t xml:space="preserve">Function</w:t>
            </w:r>
          </w:p>
        </w:tc>
      </w:tr>
      <w:tr>
        <w:trPr>
          <w:tblHeader w:val="false"/>
        </w:trPr>
        <w:tc>
          <w:tcPr>
            <w:tcW w:type="dxa" w:w="21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bCs/>
                <w:color w:val="20262B"/>
                <w:sz w:val="19"/>
                <w:szCs w:val="19"/>
              </w:rPr>
              <w:t xml:space="preserve">FORGE Projects</w:t>
            </w:r>
          </w:p>
        </w:tc>
        <w:tc>
          <w:tcPr>
            <w:tcW w:type="dxa" w:w="697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val="false"/>
                <w:bCs w:val="false"/>
                <w:color w:val="20262B"/>
                <w:sz w:val="19"/>
                <w:szCs w:val="19"/>
              </w:rPr>
              <w:t xml:space="preserve">The heart of the platform. Students post project proposals with objectives, required skills, roles and timelines. Other students apply to join. Approved projects move into active development.</w:t>
            </w:r>
          </w:p>
        </w:tc>
      </w:tr>
      <w:tr>
        <w:trPr>
          <w:tblHeader w:val="false"/>
        </w:trPr>
        <w:tc>
          <w:tcPr>
            <w:tcW w:type="dxa" w:w="21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bCs/>
                <w:color w:val="20262B"/>
                <w:sz w:val="19"/>
                <w:szCs w:val="19"/>
              </w:rPr>
              <w:t xml:space="preserve">FORGE Teams</w:t>
            </w:r>
          </w:p>
        </w:tc>
        <w:tc>
          <w:tcPr>
            <w:tcW w:type="dxa" w:w="697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val="false"/>
                <w:bCs w:val="false"/>
                <w:color w:val="20262B"/>
                <w:sz w:val="19"/>
                <w:szCs w:val="19"/>
              </w:rPr>
              <w:t xml:space="preserve">Collaboration workspace for an active project: roles, tasks, milestones, progress updates and contribution logs.</w:t>
            </w:r>
          </w:p>
        </w:tc>
      </w:tr>
      <w:tr>
        <w:trPr>
          <w:tblHeader w:val="false"/>
        </w:trPr>
        <w:tc>
          <w:tcPr>
            <w:tcW w:type="dxa" w:w="21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bCs/>
                <w:color w:val="20262B"/>
                <w:sz w:val="19"/>
                <w:szCs w:val="19"/>
              </w:rPr>
              <w:t xml:space="preserve">FORGE Learn</w:t>
            </w:r>
          </w:p>
        </w:tc>
        <w:tc>
          <w:tcPr>
            <w:tcW w:type="dxa" w:w="697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val="false"/>
                <w:bCs w:val="false"/>
                <w:color w:val="20262B"/>
                <w:sz w:val="19"/>
                <w:szCs w:val="19"/>
              </w:rPr>
              <w:t xml:space="preserve">Curated, self-paced learning material contributed by students and mentors, organised by discipline, with an emphasis on practical guides rather than lecture notes.</w:t>
            </w:r>
          </w:p>
        </w:tc>
      </w:tr>
      <w:tr>
        <w:trPr>
          <w:tblHeader w:val="false"/>
        </w:trPr>
        <w:tc>
          <w:tcPr>
            <w:tcW w:type="dxa" w:w="21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bCs/>
                <w:color w:val="20262B"/>
                <w:sz w:val="19"/>
                <w:szCs w:val="19"/>
              </w:rPr>
              <w:t xml:space="preserve">FORGE Labs</w:t>
            </w:r>
          </w:p>
        </w:tc>
        <w:tc>
          <w:tcPr>
            <w:tcW w:type="dxa" w:w="697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val="false"/>
                <w:bCs w:val="false"/>
                <w:color w:val="20262B"/>
                <w:sz w:val="19"/>
                <w:szCs w:val="19"/>
              </w:rPr>
              <w:t xml:space="preserve">Structured practical exercises with a defined brief and a submitted deliverable. In technical disciplines these run in isolated environments; in others they may be case studies, field exercises or design briefs.</w:t>
            </w:r>
          </w:p>
        </w:tc>
      </w:tr>
      <w:tr>
        <w:trPr>
          <w:tblHeader w:val="false"/>
        </w:trPr>
        <w:tc>
          <w:tcPr>
            <w:tcW w:type="dxa" w:w="21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bCs/>
                <w:color w:val="20262B"/>
                <w:sz w:val="19"/>
                <w:szCs w:val="19"/>
              </w:rPr>
              <w:t xml:space="preserve">FORGE Open</w:t>
            </w:r>
          </w:p>
        </w:tc>
        <w:tc>
          <w:tcPr>
            <w:tcW w:type="dxa" w:w="697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val="false"/>
                <w:bCs w:val="false"/>
                <w:color w:val="20262B"/>
                <w:sz w:val="19"/>
                <w:szCs w:val="19"/>
              </w:rPr>
              <w:t xml:space="preserve">Projects released for others to study, reuse and improve, together with the platform’s own source code.</w:t>
            </w:r>
          </w:p>
        </w:tc>
      </w:tr>
      <w:tr>
        <w:trPr>
          <w:tblHeader w:val="false"/>
        </w:trPr>
        <w:tc>
          <w:tcPr>
            <w:tcW w:type="dxa" w:w="21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bCs/>
                <w:color w:val="20262B"/>
                <w:sz w:val="19"/>
                <w:szCs w:val="19"/>
              </w:rPr>
              <w:t xml:space="preserve">FORGE Showcase</w:t>
            </w:r>
          </w:p>
        </w:tc>
        <w:tc>
          <w:tcPr>
            <w:tcW w:type="dxa" w:w="697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val="false"/>
                <w:bCs w:val="false"/>
                <w:color w:val="20262B"/>
                <w:sz w:val="19"/>
                <w:szCs w:val="19"/>
              </w:rPr>
              <w:t xml:space="preserve">Completed projects presented with documentation, screenshots and a short demonstration video, visible to the wider University.</w:t>
            </w:r>
          </w:p>
        </w:tc>
      </w:tr>
      <w:tr>
        <w:trPr>
          <w:tblHeader w:val="false"/>
        </w:trPr>
        <w:tc>
          <w:tcPr>
            <w:tcW w:type="dxa" w:w="21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bCs/>
                <w:color w:val="20262B"/>
                <w:sz w:val="19"/>
                <w:szCs w:val="19"/>
              </w:rPr>
              <w:t xml:space="preserve">FORGE Portfolio</w:t>
            </w:r>
          </w:p>
        </w:tc>
        <w:tc>
          <w:tcPr>
            <w:tcW w:type="dxa" w:w="697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val="false"/>
                <w:bCs w:val="false"/>
                <w:color w:val="20262B"/>
                <w:sz w:val="19"/>
                <w:szCs w:val="19"/>
              </w:rPr>
              <w:t xml:space="preserve">A student’s cumulative record: projects, roles held, verified contributions, reviews received, recognitions earned.</w:t>
            </w:r>
          </w:p>
        </w:tc>
      </w:tr>
      <w:tr>
        <w:trPr>
          <w:tblHeader w:val="false"/>
        </w:trPr>
        <w:tc>
          <w:tcPr>
            <w:tcW w:type="dxa" w:w="21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bCs/>
                <w:color w:val="20262B"/>
                <w:sz w:val="19"/>
                <w:szCs w:val="19"/>
              </w:rPr>
              <w:t xml:space="preserve">FORGE Community</w:t>
            </w:r>
          </w:p>
        </w:tc>
        <w:tc>
          <w:tcPr>
            <w:tcW w:type="dxa" w:w="697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val="false"/>
                <w:bCs w:val="false"/>
                <w:color w:val="20262B"/>
                <w:sz w:val="19"/>
                <w:szCs w:val="19"/>
              </w:rPr>
              <w:t xml:space="preserve">Discussion by discipline, questions and answers, study groups, events and mentorship requests.</w:t>
            </w:r>
          </w:p>
        </w:tc>
      </w:tr>
      <w:tr>
        <w:trPr>
          <w:tblHeader w:val="false"/>
        </w:trPr>
        <w:tc>
          <w:tcPr>
            <w:tcW w:type="dxa" w:w="21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bCs/>
                <w:color w:val="20262B"/>
                <w:sz w:val="19"/>
                <w:szCs w:val="19"/>
              </w:rPr>
              <w:t xml:space="preserve">FORGE Recognition</w:t>
            </w:r>
          </w:p>
        </w:tc>
        <w:tc>
          <w:tcPr>
            <w:tcW w:type="dxa" w:w="697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val="false"/>
                <w:bCs w:val="false"/>
                <w:color w:val="20262B"/>
                <w:sz w:val="19"/>
                <w:szCs w:val="19"/>
              </w:rPr>
              <w:t xml:space="preserve">Levels, contribution records, certificates of participation and discipline leaderboards, as described in Section 10.</w:t>
            </w:r>
          </w:p>
        </w:tc>
      </w:tr>
    </w:tbl>
    <w:p>
      <w:pPr>
        <w:spacing w:after="220" w:before="100"/>
      </w:pPr>
      <w:r>
        <w:rPr>
          <w:rFonts w:ascii="Calibri" w:cs="Calibri" w:eastAsia="Calibri" w:hAnsi="Calibri"/>
          <w:i/>
          <w:iCs/>
          <w:color w:val="6B6560"/>
          <w:sz w:val="17"/>
          <w:szCs w:val="17"/>
        </w:rPr>
        <w:t xml:space="preserve">Table 4: Proposed modules. The pilot implements a subset, not all of them.</w:t>
      </w:r>
    </w:p>
    <w:p>
      <w:pPr>
        <w:pStyle w:val="Heading1"/>
        <w:pBdr>
          <w:bottom w:val="single" w:color="A84B12" w:sz="10" w:space="6"/>
        </w:pBdr>
        <w:spacing w:after="200" w:before="400"/>
      </w:pPr>
      <w:r>
        <w:rPr>
          <w:rFonts w:ascii="Georgia" w:cs="Georgia" w:eastAsia="Georgia" w:hAnsi="Georgia"/>
          <w:b/>
          <w:bCs/>
          <w:color w:val="1C2B36"/>
          <w:sz w:val="30"/>
          <w:szCs w:val="30"/>
        </w:rPr>
        <w:t xml:space="preserve">9.  The Project Lifecycle</w:t>
      </w:r>
    </w:p>
    <w:p>
      <w:pPr>
        <w:spacing w:after="140" w:line="276"/>
        <w:jc w:val="both"/>
      </w:pPr>
      <w:r>
        <w:rPr>
          <w:rFonts w:ascii="Calibri" w:cs="Calibri" w:eastAsia="Calibri" w:hAnsi="Calibri"/>
          <w:color w:val="20262B"/>
          <w:sz w:val="21"/>
          <w:szCs w:val="21"/>
        </w:rPr>
        <w:t xml:space="preserve">Every project passes through the same seven stages. The lifecycle is what distinguishes FORGE from a discussion forum: it produces an artefact and a record at the end.</w:t>
      </w:r>
    </w:p>
    <w:p>
      <w:pPr>
        <w:spacing w:after="6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6470"/>
      </w:tblGrid>
      <w:tr>
        <w:trPr>
          <w:tblHeader/>
        </w:trPr>
        <w:tc>
          <w:tcPr>
            <w:tcW w:type="dxa" w:w="700"/>
            <w:tcBorders>
              <w:top w:val="single" w:color="A84B12" w:sz="3"/>
              <w:left w:val="none" w:color="FFFFFF" w:sz="0"/>
              <w:bottom w:val="single" w:color="A84B12" w:sz="6"/>
              <w:right w:val="none" w:color="FFFFFF" w:sz="0"/>
            </w:tcBorders>
            <w:shd w:fill="F3E9DF" w:color="auto" w:val="clear"/>
            <w:tcMar>
              <w:top w:type="dxa" w:w="90"/>
              <w:left w:type="dxa" w:w="130"/>
              <w:bottom w:type="dxa" w:w="90"/>
              <w:right w:type="dxa" w:w="130"/>
            </w:tcMar>
          </w:tcPr>
          <w:p>
            <w:pPr>
              <w:spacing w:after="60" w:before="60" w:line="250"/>
              <w:jc w:val="left"/>
            </w:pPr>
            <w:r>
              <w:rPr>
                <w:rFonts w:ascii="Calibri" w:cs="Calibri" w:eastAsia="Calibri" w:hAnsi="Calibri"/>
                <w:b/>
                <w:bCs/>
                <w:color w:val="1C2B36"/>
                <w:sz w:val="19"/>
                <w:szCs w:val="19"/>
              </w:rPr>
              <w:t xml:space="preserve"/>
            </w:r>
          </w:p>
        </w:tc>
        <w:tc>
          <w:tcPr>
            <w:tcW w:type="dxa" w:w="1900"/>
            <w:tcBorders>
              <w:top w:val="single" w:color="A84B12" w:sz="3"/>
              <w:left w:val="none" w:color="FFFFFF" w:sz="0"/>
              <w:bottom w:val="single" w:color="A84B12" w:sz="6"/>
              <w:right w:val="none" w:color="FFFFFF" w:sz="0"/>
            </w:tcBorders>
            <w:shd w:fill="F3E9DF" w:color="auto" w:val="clear"/>
            <w:tcMar>
              <w:top w:type="dxa" w:w="90"/>
              <w:left w:type="dxa" w:w="130"/>
              <w:bottom w:type="dxa" w:w="90"/>
              <w:right w:type="dxa" w:w="130"/>
            </w:tcMar>
          </w:tcPr>
          <w:p>
            <w:pPr>
              <w:spacing w:after="60" w:before="60" w:line="250"/>
              <w:jc w:val="left"/>
            </w:pPr>
            <w:r>
              <w:rPr>
                <w:rFonts w:ascii="Calibri" w:cs="Calibri" w:eastAsia="Calibri" w:hAnsi="Calibri"/>
                <w:b/>
                <w:bCs/>
                <w:color w:val="1C2B36"/>
                <w:sz w:val="19"/>
                <w:szCs w:val="19"/>
              </w:rPr>
              <w:t xml:space="preserve">Stage</w:t>
            </w:r>
          </w:p>
        </w:tc>
        <w:tc>
          <w:tcPr>
            <w:tcW w:type="dxa" w:w="6470"/>
            <w:tcBorders>
              <w:top w:val="single" w:color="A84B12" w:sz="3"/>
              <w:left w:val="none" w:color="FFFFFF" w:sz="0"/>
              <w:bottom w:val="single" w:color="A84B12" w:sz="6"/>
              <w:right w:val="none" w:color="FFFFFF" w:sz="0"/>
            </w:tcBorders>
            <w:shd w:fill="F3E9DF" w:color="auto" w:val="clear"/>
            <w:tcMar>
              <w:top w:type="dxa" w:w="90"/>
              <w:left w:type="dxa" w:w="130"/>
              <w:bottom w:type="dxa" w:w="90"/>
              <w:right w:type="dxa" w:w="130"/>
            </w:tcMar>
          </w:tcPr>
          <w:p>
            <w:pPr>
              <w:spacing w:after="60" w:before="60" w:line="250"/>
              <w:jc w:val="left"/>
            </w:pPr>
            <w:r>
              <w:rPr>
                <w:rFonts w:ascii="Calibri" w:cs="Calibri" w:eastAsia="Calibri" w:hAnsi="Calibri"/>
                <w:b/>
                <w:bCs/>
                <w:color w:val="1C2B36"/>
                <w:sz w:val="19"/>
                <w:szCs w:val="19"/>
              </w:rPr>
              <w:t xml:space="preserve">What happens</w:t>
            </w:r>
          </w:p>
        </w:tc>
      </w:tr>
      <w:tr>
        <w:trPr>
          <w:tblHeader w:val="false"/>
        </w:trPr>
        <w:tc>
          <w:tcPr>
            <w:tcW w:type="dxa" w:w="7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bCs/>
                <w:color w:val="20262B"/>
                <w:sz w:val="19"/>
                <w:szCs w:val="19"/>
              </w:rPr>
              <w:t xml:space="preserve">1</w:t>
            </w:r>
          </w:p>
        </w:tc>
        <w:tc>
          <w:tcPr>
            <w:tcW w:type="dxa" w:w="19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val="false"/>
                <w:bCs w:val="false"/>
                <w:color w:val="20262B"/>
                <w:sz w:val="19"/>
                <w:szCs w:val="19"/>
              </w:rPr>
              <w:t xml:space="preserve">Proposal</w:t>
            </w:r>
          </w:p>
        </w:tc>
        <w:tc>
          <w:tcPr>
            <w:tcW w:type="dxa" w:w="647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val="false"/>
                <w:bCs w:val="false"/>
                <w:color w:val="20262B"/>
                <w:sz w:val="19"/>
                <w:szCs w:val="19"/>
              </w:rPr>
              <w:t xml:space="preserve">A student submits the idea, the problem it addresses, the roles required and an indicative timeline.</w:t>
            </w:r>
          </w:p>
        </w:tc>
      </w:tr>
      <w:tr>
        <w:trPr>
          <w:tblHeader w:val="false"/>
        </w:trPr>
        <w:tc>
          <w:tcPr>
            <w:tcW w:type="dxa" w:w="7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bCs/>
                <w:color w:val="20262B"/>
                <w:sz w:val="19"/>
                <w:szCs w:val="19"/>
              </w:rPr>
              <w:t xml:space="preserve">2</w:t>
            </w:r>
          </w:p>
        </w:tc>
        <w:tc>
          <w:tcPr>
            <w:tcW w:type="dxa" w:w="19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val="false"/>
                <w:bCs w:val="false"/>
                <w:color w:val="20262B"/>
                <w:sz w:val="19"/>
                <w:szCs w:val="19"/>
              </w:rPr>
              <w:t xml:space="preserve">Review</w:t>
            </w:r>
          </w:p>
        </w:tc>
        <w:tc>
          <w:tcPr>
            <w:tcW w:type="dxa" w:w="647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val="false"/>
                <w:bCs w:val="false"/>
                <w:color w:val="20262B"/>
                <w:sz w:val="19"/>
                <w:szCs w:val="19"/>
              </w:rPr>
              <w:t xml:space="preserve">A community lead or faculty mentor checks that the scope is realistic, lawful, ethical and non-duplicative, then approves, returns it for revision or declines it with reasons.</w:t>
            </w:r>
          </w:p>
        </w:tc>
      </w:tr>
      <w:tr>
        <w:trPr>
          <w:tblHeader w:val="false"/>
        </w:trPr>
        <w:tc>
          <w:tcPr>
            <w:tcW w:type="dxa" w:w="7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bCs/>
                <w:color w:val="20262B"/>
                <w:sz w:val="19"/>
                <w:szCs w:val="19"/>
              </w:rPr>
              <w:t xml:space="preserve">3</w:t>
            </w:r>
          </w:p>
        </w:tc>
        <w:tc>
          <w:tcPr>
            <w:tcW w:type="dxa" w:w="19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val="false"/>
                <w:bCs w:val="false"/>
                <w:color w:val="20262B"/>
                <w:sz w:val="19"/>
                <w:szCs w:val="19"/>
              </w:rPr>
              <w:t xml:space="preserve">Team formation</w:t>
            </w:r>
          </w:p>
        </w:tc>
        <w:tc>
          <w:tcPr>
            <w:tcW w:type="dxa" w:w="647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val="false"/>
                <w:bCs w:val="false"/>
                <w:color w:val="20262B"/>
                <w:sz w:val="19"/>
                <w:szCs w:val="19"/>
              </w:rPr>
              <w:t xml:space="preserve">Students apply for the advertised roles. The project lead selects the team and agrees on responsibilities.</w:t>
            </w:r>
          </w:p>
        </w:tc>
      </w:tr>
      <w:tr>
        <w:trPr>
          <w:tblHeader w:val="false"/>
        </w:trPr>
        <w:tc>
          <w:tcPr>
            <w:tcW w:type="dxa" w:w="7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bCs/>
                <w:color w:val="20262B"/>
                <w:sz w:val="19"/>
                <w:szCs w:val="19"/>
              </w:rPr>
              <w:t xml:space="preserve">4</w:t>
            </w:r>
          </w:p>
        </w:tc>
        <w:tc>
          <w:tcPr>
            <w:tcW w:type="dxa" w:w="19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val="false"/>
                <w:bCs w:val="false"/>
                <w:color w:val="20262B"/>
                <w:sz w:val="19"/>
                <w:szCs w:val="19"/>
              </w:rPr>
              <w:t xml:space="preserve">Build</w:t>
            </w:r>
          </w:p>
        </w:tc>
        <w:tc>
          <w:tcPr>
            <w:tcW w:type="dxa" w:w="647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val="false"/>
                <w:bCs w:val="false"/>
                <w:color w:val="20262B"/>
                <w:sz w:val="19"/>
                <w:szCs w:val="19"/>
              </w:rPr>
              <w:t xml:space="preserve">Work proceeds in defined milestones. Contributions are logged as they happen, not reconstructed afterwards.</w:t>
            </w:r>
          </w:p>
        </w:tc>
      </w:tr>
      <w:tr>
        <w:trPr>
          <w:tblHeader w:val="false"/>
        </w:trPr>
        <w:tc>
          <w:tcPr>
            <w:tcW w:type="dxa" w:w="7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bCs/>
                <w:color w:val="20262B"/>
                <w:sz w:val="19"/>
                <w:szCs w:val="19"/>
              </w:rPr>
              <w:t xml:space="preserve">5</w:t>
            </w:r>
          </w:p>
        </w:tc>
        <w:tc>
          <w:tcPr>
            <w:tcW w:type="dxa" w:w="19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val="false"/>
                <w:bCs w:val="false"/>
                <w:color w:val="20262B"/>
                <w:sz w:val="19"/>
                <w:szCs w:val="19"/>
              </w:rPr>
              <w:t xml:space="preserve">Review and testing</w:t>
            </w:r>
          </w:p>
        </w:tc>
        <w:tc>
          <w:tcPr>
            <w:tcW w:type="dxa" w:w="647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val="false"/>
                <w:bCs w:val="false"/>
                <w:color w:val="20262B"/>
                <w:sz w:val="19"/>
                <w:szCs w:val="19"/>
              </w:rPr>
              <w:t xml:space="preserve">Peers and the assigned mentor review the deliverable against the objectives set at proposal stage.</w:t>
            </w:r>
          </w:p>
        </w:tc>
      </w:tr>
      <w:tr>
        <w:trPr>
          <w:tblHeader w:val="false"/>
        </w:trPr>
        <w:tc>
          <w:tcPr>
            <w:tcW w:type="dxa" w:w="7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bCs/>
                <w:color w:val="20262B"/>
                <w:sz w:val="19"/>
                <w:szCs w:val="19"/>
              </w:rPr>
              <w:t xml:space="preserve">6</w:t>
            </w:r>
          </w:p>
        </w:tc>
        <w:tc>
          <w:tcPr>
            <w:tcW w:type="dxa" w:w="19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val="false"/>
                <w:bCs w:val="false"/>
                <w:color w:val="20262B"/>
                <w:sz w:val="19"/>
                <w:szCs w:val="19"/>
              </w:rPr>
              <w:t xml:space="preserve">Documentation and demonstration</w:t>
            </w:r>
          </w:p>
        </w:tc>
        <w:tc>
          <w:tcPr>
            <w:tcW w:type="dxa" w:w="647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val="false"/>
                <w:bCs w:val="false"/>
                <w:color w:val="20262B"/>
                <w:sz w:val="19"/>
                <w:szCs w:val="19"/>
              </w:rPr>
              <w:t xml:space="preserve">The team publishes documentation, a summary of lessons learned and a short demonstration video.</w:t>
            </w:r>
          </w:p>
        </w:tc>
      </w:tr>
      <w:tr>
        <w:trPr>
          <w:tblHeader w:val="false"/>
        </w:trPr>
        <w:tc>
          <w:tcPr>
            <w:tcW w:type="dxa" w:w="7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bCs/>
                <w:color w:val="20262B"/>
                <w:sz w:val="19"/>
                <w:szCs w:val="19"/>
              </w:rPr>
              <w:t xml:space="preserve">7</w:t>
            </w:r>
          </w:p>
        </w:tc>
        <w:tc>
          <w:tcPr>
            <w:tcW w:type="dxa" w:w="19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val="false"/>
                <w:bCs w:val="false"/>
                <w:color w:val="20262B"/>
                <w:sz w:val="19"/>
                <w:szCs w:val="19"/>
              </w:rPr>
              <w:t xml:space="preserve">Recognition</w:t>
            </w:r>
          </w:p>
        </w:tc>
        <w:tc>
          <w:tcPr>
            <w:tcW w:type="dxa" w:w="647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val="false"/>
                <w:bCs w:val="false"/>
                <w:color w:val="20262B"/>
                <w:sz w:val="19"/>
                <w:szCs w:val="19"/>
              </w:rPr>
              <w:t xml:space="preserve">Contributions are confirmed by the project lead and the mentor, and recorded in each participant’s portfolio.</w:t>
            </w:r>
          </w:p>
        </w:tc>
      </w:tr>
    </w:tbl>
    <w:p>
      <w:pPr>
        <w:spacing w:after="220" w:before="100"/>
      </w:pPr>
      <w:r>
        <w:rPr>
          <w:rFonts w:ascii="Calibri" w:cs="Calibri" w:eastAsia="Calibri" w:hAnsi="Calibri"/>
          <w:i/>
          <w:iCs/>
          <w:color w:val="6B6560"/>
          <w:sz w:val="17"/>
          <w:szCs w:val="17"/>
        </w:rPr>
        <w:t xml:space="preserve">Table 5: The seven stage project lifecycle.</w:t>
      </w:r>
    </w:p>
    <w:p>
      <w:pPr>
        <w:spacing w:after="140" w:line="276"/>
        <w:jc w:val="both"/>
      </w:pPr>
      <w:r>
        <w:rPr>
          <w:rFonts w:ascii="Calibri" w:cs="Calibri" w:eastAsia="Calibri" w:hAnsi="Calibri"/>
          <w:color w:val="20262B"/>
          <w:sz w:val="21"/>
          <w:szCs w:val="21"/>
        </w:rPr>
        <w:t xml:space="preserve">Two features of this lifecycle deserve emphasis. First, the review at stage two is what keeps the platform from filling with abandoned proposals: a project that no mentor considers feasible does not consume the time of five students before that becomes apparent. Second, recognition at stage seven is confirmed by two independent parties, the project lead and the mentor, which is the principal defence against inflated claims of contribution.</w:t>
      </w:r>
    </w:p>
    <w:p>
      <w:pPr>
        <w:pStyle w:val="Heading1"/>
        <w:pBdr>
          <w:bottom w:val="single" w:color="A84B12" w:sz="10" w:space="6"/>
        </w:pBdr>
        <w:spacing w:after="200" w:before="400"/>
      </w:pPr>
      <w:r>
        <w:rPr>
          <w:rFonts w:ascii="Georgia" w:cs="Georgia" w:eastAsia="Georgia" w:hAnsi="Georgia"/>
          <w:b/>
          <w:bCs/>
          <w:color w:val="1C2B36"/>
          <w:sz w:val="30"/>
          <w:szCs w:val="30"/>
        </w:rPr>
        <w:t xml:space="preserve">10.  Contribution, Recognition and Reward</w:t>
      </w:r>
    </w:p>
    <w:p>
      <w:pPr>
        <w:spacing w:after="140" w:line="276"/>
        <w:jc w:val="both"/>
      </w:pPr>
      <w:r>
        <w:rPr>
          <w:rFonts w:ascii="Calibri" w:cs="Calibri" w:eastAsia="Calibri" w:hAnsi="Calibri"/>
          <w:color w:val="20262B"/>
          <w:sz w:val="21"/>
          <w:szCs w:val="21"/>
        </w:rPr>
        <w:t xml:space="preserve">A voluntary platform with no recognition will be busy for one trimester and empty by the third. A voluntary platform with badly designed recognition will be busy forever with worthless activity. This section therefore sets out the reward model in some detail, because it is where such initiatives most often fail.</w:t>
      </w:r>
    </w:p>
    <w:p>
      <w:pPr>
        <w:pStyle w:val="Heading2"/>
        <w:spacing w:after="120" w:before="300"/>
      </w:pPr>
      <w:r>
        <w:rPr>
          <w:rFonts w:ascii="Georgia" w:cs="Georgia" w:eastAsia="Georgia" w:hAnsi="Georgia"/>
          <w:b/>
          <w:bCs/>
          <w:color w:val="A84B12"/>
          <w:sz w:val="23"/>
          <w:szCs w:val="23"/>
        </w:rPr>
        <w:t xml:space="preserve">10.1  What is measured</w:t>
      </w:r>
    </w:p>
    <w:p>
      <w:pPr>
        <w:spacing w:after="140" w:line="276"/>
        <w:jc w:val="both"/>
      </w:pPr>
      <w:r>
        <w:rPr>
          <w:rFonts w:ascii="Calibri" w:cs="Calibri" w:eastAsia="Calibri" w:hAnsi="Calibri"/>
          <w:color w:val="20262B"/>
          <w:sz w:val="21"/>
          <w:szCs w:val="21"/>
        </w:rPr>
        <w:t xml:space="preserve">Contribution is assessed on several dimensions rather than a single score, so that different kinds of value are visible:</w:t>
      </w:r>
    </w:p>
    <w:p>
      <w:pPr>
        <w:pStyle w:val="ListParagraph"/>
        <w:numPr>
          <w:ilvl w:val="0"/>
          <w:numId w:val="2"/>
        </w:numPr>
        <w:spacing w:after="80" w:line="268"/>
        <w:jc w:val="both"/>
      </w:pPr>
      <w:r>
        <w:rPr>
          <w:rFonts w:ascii="Calibri" w:cs="Calibri" w:eastAsia="Calibri" w:hAnsi="Calibri"/>
          <w:color w:val="20262B"/>
          <w:sz w:val="21"/>
          <w:szCs w:val="21"/>
        </w:rPr>
        <w:t xml:space="preserve">Delivery: work completed and accepted against a defined objective</w:t>
      </w:r>
    </w:p>
    <w:p>
      <w:pPr>
        <w:pStyle w:val="ListParagraph"/>
        <w:numPr>
          <w:ilvl w:val="0"/>
          <w:numId w:val="2"/>
        </w:numPr>
        <w:spacing w:after="80" w:line="268"/>
        <w:jc w:val="both"/>
      </w:pPr>
      <w:r>
        <w:rPr>
          <w:rFonts w:ascii="Calibri" w:cs="Calibri" w:eastAsia="Calibri" w:hAnsi="Calibri"/>
          <w:color w:val="20262B"/>
          <w:sz w:val="21"/>
          <w:szCs w:val="21"/>
        </w:rPr>
        <w:t xml:space="preserve">Collaboration: reliability within a team, as reported by teammates and the project lead</w:t>
      </w:r>
    </w:p>
    <w:p>
      <w:pPr>
        <w:pStyle w:val="ListParagraph"/>
        <w:numPr>
          <w:ilvl w:val="0"/>
          <w:numId w:val="2"/>
        </w:numPr>
        <w:spacing w:after="80" w:line="268"/>
        <w:jc w:val="both"/>
      </w:pPr>
      <w:r>
        <w:rPr>
          <w:rFonts w:ascii="Calibri" w:cs="Calibri" w:eastAsia="Calibri" w:hAnsi="Calibri"/>
          <w:color w:val="20262B"/>
          <w:sz w:val="21"/>
          <w:szCs w:val="21"/>
        </w:rPr>
        <w:t xml:space="preserve">Teaching: help given to other students, tutorials written, questions answered substantively</w:t>
      </w:r>
    </w:p>
    <w:p>
      <w:pPr>
        <w:pStyle w:val="ListParagraph"/>
        <w:numPr>
          <w:ilvl w:val="0"/>
          <w:numId w:val="2"/>
        </w:numPr>
        <w:spacing w:after="80" w:line="268"/>
        <w:jc w:val="both"/>
      </w:pPr>
      <w:r>
        <w:rPr>
          <w:rFonts w:ascii="Calibri" w:cs="Calibri" w:eastAsia="Calibri" w:hAnsi="Calibri"/>
          <w:color w:val="20262B"/>
          <w:sz w:val="21"/>
          <w:szCs w:val="21"/>
        </w:rPr>
        <w:t xml:space="preserve">Leadership: projects led to completion, communities coordinated, new members brought in</w:t>
      </w:r>
    </w:p>
    <w:p>
      <w:pPr>
        <w:pStyle w:val="ListParagraph"/>
        <w:numPr>
          <w:ilvl w:val="0"/>
          <w:numId w:val="2"/>
        </w:numPr>
        <w:spacing w:after="80" w:line="268"/>
        <w:jc w:val="both"/>
      </w:pPr>
      <w:r>
        <w:rPr>
          <w:rFonts w:ascii="Calibri" w:cs="Calibri" w:eastAsia="Calibri" w:hAnsi="Calibri"/>
          <w:color w:val="20262B"/>
          <w:sz w:val="21"/>
          <w:szCs w:val="21"/>
        </w:rPr>
        <w:t xml:space="preserve">Craft: quality of documentation, testing and presentation, as judged at review</w:t>
      </w:r>
    </w:p>
    <w:p>
      <w:pPr>
        <w:pStyle w:val="Heading2"/>
        <w:spacing w:after="120" w:before="300"/>
      </w:pPr>
      <w:r>
        <w:rPr>
          <w:rFonts w:ascii="Georgia" w:cs="Georgia" w:eastAsia="Georgia" w:hAnsi="Georgia"/>
          <w:b/>
          <w:bCs/>
          <w:color w:val="A84B12"/>
          <w:sz w:val="23"/>
          <w:szCs w:val="23"/>
        </w:rPr>
        <w:t xml:space="preserve">10.2  Indicative contribution values</w:t>
      </w:r>
    </w:p>
    <w:p>
      <w:pPr>
        <w:spacing w:after="140" w:line="276"/>
        <w:jc w:val="both"/>
      </w:pPr>
      <w:r>
        <w:rPr>
          <w:rFonts w:ascii="Calibri" w:cs="Calibri" w:eastAsia="Calibri" w:hAnsi="Calibri"/>
          <w:color w:val="20262B"/>
          <w:sz w:val="21"/>
          <w:szCs w:val="21"/>
        </w:rPr>
        <w:t xml:space="preserve">The values below are illustrative and would be calibrated during the pilot. The principle they express is that points follow verified output, never activity volume.</w:t>
      </w:r>
    </w:p>
    <w:p>
      <w:pPr>
        <w:spacing w:after="6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200"/>
        <w:gridCol w:w="3170"/>
        <w:gridCol w:w="1700"/>
      </w:tblGrid>
      <w:tr>
        <w:trPr>
          <w:tblHeader/>
        </w:trPr>
        <w:tc>
          <w:tcPr>
            <w:tcW w:type="dxa" w:w="4200"/>
            <w:tcBorders>
              <w:top w:val="single" w:color="A84B12" w:sz="3"/>
              <w:left w:val="none" w:color="FFFFFF" w:sz="0"/>
              <w:bottom w:val="single" w:color="A84B12" w:sz="6"/>
              <w:right w:val="none" w:color="FFFFFF" w:sz="0"/>
            </w:tcBorders>
            <w:shd w:fill="F3E9DF" w:color="auto" w:val="clear"/>
            <w:tcMar>
              <w:top w:type="dxa" w:w="90"/>
              <w:left w:type="dxa" w:w="130"/>
              <w:bottom w:type="dxa" w:w="90"/>
              <w:right w:type="dxa" w:w="130"/>
            </w:tcMar>
          </w:tcPr>
          <w:p>
            <w:pPr>
              <w:spacing w:after="60" w:before="60" w:line="250"/>
              <w:jc w:val="left"/>
            </w:pPr>
            <w:r>
              <w:rPr>
                <w:rFonts w:ascii="Calibri" w:cs="Calibri" w:eastAsia="Calibri" w:hAnsi="Calibri"/>
                <w:b/>
                <w:bCs/>
                <w:color w:val="1C2B36"/>
                <w:sz w:val="19"/>
                <w:szCs w:val="19"/>
              </w:rPr>
              <w:t xml:space="preserve">Contribution</w:t>
            </w:r>
          </w:p>
        </w:tc>
        <w:tc>
          <w:tcPr>
            <w:tcW w:type="dxa" w:w="3170"/>
            <w:tcBorders>
              <w:top w:val="single" w:color="A84B12" w:sz="3"/>
              <w:left w:val="none" w:color="FFFFFF" w:sz="0"/>
              <w:bottom w:val="single" w:color="A84B12" w:sz="6"/>
              <w:right w:val="none" w:color="FFFFFF" w:sz="0"/>
            </w:tcBorders>
            <w:shd w:fill="F3E9DF" w:color="auto" w:val="clear"/>
            <w:tcMar>
              <w:top w:type="dxa" w:w="90"/>
              <w:left w:type="dxa" w:w="130"/>
              <w:bottom w:type="dxa" w:w="90"/>
              <w:right w:type="dxa" w:w="130"/>
            </w:tcMar>
          </w:tcPr>
          <w:p>
            <w:pPr>
              <w:spacing w:after="60" w:before="60" w:line="250"/>
              <w:jc w:val="left"/>
            </w:pPr>
            <w:r>
              <w:rPr>
                <w:rFonts w:ascii="Calibri" w:cs="Calibri" w:eastAsia="Calibri" w:hAnsi="Calibri"/>
                <w:b/>
                <w:bCs/>
                <w:color w:val="1C2B36"/>
                <w:sz w:val="19"/>
                <w:szCs w:val="19"/>
              </w:rPr>
              <w:t xml:space="preserve">Evidence required</w:t>
            </w:r>
          </w:p>
        </w:tc>
        <w:tc>
          <w:tcPr>
            <w:tcW w:type="dxa" w:w="1700"/>
            <w:tcBorders>
              <w:top w:val="single" w:color="A84B12" w:sz="3"/>
              <w:left w:val="none" w:color="FFFFFF" w:sz="0"/>
              <w:bottom w:val="single" w:color="A84B12" w:sz="6"/>
              <w:right w:val="none" w:color="FFFFFF" w:sz="0"/>
            </w:tcBorders>
            <w:shd w:fill="F3E9DF" w:color="auto" w:val="clear"/>
            <w:tcMar>
              <w:top w:type="dxa" w:w="90"/>
              <w:left w:type="dxa" w:w="130"/>
              <w:bottom w:type="dxa" w:w="90"/>
              <w:right w:type="dxa" w:w="130"/>
            </w:tcMar>
          </w:tcPr>
          <w:p>
            <w:pPr>
              <w:spacing w:after="60" w:before="60" w:line="250"/>
              <w:jc w:val="center"/>
            </w:pPr>
            <w:r>
              <w:rPr>
                <w:rFonts w:ascii="Calibri" w:cs="Calibri" w:eastAsia="Calibri" w:hAnsi="Calibri"/>
                <w:b/>
                <w:bCs/>
                <w:color w:val="1C2B36"/>
                <w:sz w:val="19"/>
                <w:szCs w:val="19"/>
              </w:rPr>
              <w:t xml:space="preserve">Indicative points</w:t>
            </w:r>
          </w:p>
        </w:tc>
      </w:tr>
      <w:tr>
        <w:trPr>
          <w:tblHeader w:val="false"/>
        </w:trPr>
        <w:tc>
          <w:tcPr>
            <w:tcW w:type="dxa" w:w="42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color w:val="20262B"/>
                <w:sz w:val="19"/>
                <w:szCs w:val="19"/>
              </w:rPr>
              <w:t xml:space="preserve">Completing a lab or practical challenge</w:t>
            </w:r>
          </w:p>
        </w:tc>
        <w:tc>
          <w:tcPr>
            <w:tcW w:type="dxa" w:w="317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color w:val="20262B"/>
                <w:sz w:val="19"/>
                <w:szCs w:val="19"/>
              </w:rPr>
              <w:t xml:space="preserve">Submitted deliverable, reviewed</w:t>
            </w:r>
          </w:p>
        </w:tc>
        <w:tc>
          <w:tcPr>
            <w:tcW w:type="dxa" w:w="17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center"/>
            </w:pPr>
            <w:r>
              <w:rPr>
                <w:rFonts w:ascii="Calibri" w:cs="Calibri" w:eastAsia="Calibri" w:hAnsi="Calibri"/>
                <w:color w:val="20262B"/>
                <w:sz w:val="19"/>
                <w:szCs w:val="19"/>
              </w:rPr>
              <w:t xml:space="preserve">10</w:t>
            </w:r>
          </w:p>
        </w:tc>
      </w:tr>
      <w:tr>
        <w:trPr>
          <w:tblHeader w:val="false"/>
        </w:trPr>
        <w:tc>
          <w:tcPr>
            <w:tcW w:type="dxa" w:w="42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color w:val="20262B"/>
                <w:sz w:val="19"/>
                <w:szCs w:val="19"/>
              </w:rPr>
              <w:t xml:space="preserve">Substantive answer accepted by the asker</w:t>
            </w:r>
          </w:p>
        </w:tc>
        <w:tc>
          <w:tcPr>
            <w:tcW w:type="dxa" w:w="317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color w:val="20262B"/>
                <w:sz w:val="19"/>
                <w:szCs w:val="19"/>
              </w:rPr>
              <w:t xml:space="preserve">Marked as resolving the question</w:t>
            </w:r>
          </w:p>
        </w:tc>
        <w:tc>
          <w:tcPr>
            <w:tcW w:type="dxa" w:w="17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center"/>
            </w:pPr>
            <w:r>
              <w:rPr>
                <w:rFonts w:ascii="Calibri" w:cs="Calibri" w:eastAsia="Calibri" w:hAnsi="Calibri"/>
                <w:color w:val="20262B"/>
                <w:sz w:val="19"/>
                <w:szCs w:val="19"/>
              </w:rPr>
              <w:t xml:space="preserve">5</w:t>
            </w:r>
          </w:p>
        </w:tc>
      </w:tr>
      <w:tr>
        <w:trPr>
          <w:tblHeader w:val="false"/>
        </w:trPr>
        <w:tc>
          <w:tcPr>
            <w:tcW w:type="dxa" w:w="42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color w:val="20262B"/>
                <w:sz w:val="19"/>
                <w:szCs w:val="19"/>
              </w:rPr>
              <w:t xml:space="preserve">Publishing a practical tutorial or guide</w:t>
            </w:r>
          </w:p>
        </w:tc>
        <w:tc>
          <w:tcPr>
            <w:tcW w:type="dxa" w:w="317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color w:val="20262B"/>
                <w:sz w:val="19"/>
                <w:szCs w:val="19"/>
              </w:rPr>
              <w:t xml:space="preserve">Mentor or community lead review</w:t>
            </w:r>
          </w:p>
        </w:tc>
        <w:tc>
          <w:tcPr>
            <w:tcW w:type="dxa" w:w="17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center"/>
            </w:pPr>
            <w:r>
              <w:rPr>
                <w:rFonts w:ascii="Calibri" w:cs="Calibri" w:eastAsia="Calibri" w:hAnsi="Calibri"/>
                <w:color w:val="20262B"/>
                <w:sz w:val="19"/>
                <w:szCs w:val="19"/>
              </w:rPr>
              <w:t xml:space="preserve">20</w:t>
            </w:r>
          </w:p>
        </w:tc>
      </w:tr>
      <w:tr>
        <w:trPr>
          <w:tblHeader w:val="false"/>
        </w:trPr>
        <w:tc>
          <w:tcPr>
            <w:tcW w:type="dxa" w:w="42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color w:val="20262B"/>
                <w:sz w:val="19"/>
                <w:szCs w:val="19"/>
              </w:rPr>
              <w:t xml:space="preserve">Delivering a project as a team member</w:t>
            </w:r>
          </w:p>
        </w:tc>
        <w:tc>
          <w:tcPr>
            <w:tcW w:type="dxa" w:w="317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color w:val="20262B"/>
                <w:sz w:val="19"/>
                <w:szCs w:val="19"/>
              </w:rPr>
              <w:t xml:space="preserve">Project lead and mentor confirmation</w:t>
            </w:r>
          </w:p>
        </w:tc>
        <w:tc>
          <w:tcPr>
            <w:tcW w:type="dxa" w:w="17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center"/>
            </w:pPr>
            <w:r>
              <w:rPr>
                <w:rFonts w:ascii="Calibri" w:cs="Calibri" w:eastAsia="Calibri" w:hAnsi="Calibri"/>
                <w:color w:val="20262B"/>
                <w:sz w:val="19"/>
                <w:szCs w:val="19"/>
              </w:rPr>
              <w:t xml:space="preserve">50</w:t>
            </w:r>
          </w:p>
        </w:tc>
      </w:tr>
      <w:tr>
        <w:trPr>
          <w:tblHeader w:val="false"/>
        </w:trPr>
        <w:tc>
          <w:tcPr>
            <w:tcW w:type="dxa" w:w="42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color w:val="20262B"/>
                <w:sz w:val="19"/>
                <w:szCs w:val="19"/>
              </w:rPr>
              <w:t xml:space="preserve">Leading a project to completion</w:t>
            </w:r>
          </w:p>
        </w:tc>
        <w:tc>
          <w:tcPr>
            <w:tcW w:type="dxa" w:w="317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color w:val="20262B"/>
                <w:sz w:val="19"/>
                <w:szCs w:val="19"/>
              </w:rPr>
              <w:t xml:space="preserve">Mentor sign-off at stage seven</w:t>
            </w:r>
          </w:p>
        </w:tc>
        <w:tc>
          <w:tcPr>
            <w:tcW w:type="dxa" w:w="17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center"/>
            </w:pPr>
            <w:r>
              <w:rPr>
                <w:rFonts w:ascii="Calibri" w:cs="Calibri" w:eastAsia="Calibri" w:hAnsi="Calibri"/>
                <w:color w:val="20262B"/>
                <w:sz w:val="19"/>
                <w:szCs w:val="19"/>
              </w:rPr>
              <w:t xml:space="preserve">75</w:t>
            </w:r>
          </w:p>
        </w:tc>
      </w:tr>
      <w:tr>
        <w:trPr>
          <w:tblHeader w:val="false"/>
        </w:trPr>
        <w:tc>
          <w:tcPr>
            <w:tcW w:type="dxa" w:w="42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color w:val="20262B"/>
                <w:sz w:val="19"/>
                <w:szCs w:val="19"/>
              </w:rPr>
              <w:t xml:space="preserve">Mentoring a junior student over a trimester</w:t>
            </w:r>
          </w:p>
        </w:tc>
        <w:tc>
          <w:tcPr>
            <w:tcW w:type="dxa" w:w="317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color w:val="20262B"/>
                <w:sz w:val="19"/>
                <w:szCs w:val="19"/>
              </w:rPr>
              <w:t xml:space="preserve">Confirmation by the mentee and the community lead</w:t>
            </w:r>
          </w:p>
        </w:tc>
        <w:tc>
          <w:tcPr>
            <w:tcW w:type="dxa" w:w="17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center"/>
            </w:pPr>
            <w:r>
              <w:rPr>
                <w:rFonts w:ascii="Calibri" w:cs="Calibri" w:eastAsia="Calibri" w:hAnsi="Calibri"/>
                <w:color w:val="20262B"/>
                <w:sz w:val="19"/>
                <w:szCs w:val="19"/>
              </w:rPr>
              <w:t xml:space="preserve">30</w:t>
            </w:r>
          </w:p>
        </w:tc>
      </w:tr>
      <w:tr>
        <w:trPr>
          <w:tblHeader w:val="false"/>
        </w:trPr>
        <w:tc>
          <w:tcPr>
            <w:tcW w:type="dxa" w:w="42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color w:val="20262B"/>
                <w:sz w:val="19"/>
                <w:szCs w:val="19"/>
              </w:rPr>
              <w:t xml:space="preserve">Winning a University challenge or competition</w:t>
            </w:r>
          </w:p>
        </w:tc>
        <w:tc>
          <w:tcPr>
            <w:tcW w:type="dxa" w:w="317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color w:val="20262B"/>
                <w:sz w:val="19"/>
                <w:szCs w:val="19"/>
              </w:rPr>
              <w:t xml:space="preserve">Judging panel result</w:t>
            </w:r>
          </w:p>
        </w:tc>
        <w:tc>
          <w:tcPr>
            <w:tcW w:type="dxa" w:w="17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center"/>
            </w:pPr>
            <w:r>
              <w:rPr>
                <w:rFonts w:ascii="Calibri" w:cs="Calibri" w:eastAsia="Calibri" w:hAnsi="Calibri"/>
                <w:color w:val="20262B"/>
                <w:sz w:val="19"/>
                <w:szCs w:val="19"/>
              </w:rPr>
              <w:t xml:space="preserve">100</w:t>
            </w:r>
          </w:p>
        </w:tc>
      </w:tr>
      <w:tr>
        <w:trPr>
          <w:tblHeader w:val="false"/>
        </w:trPr>
        <w:tc>
          <w:tcPr>
            <w:tcW w:type="dxa" w:w="42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color w:val="20262B"/>
                <w:sz w:val="19"/>
                <w:szCs w:val="19"/>
              </w:rPr>
              <w:t xml:space="preserve">Contributing to an open project of another team</w:t>
            </w:r>
          </w:p>
        </w:tc>
        <w:tc>
          <w:tcPr>
            <w:tcW w:type="dxa" w:w="317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color w:val="20262B"/>
                <w:sz w:val="19"/>
                <w:szCs w:val="19"/>
              </w:rPr>
              <w:t xml:space="preserve">Accepted contribution, reviewed by that team</w:t>
            </w:r>
          </w:p>
        </w:tc>
        <w:tc>
          <w:tcPr>
            <w:tcW w:type="dxa" w:w="17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center"/>
            </w:pPr>
            <w:r>
              <w:rPr>
                <w:rFonts w:ascii="Calibri" w:cs="Calibri" w:eastAsia="Calibri" w:hAnsi="Calibri"/>
                <w:color w:val="20262B"/>
                <w:sz w:val="19"/>
                <w:szCs w:val="19"/>
              </w:rPr>
              <w:t xml:space="preserve">25</w:t>
            </w:r>
          </w:p>
        </w:tc>
      </w:tr>
    </w:tbl>
    <w:p>
      <w:pPr>
        <w:spacing w:after="220" w:before="100"/>
      </w:pPr>
      <w:r>
        <w:rPr>
          <w:rFonts w:ascii="Calibri" w:cs="Calibri" w:eastAsia="Calibri" w:hAnsi="Calibri"/>
          <w:i/>
          <w:iCs/>
          <w:color w:val="6B6560"/>
          <w:sz w:val="17"/>
          <w:szCs w:val="17"/>
        </w:rPr>
        <w:t xml:space="preserve">Table 6: Indicative contribution values, to be calibrated during the pilot.</w:t>
      </w:r>
    </w:p>
    <w:p>
      <w:pPr>
        <w:pStyle w:val="Heading2"/>
        <w:spacing w:after="120" w:before="300"/>
      </w:pPr>
      <w:r>
        <w:rPr>
          <w:rFonts w:ascii="Georgia" w:cs="Georgia" w:eastAsia="Georgia" w:hAnsi="Georgia"/>
          <w:b/>
          <w:bCs/>
          <w:color w:val="A84B12"/>
          <w:sz w:val="23"/>
          <w:szCs w:val="23"/>
        </w:rPr>
        <w:t xml:space="preserve">10.3  Safeguards against gaming</w:t>
      </w:r>
    </w:p>
    <w:p>
      <w:pPr>
        <w:spacing w:after="140" w:line="276"/>
        <w:jc w:val="both"/>
      </w:pPr>
      <w:r>
        <w:rPr>
          <w:rFonts w:ascii="Calibri" w:cs="Calibri" w:eastAsia="Calibri" w:hAnsi="Calibri"/>
          <w:color w:val="20262B"/>
          <w:sz w:val="21"/>
          <w:szCs w:val="21"/>
        </w:rPr>
        <w:t xml:space="preserve">Any points system will be tested by ingenious students, which is itself a sign of engagement. The following safeguards are proposed from the outset:</w:t>
      </w:r>
    </w:p>
    <w:p>
      <w:pPr>
        <w:pStyle w:val="ListParagraph"/>
        <w:numPr>
          <w:ilvl w:val="0"/>
          <w:numId w:val="2"/>
        </w:numPr>
        <w:spacing w:after="80" w:line="268"/>
        <w:jc w:val="both"/>
      </w:pPr>
      <w:r>
        <w:rPr>
          <w:rFonts w:ascii="Calibri" w:cs="Calibri" w:eastAsia="Calibri" w:hAnsi="Calibri"/>
          <w:color w:val="20262B"/>
          <w:sz w:val="21"/>
          <w:szCs w:val="21"/>
        </w:rPr>
        <w:t xml:space="preserve">Popularity earns nothing. Likes, views and post counts carry no points whatsoever.</w:t>
      </w:r>
    </w:p>
    <w:p>
      <w:pPr>
        <w:pStyle w:val="ListParagraph"/>
        <w:numPr>
          <w:ilvl w:val="0"/>
          <w:numId w:val="2"/>
        </w:numPr>
        <w:spacing w:after="80" w:line="268"/>
        <w:jc w:val="both"/>
      </w:pPr>
      <w:r>
        <w:rPr>
          <w:rFonts w:ascii="Calibri" w:cs="Calibri" w:eastAsia="Calibri" w:hAnsi="Calibri"/>
          <w:color w:val="20262B"/>
          <w:sz w:val="21"/>
          <w:szCs w:val="21"/>
        </w:rPr>
        <w:t xml:space="preserve">Every award requires an identified reviewer. Nothing is awarded automatically on submission.</w:t>
      </w:r>
    </w:p>
    <w:p>
      <w:pPr>
        <w:pStyle w:val="ListParagraph"/>
        <w:numPr>
          <w:ilvl w:val="0"/>
          <w:numId w:val="2"/>
        </w:numPr>
        <w:spacing w:after="80" w:line="268"/>
        <w:jc w:val="both"/>
      </w:pPr>
      <w:r>
        <w:rPr>
          <w:rFonts w:ascii="Calibri" w:cs="Calibri" w:eastAsia="Calibri" w:hAnsi="Calibri"/>
          <w:color w:val="20262B"/>
          <w:sz w:val="21"/>
          <w:szCs w:val="21"/>
        </w:rPr>
        <w:t xml:space="preserve">Reciprocal awarding between the same two students is capped and flagged for review.</w:t>
      </w:r>
    </w:p>
    <w:p>
      <w:pPr>
        <w:pStyle w:val="ListParagraph"/>
        <w:numPr>
          <w:ilvl w:val="0"/>
          <w:numId w:val="2"/>
        </w:numPr>
        <w:spacing w:after="80" w:line="268"/>
        <w:jc w:val="both"/>
      </w:pPr>
      <w:r>
        <w:rPr>
          <w:rFonts w:ascii="Calibri" w:cs="Calibri" w:eastAsia="Calibri" w:hAnsi="Calibri"/>
          <w:color w:val="20262B"/>
          <w:sz w:val="21"/>
          <w:szCs w:val="21"/>
        </w:rPr>
        <w:t xml:space="preserve">Points decay slowly, so that standing reflects sustained contribution rather than one intense trimester in first year.</w:t>
      </w:r>
    </w:p>
    <w:p>
      <w:pPr>
        <w:pStyle w:val="ListParagraph"/>
        <w:numPr>
          <w:ilvl w:val="0"/>
          <w:numId w:val="2"/>
        </w:numPr>
        <w:spacing w:after="80" w:line="268"/>
        <w:jc w:val="both"/>
      </w:pPr>
      <w:r>
        <w:rPr>
          <w:rFonts w:ascii="Calibri" w:cs="Calibri" w:eastAsia="Calibri" w:hAnsi="Calibri"/>
          <w:color w:val="20262B"/>
          <w:sz w:val="21"/>
          <w:szCs w:val="21"/>
        </w:rPr>
        <w:t xml:space="preserve">Plagiarised, purchased or wholly machine generated work presented as one’s own is treated as a serious breach and forfeits accumulated standing.</w:t>
      </w:r>
    </w:p>
    <w:p>
      <w:pPr>
        <w:pStyle w:val="Heading2"/>
        <w:spacing w:after="120" w:before="300"/>
      </w:pPr>
      <w:r>
        <w:rPr>
          <w:rFonts w:ascii="Georgia" w:cs="Georgia" w:eastAsia="Georgia" w:hAnsi="Georgia"/>
          <w:b/>
          <w:bCs/>
          <w:color w:val="A84B12"/>
          <w:sz w:val="23"/>
          <w:szCs w:val="23"/>
        </w:rPr>
        <w:t xml:space="preserve">10.4  Levels, titles and leaderboards</w:t>
      </w:r>
    </w:p>
    <w:p>
      <w:pPr>
        <w:spacing w:after="140" w:line="276"/>
        <w:jc w:val="both"/>
      </w:pPr>
      <w:r>
        <w:rPr>
          <w:rFonts w:ascii="Calibri" w:cs="Calibri" w:eastAsia="Calibri" w:hAnsi="Calibri"/>
          <w:color w:val="20262B"/>
          <w:sz w:val="21"/>
          <w:szCs w:val="21"/>
        </w:rPr>
        <w:t xml:space="preserve">Cumulative contribution advances a student through named levels, from Apprentice through Builder and Craftsman to Master Builder, with the highest standing reserved for those who have both delivered and taught. Separate leaderboards are maintained for each discipline area and one for community contribution, so that the platform does not collapse into a single programming contest in which a Nursing or Education student can never appear.</w:t>
      </w:r>
    </w:p>
    <w:p>
      <w:pPr>
        <w:pStyle w:val="Heading2"/>
        <w:spacing w:after="120" w:before="300"/>
      </w:pPr>
      <w:r>
        <w:rPr>
          <w:rFonts w:ascii="Georgia" w:cs="Georgia" w:eastAsia="Georgia" w:hAnsi="Georgia"/>
          <w:b/>
          <w:bCs/>
          <w:color w:val="A84B12"/>
          <w:sz w:val="23"/>
          <w:szCs w:val="23"/>
        </w:rPr>
        <w:t xml:space="preserve">10.5  Rewards that do not require the platform to charge students</w:t>
      </w:r>
    </w:p>
    <w:p>
      <w:pPr>
        <w:spacing w:after="140" w:line="276"/>
        <w:jc w:val="both"/>
      </w:pPr>
      <w:r>
        <w:rPr>
          <w:rFonts w:ascii="Calibri" w:cs="Calibri" w:eastAsia="Calibri" w:hAnsi="Calibri"/>
          <w:color w:val="20262B"/>
          <w:sz w:val="21"/>
          <w:szCs w:val="21"/>
        </w:rPr>
        <w:t xml:space="preserve">The most valuable rewards available to a university cost very little money. The following are proposed:</w:t>
      </w:r>
    </w:p>
    <w:p>
      <w:pPr>
        <w:pStyle w:val="ListParagraph"/>
        <w:numPr>
          <w:ilvl w:val="0"/>
          <w:numId w:val="2"/>
        </w:numPr>
        <w:spacing w:after="80" w:line="268"/>
        <w:jc w:val="both"/>
      </w:pPr>
      <w:r>
        <w:rPr>
          <w:rFonts w:ascii="Calibri" w:cs="Calibri" w:eastAsia="Calibri" w:hAnsi="Calibri"/>
          <w:color w:val="20262B"/>
          <w:sz w:val="21"/>
          <w:szCs w:val="21"/>
        </w:rPr>
        <w:t xml:space="preserve">Recognition: certificates of contribution signed by the faculty advisor, and named recognitions such as Student Builder of the Trimester</w:t>
      </w:r>
    </w:p>
    <w:p>
      <w:pPr>
        <w:pStyle w:val="ListParagraph"/>
        <w:numPr>
          <w:ilvl w:val="0"/>
          <w:numId w:val="2"/>
        </w:numPr>
        <w:spacing w:after="80" w:line="268"/>
        <w:jc w:val="both"/>
      </w:pPr>
      <w:r>
        <w:rPr>
          <w:rFonts w:ascii="Calibri" w:cs="Calibri" w:eastAsia="Calibri" w:hAnsi="Calibri"/>
          <w:color w:val="20262B"/>
          <w:sz w:val="21"/>
          <w:szCs w:val="21"/>
        </w:rPr>
        <w:t xml:space="preserve">Visibility: featured projects on University channels, and invitations to present at University events</w:t>
      </w:r>
    </w:p>
    <w:p>
      <w:pPr>
        <w:pStyle w:val="ListParagraph"/>
        <w:numPr>
          <w:ilvl w:val="0"/>
          <w:numId w:val="2"/>
        </w:numPr>
        <w:spacing w:after="80" w:line="268"/>
        <w:jc w:val="both"/>
      </w:pPr>
      <w:r>
        <w:rPr>
          <w:rFonts w:ascii="Calibri" w:cs="Calibri" w:eastAsia="Calibri" w:hAnsi="Calibri"/>
          <w:color w:val="20262B"/>
          <w:sz w:val="21"/>
          <w:szCs w:val="21"/>
        </w:rPr>
        <w:t xml:space="preserve">Access: priority consideration for attachment and internship openings that reach the University, and introductions to alumni and industry mentors</w:t>
      </w:r>
    </w:p>
    <w:p>
      <w:pPr>
        <w:pStyle w:val="ListParagraph"/>
        <w:numPr>
          <w:ilvl w:val="0"/>
          <w:numId w:val="2"/>
        </w:numPr>
        <w:spacing w:after="80" w:line="268"/>
        <w:jc w:val="both"/>
      </w:pPr>
      <w:r>
        <w:rPr>
          <w:rFonts w:ascii="Calibri" w:cs="Calibri" w:eastAsia="Calibri" w:hAnsi="Calibri"/>
          <w:color w:val="20262B"/>
          <w:sz w:val="21"/>
          <w:szCs w:val="21"/>
        </w:rPr>
        <w:t xml:space="preserve">Advancement: consideration for research supervision, incubation support or leadership roles within the initiative</w:t>
      </w:r>
    </w:p>
    <w:p>
      <w:pPr>
        <w:pStyle w:val="ListParagraph"/>
        <w:numPr>
          <w:ilvl w:val="0"/>
          <w:numId w:val="2"/>
        </w:numPr>
        <w:spacing w:after="80" w:line="268"/>
        <w:jc w:val="both"/>
      </w:pPr>
      <w:r>
        <w:rPr>
          <w:rFonts w:ascii="Calibri" w:cs="Calibri" w:eastAsia="Calibri" w:hAnsi="Calibri"/>
          <w:color w:val="20262B"/>
          <w:sz w:val="21"/>
          <w:szCs w:val="21"/>
        </w:rPr>
        <w:t xml:space="preserve">Reference: substantiated letters of recommendation, backed by an inspectable record of actual work</w:t>
      </w:r>
    </w:p>
    <w:p>
      <w:pPr>
        <w:spacing w:after="60"/>
      </w:pPr>
      <w:r>
        <w:t xml:space="preserve"/>
      </w:r>
    </w:p>
    <w:p>
      <w:pPr>
        <w:spacing w:after="140" w:line="276"/>
        <w:jc w:val="both"/>
      </w:pPr>
      <w:r>
        <w:rPr>
          <w:rFonts w:ascii="Calibri" w:cs="Calibri" w:eastAsia="Calibri" w:hAnsi="Calibri"/>
          <w:color w:val="20262B"/>
          <w:sz w:val="21"/>
          <w:szCs w:val="21"/>
        </w:rPr>
        <w:t xml:space="preserve">Where partners wish to fund cash prizes for specific competitions, that is welcome, but the platform itself must remain entirely free to every student. Ability to pay must never determine ability to participate, and this should be treated as a non-negotiable condition of the initiative.</w:t>
      </w:r>
    </w:p>
    <w:p>
      <w:pPr>
        <w:pStyle w:val="Heading1"/>
        <w:pBdr>
          <w:bottom w:val="single" w:color="A84B12" w:sz="10" w:space="6"/>
        </w:pBdr>
        <w:spacing w:after="200" w:before="400"/>
      </w:pPr>
      <w:r>
        <w:rPr>
          <w:rFonts w:ascii="Georgia" w:cs="Georgia" w:eastAsia="Georgia" w:hAnsi="Georgia"/>
          <w:b/>
          <w:bCs/>
          <w:color w:val="1C2B36"/>
          <w:sz w:val="30"/>
          <w:szCs w:val="30"/>
        </w:rPr>
        <w:t xml:space="preserve">11.  The Role of Academic Staff</w:t>
      </w:r>
    </w:p>
    <w:p>
      <w:pPr>
        <w:spacing w:after="140" w:line="276"/>
        <w:jc w:val="both"/>
      </w:pPr>
      <w:r>
        <w:rPr>
          <w:rFonts w:ascii="Calibri" w:cs="Calibri" w:eastAsia="Calibri" w:hAnsi="Calibri"/>
          <w:color w:val="20262B"/>
          <w:sz w:val="21"/>
          <w:szCs w:val="21"/>
        </w:rPr>
        <w:t xml:space="preserve">The most predictable reason for an initiative of this kind to fail is that it quietly becomes unpaid additional work for teaching staff. The design therefore assumes from the outset that academic staff will give very little time, and arranges matters so that very little is sufficient.</w:t>
      </w:r>
    </w:p>
    <w:p>
      <w:pPr>
        <w:pStyle w:val="Heading2"/>
        <w:spacing w:after="120" w:before="300"/>
      </w:pPr>
      <w:r>
        <w:rPr>
          <w:rFonts w:ascii="Georgia" w:cs="Georgia" w:eastAsia="Georgia" w:hAnsi="Georgia"/>
          <w:b/>
          <w:bCs/>
          <w:color w:val="A84B12"/>
          <w:sz w:val="23"/>
          <w:szCs w:val="23"/>
        </w:rPr>
        <w:t xml:space="preserve">11.1  A three tier structure</w:t>
      </w:r>
    </w:p>
    <w:p>
      <w:pPr>
        <w:spacing w:after="140" w:line="276"/>
        <w:jc w:val="both"/>
      </w:pPr>
      <w:r>
        <w:rPr>
          <w:rFonts w:ascii="Calibri" w:cs="Calibri" w:eastAsia="Calibri" w:hAnsi="Calibri"/>
          <w:color w:val="20262B"/>
          <w:sz w:val="21"/>
          <w:szCs w:val="21"/>
        </w:rPr>
        <w:t xml:space="preserve">Day to day operation rests on students. Staff are involved only where academic judgement is genuinely required.</w:t>
      </w:r>
    </w:p>
    <w:p>
      <w:pPr>
        <w:spacing w:after="6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670"/>
      </w:tblGrid>
      <w:tr>
        <w:trPr>
          <w:tblHeader/>
        </w:trPr>
        <w:tc>
          <w:tcPr>
            <w:tcW w:type="dxa" w:w="2000"/>
            <w:tcBorders>
              <w:top w:val="single" w:color="A84B12" w:sz="3"/>
              <w:left w:val="none" w:color="FFFFFF" w:sz="0"/>
              <w:bottom w:val="single" w:color="A84B12" w:sz="6"/>
              <w:right w:val="none" w:color="FFFFFF" w:sz="0"/>
            </w:tcBorders>
            <w:shd w:fill="F3E9DF" w:color="auto" w:val="clear"/>
            <w:tcMar>
              <w:top w:type="dxa" w:w="90"/>
              <w:left w:type="dxa" w:w="130"/>
              <w:bottom w:type="dxa" w:w="90"/>
              <w:right w:type="dxa" w:w="130"/>
            </w:tcMar>
          </w:tcPr>
          <w:p>
            <w:pPr>
              <w:spacing w:after="60" w:before="60" w:line="250"/>
              <w:jc w:val="left"/>
            </w:pPr>
            <w:r>
              <w:rPr>
                <w:rFonts w:ascii="Calibri" w:cs="Calibri" w:eastAsia="Calibri" w:hAnsi="Calibri"/>
                <w:b/>
                <w:bCs/>
                <w:color w:val="1C2B36"/>
                <w:sz w:val="19"/>
                <w:szCs w:val="19"/>
              </w:rPr>
              <w:t xml:space="preserve">Tier</w:t>
            </w:r>
          </w:p>
        </w:tc>
        <w:tc>
          <w:tcPr>
            <w:tcW w:type="dxa" w:w="3400"/>
            <w:tcBorders>
              <w:top w:val="single" w:color="A84B12" w:sz="3"/>
              <w:left w:val="none" w:color="FFFFFF" w:sz="0"/>
              <w:bottom w:val="single" w:color="A84B12" w:sz="6"/>
              <w:right w:val="none" w:color="FFFFFF" w:sz="0"/>
            </w:tcBorders>
            <w:shd w:fill="F3E9DF" w:color="auto" w:val="clear"/>
            <w:tcMar>
              <w:top w:type="dxa" w:w="90"/>
              <w:left w:type="dxa" w:w="130"/>
              <w:bottom w:type="dxa" w:w="90"/>
              <w:right w:type="dxa" w:w="130"/>
            </w:tcMar>
          </w:tcPr>
          <w:p>
            <w:pPr>
              <w:spacing w:after="60" w:before="60" w:line="250"/>
              <w:jc w:val="left"/>
            </w:pPr>
            <w:r>
              <w:rPr>
                <w:rFonts w:ascii="Calibri" w:cs="Calibri" w:eastAsia="Calibri" w:hAnsi="Calibri"/>
                <w:b/>
                <w:bCs/>
                <w:color w:val="1C2B36"/>
                <w:sz w:val="19"/>
                <w:szCs w:val="19"/>
              </w:rPr>
              <w:t xml:space="preserve">Who</w:t>
            </w:r>
          </w:p>
        </w:tc>
        <w:tc>
          <w:tcPr>
            <w:tcW w:type="dxa" w:w="3670"/>
            <w:tcBorders>
              <w:top w:val="single" w:color="A84B12" w:sz="3"/>
              <w:left w:val="none" w:color="FFFFFF" w:sz="0"/>
              <w:bottom w:val="single" w:color="A84B12" w:sz="6"/>
              <w:right w:val="none" w:color="FFFFFF" w:sz="0"/>
            </w:tcBorders>
            <w:shd w:fill="F3E9DF" w:color="auto" w:val="clear"/>
            <w:tcMar>
              <w:top w:type="dxa" w:w="90"/>
              <w:left w:type="dxa" w:w="130"/>
              <w:bottom w:type="dxa" w:w="90"/>
              <w:right w:type="dxa" w:w="130"/>
            </w:tcMar>
          </w:tcPr>
          <w:p>
            <w:pPr>
              <w:spacing w:after="60" w:before="60" w:line="250"/>
              <w:jc w:val="left"/>
            </w:pPr>
            <w:r>
              <w:rPr>
                <w:rFonts w:ascii="Calibri" w:cs="Calibri" w:eastAsia="Calibri" w:hAnsi="Calibri"/>
                <w:b/>
                <w:bCs/>
                <w:color w:val="1C2B36"/>
                <w:sz w:val="19"/>
                <w:szCs w:val="19"/>
              </w:rPr>
              <w:t xml:space="preserve">Responsibility</w:t>
            </w:r>
          </w:p>
        </w:tc>
      </w:tr>
      <w:tr>
        <w:trPr>
          <w:tblHeader w:val="false"/>
        </w:trPr>
        <w:tc>
          <w:tcPr>
            <w:tcW w:type="dxa" w:w="20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bCs/>
                <w:color w:val="20262B"/>
                <w:sz w:val="19"/>
                <w:szCs w:val="19"/>
              </w:rPr>
              <w:t xml:space="preserve">Tier 1</w:t>
            </w:r>
          </w:p>
        </w:tc>
        <w:tc>
          <w:tcPr>
            <w:tcW w:type="dxa" w:w="34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val="false"/>
                <w:bCs w:val="false"/>
                <w:color w:val="20262B"/>
                <w:sz w:val="19"/>
                <w:szCs w:val="19"/>
              </w:rPr>
              <w:t xml:space="preserve">Student members</w:t>
            </w:r>
          </w:p>
        </w:tc>
        <w:tc>
          <w:tcPr>
            <w:tcW w:type="dxa" w:w="367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val="false"/>
                <w:bCs w:val="false"/>
                <w:color w:val="20262B"/>
                <w:sz w:val="19"/>
                <w:szCs w:val="19"/>
              </w:rPr>
              <w:t xml:space="preserve">Run activities: study groups, project teams, peer support, tutorials, events</w:t>
            </w:r>
          </w:p>
        </w:tc>
      </w:tr>
      <w:tr>
        <w:trPr>
          <w:tblHeader w:val="false"/>
        </w:trPr>
        <w:tc>
          <w:tcPr>
            <w:tcW w:type="dxa" w:w="20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bCs/>
                <w:color w:val="20262B"/>
                <w:sz w:val="19"/>
                <w:szCs w:val="19"/>
              </w:rPr>
              <w:t xml:space="preserve">Tier 2</w:t>
            </w:r>
          </w:p>
        </w:tc>
        <w:tc>
          <w:tcPr>
            <w:tcW w:type="dxa" w:w="34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val="false"/>
                <w:bCs w:val="false"/>
                <w:color w:val="20262B"/>
                <w:sz w:val="19"/>
                <w:szCs w:val="19"/>
              </w:rPr>
              <w:t xml:space="preserve">Community and project leads</w:t>
            </w:r>
          </w:p>
        </w:tc>
        <w:tc>
          <w:tcPr>
            <w:tcW w:type="dxa" w:w="367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val="false"/>
                <w:bCs w:val="false"/>
                <w:color w:val="20262B"/>
                <w:sz w:val="19"/>
                <w:szCs w:val="19"/>
              </w:rPr>
              <w:t xml:space="preserve">Coordinate their areas, screen proposals, moderate, escalate anything contentious</w:t>
            </w:r>
          </w:p>
        </w:tc>
      </w:tr>
      <w:tr>
        <w:trPr>
          <w:tblHeader w:val="false"/>
        </w:trPr>
        <w:tc>
          <w:tcPr>
            <w:tcW w:type="dxa" w:w="20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bCs/>
                <w:color w:val="20262B"/>
                <w:sz w:val="19"/>
                <w:szCs w:val="19"/>
              </w:rPr>
              <w:t xml:space="preserve">Tier 3</w:t>
            </w:r>
          </w:p>
        </w:tc>
        <w:tc>
          <w:tcPr>
            <w:tcW w:type="dxa" w:w="34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val="false"/>
                <w:bCs w:val="false"/>
                <w:color w:val="20262B"/>
                <w:sz w:val="19"/>
                <w:szCs w:val="19"/>
              </w:rPr>
              <w:t xml:space="preserve">Faculty mentors and the faculty advisor</w:t>
            </w:r>
          </w:p>
        </w:tc>
        <w:tc>
          <w:tcPr>
            <w:tcW w:type="dxa" w:w="367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val="false"/>
                <w:bCs w:val="false"/>
                <w:color w:val="20262B"/>
                <w:sz w:val="19"/>
                <w:szCs w:val="19"/>
              </w:rPr>
              <w:t xml:space="preserve">Validate quality, advise on approach, adjudicate escalations, sign off completed projects, connect students to research and industry opportunities</w:t>
            </w:r>
          </w:p>
        </w:tc>
      </w:tr>
    </w:tbl>
    <w:p>
      <w:pPr>
        <w:spacing w:after="220" w:before="100"/>
      </w:pPr>
      <w:r>
        <w:rPr>
          <w:rFonts w:ascii="Calibri" w:cs="Calibri" w:eastAsia="Calibri" w:hAnsi="Calibri"/>
          <w:i/>
          <w:iCs/>
          <w:color w:val="6B6560"/>
          <w:sz w:val="17"/>
          <w:szCs w:val="17"/>
        </w:rPr>
        <w:t xml:space="preserve">Table 7: Three tiers of responsibility. Staff sit only in Tier 3.</w:t>
      </w:r>
    </w:p>
    <w:p>
      <w:pPr>
        <w:pStyle w:val="Heading2"/>
        <w:spacing w:after="120" w:before="300"/>
      </w:pPr>
      <w:r>
        <w:rPr>
          <w:rFonts w:ascii="Georgia" w:cs="Georgia" w:eastAsia="Georgia" w:hAnsi="Georgia"/>
          <w:b/>
          <w:bCs/>
          <w:color w:val="A84B12"/>
          <w:sz w:val="23"/>
          <w:szCs w:val="23"/>
        </w:rPr>
        <w:t xml:space="preserve">11.2  What is actually asked of a mentor</w:t>
      </w:r>
    </w:p>
    <w:p>
      <w:pPr>
        <w:spacing w:after="140" w:line="276"/>
        <w:jc w:val="both"/>
      </w:pPr>
      <w:r>
        <w:rPr>
          <w:rFonts w:ascii="Calibri" w:cs="Calibri" w:eastAsia="Calibri" w:hAnsi="Calibri"/>
          <w:color w:val="20262B"/>
          <w:sz w:val="21"/>
          <w:szCs w:val="21"/>
        </w:rPr>
        <w:t xml:space="preserve">A faculty mentor is not asked to teach a course, to be available on demand, or to be present at every session. The commitment sought is approximately two to four hours a month, comprising a short monthly check-in with the teams they advise, occasional review of submitted work, and sign-off at the end of a project. A mentor may withdraw at any time without explanation and without prejudice.</w:t>
      </w:r>
    </w:p>
    <w:p>
      <w:pPr>
        <w:pStyle w:val="Heading2"/>
        <w:spacing w:after="120" w:before="300"/>
      </w:pPr>
      <w:r>
        <w:rPr>
          <w:rFonts w:ascii="Georgia" w:cs="Georgia" w:eastAsia="Georgia" w:hAnsi="Georgia"/>
          <w:b/>
          <w:bCs/>
          <w:color w:val="A84B12"/>
          <w:sz w:val="23"/>
          <w:szCs w:val="23"/>
        </w:rPr>
        <w:t xml:space="preserve">11.3  Recognition for staff</w:t>
      </w:r>
    </w:p>
    <w:p>
      <w:pPr>
        <w:spacing w:after="140" w:line="276"/>
        <w:jc w:val="both"/>
      </w:pPr>
      <w:r>
        <w:rPr>
          <w:rFonts w:ascii="Calibri" w:cs="Calibri" w:eastAsia="Calibri" w:hAnsi="Calibri"/>
          <w:color w:val="20262B"/>
          <w:sz w:val="21"/>
          <w:szCs w:val="21"/>
        </w:rPr>
        <w:t xml:space="preserve">Mentorship should be visible and creditable, not invisible goodwill. The initiative proposes to maintain a record of staff mentorship contributions and to provide, on request, a formal statement of that contribution for use in performance review, promotion files and academic portfolios. Named recognitions such as Mentor of the Year are proposed, together with acknowledgement of mentors on the published record of any project they supervised. Staff who mentor project teams are also well placed to identify strong candidates for research supervision, which is a benefit to them as well as to the student.</w:t>
      </w:r>
    </w:p>
    <w:p>
      <w:pPr>
        <w:pStyle w:val="Heading1"/>
        <w:pBdr>
          <w:bottom w:val="single" w:color="A84B12" w:sz="10" w:space="6"/>
        </w:pBdr>
        <w:spacing w:after="200" w:before="400"/>
      </w:pPr>
      <w:r>
        <w:rPr>
          <w:rFonts w:ascii="Georgia" w:cs="Georgia" w:eastAsia="Georgia" w:hAnsi="Georgia"/>
          <w:b/>
          <w:bCs/>
          <w:color w:val="1C2B36"/>
          <w:sz w:val="30"/>
          <w:szCs w:val="30"/>
        </w:rPr>
        <w:t xml:space="preserve">12.  Governance and Accountability</w:t>
      </w:r>
    </w:p>
    <w:p>
      <w:pPr>
        <w:spacing w:after="140" w:line="276"/>
        <w:jc w:val="both"/>
      </w:pPr>
      <w:r>
        <w:rPr>
          <w:rFonts w:ascii="Calibri" w:cs="Calibri" w:eastAsia="Calibri" w:hAnsi="Calibri"/>
          <w:color w:val="20262B"/>
          <w:sz w:val="21"/>
          <w:szCs w:val="21"/>
        </w:rPr>
        <w:t xml:space="preserve">The initiative must be accountable to the University without being absorbed into administration. The following structure is proposed.</w:t>
      </w:r>
    </w:p>
    <w:p>
      <w:pPr>
        <w:spacing w:after="6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rPr>
          <w:tblHeader/>
        </w:trPr>
        <w:tc>
          <w:tcPr>
            <w:tcW w:type="dxa" w:w="2600"/>
            <w:tcBorders>
              <w:top w:val="single" w:color="A84B12" w:sz="3"/>
              <w:left w:val="none" w:color="FFFFFF" w:sz="0"/>
              <w:bottom w:val="single" w:color="A84B12" w:sz="6"/>
              <w:right w:val="none" w:color="FFFFFF" w:sz="0"/>
            </w:tcBorders>
            <w:shd w:fill="F3E9DF" w:color="auto" w:val="clear"/>
            <w:tcMar>
              <w:top w:type="dxa" w:w="90"/>
              <w:left w:type="dxa" w:w="130"/>
              <w:bottom w:type="dxa" w:w="90"/>
              <w:right w:type="dxa" w:w="130"/>
            </w:tcMar>
          </w:tcPr>
          <w:p>
            <w:pPr>
              <w:spacing w:after="60" w:before="60" w:line="250"/>
              <w:jc w:val="left"/>
            </w:pPr>
            <w:r>
              <w:rPr>
                <w:rFonts w:ascii="Calibri" w:cs="Calibri" w:eastAsia="Calibri" w:hAnsi="Calibri"/>
                <w:b/>
                <w:bCs/>
                <w:color w:val="1C2B36"/>
                <w:sz w:val="19"/>
                <w:szCs w:val="19"/>
              </w:rPr>
              <w:t xml:space="preserve">Body</w:t>
            </w:r>
          </w:p>
        </w:tc>
        <w:tc>
          <w:tcPr>
            <w:tcW w:type="dxa" w:w="6470"/>
            <w:tcBorders>
              <w:top w:val="single" w:color="A84B12" w:sz="3"/>
              <w:left w:val="none" w:color="FFFFFF" w:sz="0"/>
              <w:bottom w:val="single" w:color="A84B12" w:sz="6"/>
              <w:right w:val="none" w:color="FFFFFF" w:sz="0"/>
            </w:tcBorders>
            <w:shd w:fill="F3E9DF" w:color="auto" w:val="clear"/>
            <w:tcMar>
              <w:top w:type="dxa" w:w="90"/>
              <w:left w:type="dxa" w:w="130"/>
              <w:bottom w:type="dxa" w:w="90"/>
              <w:right w:type="dxa" w:w="130"/>
            </w:tcMar>
          </w:tcPr>
          <w:p>
            <w:pPr>
              <w:spacing w:after="60" w:before="60" w:line="250"/>
              <w:jc w:val="left"/>
            </w:pPr>
            <w:r>
              <w:rPr>
                <w:rFonts w:ascii="Calibri" w:cs="Calibri" w:eastAsia="Calibri" w:hAnsi="Calibri"/>
                <w:b/>
                <w:bCs/>
                <w:color w:val="1C2B36"/>
                <w:sz w:val="19"/>
                <w:szCs w:val="19"/>
              </w:rPr>
              <w:t xml:space="preserve">Composition and function</w:t>
            </w:r>
          </w:p>
        </w:tc>
      </w:tr>
      <w:tr>
        <w:trPr>
          <w:tblHeader w:val="false"/>
        </w:trPr>
        <w:tc>
          <w:tcPr>
            <w:tcW w:type="dxa" w:w="26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bCs/>
                <w:color w:val="20262B"/>
                <w:sz w:val="19"/>
                <w:szCs w:val="19"/>
              </w:rPr>
              <w:t xml:space="preserve">Faculty Advisor</w:t>
            </w:r>
          </w:p>
        </w:tc>
        <w:tc>
          <w:tcPr>
            <w:tcW w:type="dxa" w:w="647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val="false"/>
                <w:bCs w:val="false"/>
                <w:color w:val="20262B"/>
                <w:sz w:val="19"/>
                <w:szCs w:val="19"/>
              </w:rPr>
              <w:t xml:space="preserve">A member of academic staff appointed by the University. Holds the institutional relationship, approves public communications, and is the escalation point for any serious matter.</w:t>
            </w:r>
          </w:p>
        </w:tc>
      </w:tr>
      <w:tr>
        <w:trPr>
          <w:tblHeader w:val="false"/>
        </w:trPr>
        <w:tc>
          <w:tcPr>
            <w:tcW w:type="dxa" w:w="26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bCs/>
                <w:color w:val="20262B"/>
                <w:sz w:val="19"/>
                <w:szCs w:val="19"/>
              </w:rPr>
              <w:t xml:space="preserve">Advisory Committee</w:t>
            </w:r>
          </w:p>
        </w:tc>
        <w:tc>
          <w:tcPr>
            <w:tcW w:type="dxa" w:w="647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val="false"/>
                <w:bCs w:val="false"/>
                <w:color w:val="20262B"/>
                <w:sz w:val="19"/>
                <w:szCs w:val="19"/>
              </w:rPr>
              <w:t xml:space="preserve">The faculty advisor, one representative of the Directorate of ICT, one representative of the Dean of Students, one alumni representative and one industry representative where available. Meets once a trimester to review progress and risk.</w:t>
            </w:r>
          </w:p>
        </w:tc>
      </w:tr>
      <w:tr>
        <w:trPr>
          <w:tblHeader w:val="false"/>
        </w:trPr>
        <w:tc>
          <w:tcPr>
            <w:tcW w:type="dxa" w:w="26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bCs/>
                <w:color w:val="20262B"/>
                <w:sz w:val="19"/>
                <w:szCs w:val="19"/>
              </w:rPr>
              <w:t xml:space="preserve">Student Executive</w:t>
            </w:r>
          </w:p>
        </w:tc>
        <w:tc>
          <w:tcPr>
            <w:tcW w:type="dxa" w:w="647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val="false"/>
                <w:bCs w:val="false"/>
                <w:color w:val="20262B"/>
                <w:sz w:val="19"/>
                <w:szCs w:val="19"/>
              </w:rPr>
              <w:t xml:space="preserve">A coordinator, technical lead, community lead, communications lead and secretary. Elected annually by active members. Runs the initiative day to day.</w:t>
            </w:r>
          </w:p>
        </w:tc>
      </w:tr>
      <w:tr>
        <w:trPr>
          <w:tblHeader w:val="false"/>
        </w:trPr>
        <w:tc>
          <w:tcPr>
            <w:tcW w:type="dxa" w:w="26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bCs/>
                <w:color w:val="20262B"/>
                <w:sz w:val="19"/>
                <w:szCs w:val="19"/>
              </w:rPr>
              <w:t xml:space="preserve">Community Leads</w:t>
            </w:r>
          </w:p>
        </w:tc>
        <w:tc>
          <w:tcPr>
            <w:tcW w:type="dxa" w:w="647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val="false"/>
                <w:bCs w:val="false"/>
                <w:color w:val="20262B"/>
                <w:sz w:val="19"/>
                <w:szCs w:val="19"/>
              </w:rPr>
              <w:t xml:space="preserve">One per discipline area, appointed by the student executive in consultation with the faculty advisor.</w:t>
            </w:r>
          </w:p>
        </w:tc>
      </w:tr>
      <w:tr>
        <w:trPr>
          <w:tblHeader w:val="false"/>
        </w:trPr>
        <w:tc>
          <w:tcPr>
            <w:tcW w:type="dxa" w:w="26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bCs/>
                <w:color w:val="20262B"/>
                <w:sz w:val="19"/>
                <w:szCs w:val="19"/>
              </w:rPr>
              <w:t xml:space="preserve">Members</w:t>
            </w:r>
          </w:p>
        </w:tc>
        <w:tc>
          <w:tcPr>
            <w:tcW w:type="dxa" w:w="647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val="false"/>
                <w:bCs w:val="false"/>
                <w:color w:val="20262B"/>
                <w:sz w:val="19"/>
                <w:szCs w:val="19"/>
              </w:rPr>
              <w:t xml:space="preserve">All registered students of the University who choose to participate.</w:t>
            </w:r>
          </w:p>
        </w:tc>
      </w:tr>
    </w:tbl>
    <w:p>
      <w:pPr>
        <w:spacing w:after="220" w:before="100"/>
      </w:pPr>
      <w:r>
        <w:rPr>
          <w:rFonts w:ascii="Calibri" w:cs="Calibri" w:eastAsia="Calibri" w:hAnsi="Calibri"/>
          <w:i/>
          <w:iCs/>
          <w:color w:val="6B6560"/>
          <w:sz w:val="17"/>
          <w:szCs w:val="17"/>
        </w:rPr>
        <w:t xml:space="preserve">Table 8: Proposed governance structure.</w:t>
      </w:r>
    </w:p>
    <w:p>
      <w:pPr>
        <w:spacing w:after="140" w:line="276"/>
        <w:jc w:val="both"/>
      </w:pPr>
      <w:r>
        <w:rPr>
          <w:rFonts w:ascii="Calibri" w:cs="Calibri" w:eastAsia="Calibri" w:hAnsi="Calibri"/>
          <w:color w:val="20262B"/>
          <w:sz w:val="21"/>
          <w:szCs w:val="21"/>
        </w:rPr>
        <w:t xml:space="preserve">Three accountability commitments accompany this structure. The student executive would report in writing to the faculty advisor each trimester on membership, activity, completed projects and incidents. The University would retain the right to suspend the initiative at any time. And the initiative would operate under a published code of conduct and acceptable use policy, submitted to the University for approval before launch.</w:t>
      </w:r>
    </w:p>
    <w:p>
      <w:pPr>
        <w:pStyle w:val="Heading2"/>
        <w:spacing w:after="120" w:before="300"/>
      </w:pPr>
      <w:r>
        <w:rPr>
          <w:rFonts w:ascii="Georgia" w:cs="Georgia" w:eastAsia="Georgia" w:hAnsi="Georgia"/>
          <w:b/>
          <w:bCs/>
          <w:color w:val="A84B12"/>
          <w:sz w:val="23"/>
          <w:szCs w:val="23"/>
        </w:rPr>
        <w:t xml:space="preserve">12.1  Relationship to any external entity</w:t>
      </w:r>
    </w:p>
    <w:p>
      <w:pPr>
        <w:spacing w:after="140" w:line="276"/>
        <w:jc w:val="both"/>
      </w:pPr>
      <w:r>
        <w:rPr>
          <w:rFonts w:ascii="Calibri" w:cs="Calibri" w:eastAsia="Calibri" w:hAnsi="Calibri"/>
          <w:color w:val="20262B"/>
          <w:sz w:val="21"/>
          <w:szCs w:val="21"/>
        </w:rPr>
        <w:t xml:space="preserve">It should be stated plainly, since the proposer is the founder of a private technology company, that FORGE is proposed as a University student initiative and not as a commercial product. No commercial entity would hold ownership of the platform, its code or its data. Any external technical assistance would be provided voluntarily and would be disclosed to the Advisory Committee. Should the University at any future point wish to enter a commercial arrangement with any party in relation to this work, that would be a separate matter decided by the University through its own procurement processes, and the proposer would recuse himself from that decision.</w:t>
      </w:r>
    </w:p>
    <w:p>
      <w:pPr>
        <w:pStyle w:val="Heading1"/>
        <w:pBdr>
          <w:bottom w:val="single" w:color="A84B12" w:sz="10" w:space="6"/>
        </w:pBdr>
        <w:spacing w:after="200" w:before="400"/>
      </w:pPr>
      <w:r>
        <w:rPr>
          <w:rFonts w:ascii="Georgia" w:cs="Georgia" w:eastAsia="Georgia" w:hAnsi="Georgia"/>
          <w:b/>
          <w:bCs/>
          <w:color w:val="1C2B36"/>
          <w:sz w:val="30"/>
          <w:szCs w:val="30"/>
        </w:rPr>
        <w:t xml:space="preserve">13.  Intellectual Property and Student Ownership</w:t>
      </w:r>
    </w:p>
    <w:p>
      <w:pPr>
        <w:spacing w:after="140" w:line="276"/>
        <w:jc w:val="both"/>
      </w:pPr>
      <w:r>
        <w:rPr>
          <w:rFonts w:ascii="Calibri" w:cs="Calibri" w:eastAsia="Calibri" w:hAnsi="Calibri"/>
          <w:color w:val="20262B"/>
          <w:sz w:val="21"/>
          <w:szCs w:val="21"/>
        </w:rPr>
        <w:t xml:space="preserve">Students will not invest serious effort in work whose ownership is unclear. The following position is proposed, subject to the University’s intellectual property policy, which would take precedence in any conflict.</w:t>
      </w:r>
    </w:p>
    <w:p>
      <w:pPr>
        <w:pStyle w:val="ListParagraph"/>
        <w:numPr>
          <w:ilvl w:val="0"/>
          <w:numId w:val="5"/>
        </w:numPr>
        <w:spacing w:after="100" w:line="272"/>
        <w:jc w:val="both"/>
      </w:pPr>
      <w:r>
        <w:rPr>
          <w:rFonts w:ascii="Calibri" w:cs="Calibri" w:eastAsia="Calibri" w:hAnsi="Calibri"/>
          <w:color w:val="20262B"/>
          <w:sz w:val="21"/>
          <w:szCs w:val="21"/>
        </w:rPr>
        <w:t xml:space="preserve">Work created by students on FORGE belongs to its creators. The platform provides infrastructure and recognition, and takes no ownership interest in student work.</w:t>
      </w:r>
    </w:p>
    <w:p>
      <w:pPr>
        <w:pStyle w:val="ListParagraph"/>
        <w:numPr>
          <w:ilvl w:val="0"/>
          <w:numId w:val="5"/>
        </w:numPr>
        <w:spacing w:after="100" w:line="272"/>
        <w:jc w:val="both"/>
      </w:pPr>
      <w:r>
        <w:rPr>
          <w:rFonts w:ascii="Calibri" w:cs="Calibri" w:eastAsia="Calibri" w:hAnsi="Calibri"/>
          <w:color w:val="20262B"/>
          <w:sz w:val="21"/>
          <w:szCs w:val="21"/>
        </w:rPr>
        <w:t xml:space="preserve">Teams agree ownership among themselves before work begins, using a simple template provided by the platform, so that disputes are settled at the outset rather than at the point of success.</w:t>
      </w:r>
    </w:p>
    <w:p>
      <w:pPr>
        <w:pStyle w:val="ListParagraph"/>
        <w:numPr>
          <w:ilvl w:val="0"/>
          <w:numId w:val="5"/>
        </w:numPr>
        <w:spacing w:after="100" w:line="272"/>
        <w:jc w:val="both"/>
      </w:pPr>
      <w:r>
        <w:rPr>
          <w:rFonts w:ascii="Calibri" w:cs="Calibri" w:eastAsia="Calibri" w:hAnsi="Calibri"/>
          <w:color w:val="20262B"/>
          <w:sz w:val="21"/>
          <w:szCs w:val="21"/>
        </w:rPr>
        <w:t xml:space="preserve">The platform is granted only a limited licence to display submitted work for the purposes of review, portfolio and showcase within the University community.</w:t>
      </w:r>
    </w:p>
    <w:p>
      <w:pPr>
        <w:pStyle w:val="ListParagraph"/>
        <w:numPr>
          <w:ilvl w:val="0"/>
          <w:numId w:val="5"/>
        </w:numPr>
        <w:spacing w:after="100" w:line="272"/>
        <w:jc w:val="both"/>
      </w:pPr>
      <w:r>
        <w:rPr>
          <w:rFonts w:ascii="Calibri" w:cs="Calibri" w:eastAsia="Calibri" w:hAnsi="Calibri"/>
          <w:color w:val="20262B"/>
          <w:sz w:val="21"/>
          <w:szCs w:val="21"/>
        </w:rPr>
        <w:t xml:space="preserve">Where a project uses University resources, data, branding or supervision in a substantial way, the University’s intellectual property policy applies, and the team is told this before the project is approved.</w:t>
      </w:r>
    </w:p>
    <w:p>
      <w:pPr>
        <w:pStyle w:val="ListParagraph"/>
        <w:numPr>
          <w:ilvl w:val="0"/>
          <w:numId w:val="5"/>
        </w:numPr>
        <w:spacing w:after="100" w:line="272"/>
        <w:jc w:val="both"/>
      </w:pPr>
      <w:r>
        <w:rPr>
          <w:rFonts w:ascii="Calibri" w:cs="Calibri" w:eastAsia="Calibri" w:hAnsi="Calibri"/>
          <w:color w:val="20262B"/>
          <w:sz w:val="21"/>
          <w:szCs w:val="21"/>
        </w:rPr>
        <w:t xml:space="preserve">Releasing a project as open source is encouraged but never compulsory. A student who wishes to commercialise their work retains that right.</w:t>
      </w:r>
    </w:p>
    <w:p>
      <w:pPr>
        <w:pStyle w:val="ListParagraph"/>
        <w:numPr>
          <w:ilvl w:val="0"/>
          <w:numId w:val="5"/>
        </w:numPr>
        <w:spacing w:after="100" w:line="272"/>
        <w:jc w:val="both"/>
      </w:pPr>
      <w:r>
        <w:rPr>
          <w:rFonts w:ascii="Calibri" w:cs="Calibri" w:eastAsia="Calibri" w:hAnsi="Calibri"/>
          <w:color w:val="20262B"/>
          <w:sz w:val="21"/>
          <w:szCs w:val="21"/>
        </w:rPr>
        <w:t xml:space="preserve">Attribution is mandatory. Every contributor named on a project remains named on it permanently.</w:t>
      </w:r>
    </w:p>
    <w:p>
      <w:pPr>
        <w:pStyle w:val="Heading1"/>
        <w:pBdr>
          <w:bottom w:val="single" w:color="A84B12" w:sz="10" w:space="6"/>
        </w:pBdr>
        <w:spacing w:after="200" w:before="400"/>
      </w:pPr>
      <w:r>
        <w:rPr>
          <w:rFonts w:ascii="Georgia" w:cs="Georgia" w:eastAsia="Georgia" w:hAnsi="Georgia"/>
          <w:b/>
          <w:bCs/>
          <w:color w:val="1C2B36"/>
          <w:sz w:val="30"/>
          <w:szCs w:val="30"/>
        </w:rPr>
        <w:t xml:space="preserve">14.  Safeguarding, Privacy and Data Protection</w:t>
      </w:r>
    </w:p>
    <w:p>
      <w:pPr>
        <w:spacing w:after="140" w:line="276"/>
        <w:jc w:val="both"/>
      </w:pPr>
      <w:r>
        <w:rPr>
          <w:rFonts w:ascii="Calibri" w:cs="Calibri" w:eastAsia="Calibri" w:hAnsi="Calibri"/>
          <w:color w:val="20262B"/>
          <w:sz w:val="21"/>
          <w:szCs w:val="21"/>
        </w:rPr>
        <w:t xml:space="preserve">Because the initiative would carry the University’s name and serve its students, its risk posture must be conservative from the first day rather than retrofitted later.</w:t>
      </w:r>
    </w:p>
    <w:p>
      <w:pPr>
        <w:pStyle w:val="Heading2"/>
        <w:spacing w:after="120" w:before="300"/>
      </w:pPr>
      <w:r>
        <w:rPr>
          <w:rFonts w:ascii="Georgia" w:cs="Georgia" w:eastAsia="Georgia" w:hAnsi="Georgia"/>
          <w:b/>
          <w:bCs/>
          <w:color w:val="A84B12"/>
          <w:sz w:val="23"/>
          <w:szCs w:val="23"/>
        </w:rPr>
        <w:t xml:space="preserve">14.1  Personal data</w:t>
      </w:r>
    </w:p>
    <w:p>
      <w:pPr>
        <w:spacing w:after="140" w:line="276"/>
        <w:jc w:val="both"/>
      </w:pPr>
      <w:r>
        <w:rPr>
          <w:rFonts w:ascii="Calibri" w:cs="Calibri" w:eastAsia="Calibri" w:hAnsi="Calibri"/>
          <w:color w:val="20262B"/>
          <w:sz w:val="21"/>
          <w:szCs w:val="21"/>
        </w:rPr>
        <w:t xml:space="preserve">The platform would collect the minimum necessary: name, University email, programme and year of study, together with whatever a student voluntarily adds to a portfolio. No national identification numbers, no financial information and no sensitive personal data would be collected. Processing would be conducted in accordance with the Data Protection Act, 2019, under a privacy notice approved by the University, with a documented retention schedule and a mechanism for a student to export or delete their profile on request.</w:t>
      </w:r>
    </w:p>
    <w:p>
      <w:pPr>
        <w:pStyle w:val="Heading2"/>
        <w:spacing w:after="120" w:before="300"/>
      </w:pPr>
      <w:r>
        <w:rPr>
          <w:rFonts w:ascii="Georgia" w:cs="Georgia" w:eastAsia="Georgia" w:hAnsi="Georgia"/>
          <w:b/>
          <w:bCs/>
          <w:color w:val="A84B12"/>
          <w:sz w:val="23"/>
          <w:szCs w:val="23"/>
        </w:rPr>
        <w:t xml:space="preserve">14.2  Security of the platform</w:t>
      </w:r>
    </w:p>
    <w:p>
      <w:pPr>
        <w:pStyle w:val="ListParagraph"/>
        <w:numPr>
          <w:ilvl w:val="0"/>
          <w:numId w:val="2"/>
        </w:numPr>
        <w:spacing w:after="80" w:line="268"/>
        <w:jc w:val="both"/>
      </w:pPr>
      <w:r>
        <w:rPr>
          <w:rFonts w:ascii="Calibri" w:cs="Calibri" w:eastAsia="Calibri" w:hAnsi="Calibri"/>
          <w:color w:val="20262B"/>
          <w:sz w:val="21"/>
          <w:szCs w:val="21"/>
        </w:rPr>
        <w:t xml:space="preserve">Authentication against University identity, with role based access control throughout</w:t>
      </w:r>
    </w:p>
    <w:p>
      <w:pPr>
        <w:pStyle w:val="ListParagraph"/>
        <w:numPr>
          <w:ilvl w:val="0"/>
          <w:numId w:val="2"/>
        </w:numPr>
        <w:spacing w:after="80" w:line="268"/>
        <w:jc w:val="both"/>
      </w:pPr>
      <w:r>
        <w:rPr>
          <w:rFonts w:ascii="Calibri" w:cs="Calibri" w:eastAsia="Calibri" w:hAnsi="Calibri"/>
          <w:color w:val="20262B"/>
          <w:sz w:val="21"/>
          <w:szCs w:val="21"/>
        </w:rPr>
        <w:t xml:space="preserve">Encryption in transit, hashed credentials, and secrets held outside the source repository</w:t>
      </w:r>
    </w:p>
    <w:p>
      <w:pPr>
        <w:pStyle w:val="ListParagraph"/>
        <w:numPr>
          <w:ilvl w:val="0"/>
          <w:numId w:val="2"/>
        </w:numPr>
        <w:spacing w:after="80" w:line="268"/>
        <w:jc w:val="both"/>
      </w:pPr>
      <w:r>
        <w:rPr>
          <w:rFonts w:ascii="Calibri" w:cs="Calibri" w:eastAsia="Calibri" w:hAnsi="Calibri"/>
          <w:color w:val="20262B"/>
          <w:sz w:val="21"/>
          <w:szCs w:val="21"/>
        </w:rPr>
        <w:t xml:space="preserve">Audit logging of administrative actions, with logs retained for review</w:t>
      </w:r>
    </w:p>
    <w:p>
      <w:pPr>
        <w:pStyle w:val="ListParagraph"/>
        <w:numPr>
          <w:ilvl w:val="0"/>
          <w:numId w:val="2"/>
        </w:numPr>
        <w:spacing w:after="80" w:line="268"/>
        <w:jc w:val="both"/>
      </w:pPr>
      <w:r>
        <w:rPr>
          <w:rFonts w:ascii="Calibri" w:cs="Calibri" w:eastAsia="Calibri" w:hAnsi="Calibri"/>
          <w:color w:val="20262B"/>
          <w:sz w:val="21"/>
          <w:szCs w:val="21"/>
        </w:rPr>
        <w:t xml:space="preserve">Secure development practice, dependency scanning and a documented process for handling reported vulnerabilities</w:t>
      </w:r>
    </w:p>
    <w:p>
      <w:pPr>
        <w:pStyle w:val="ListParagraph"/>
        <w:numPr>
          <w:ilvl w:val="0"/>
          <w:numId w:val="2"/>
        </w:numPr>
        <w:spacing w:after="80" w:line="268"/>
        <w:jc w:val="both"/>
      </w:pPr>
      <w:r>
        <w:rPr>
          <w:rFonts w:ascii="Calibri" w:cs="Calibri" w:eastAsia="Calibri" w:hAnsi="Calibri"/>
          <w:color w:val="20262B"/>
          <w:sz w:val="21"/>
          <w:szCs w:val="21"/>
        </w:rPr>
        <w:t xml:space="preserve">Regular backups with periodic restoration tests, since an untested backup is not a backup</w:t>
      </w:r>
    </w:p>
    <w:p>
      <w:pPr>
        <w:pStyle w:val="Heading2"/>
        <w:spacing w:after="120" w:before="300"/>
      </w:pPr>
      <w:r>
        <w:rPr>
          <w:rFonts w:ascii="Georgia" w:cs="Georgia" w:eastAsia="Georgia" w:hAnsi="Georgia"/>
          <w:b/>
          <w:bCs/>
          <w:color w:val="A84B12"/>
          <w:sz w:val="23"/>
          <w:szCs w:val="23"/>
        </w:rPr>
        <w:t xml:space="preserve">14.3  Practical exercises in technical disciplines</w:t>
      </w:r>
    </w:p>
    <w:p>
      <w:pPr>
        <w:spacing w:after="140" w:line="276"/>
        <w:jc w:val="both"/>
      </w:pPr>
      <w:r>
        <w:rPr>
          <w:rFonts w:ascii="Calibri" w:cs="Calibri" w:eastAsia="Calibri" w:hAnsi="Calibri"/>
          <w:color w:val="20262B"/>
          <w:sz w:val="21"/>
          <w:szCs w:val="21"/>
        </w:rPr>
        <w:t xml:space="preserve">This point is stated unambiguously. No offensive security exercise, penetration test or intrusive network activity would ever be permitted against University systems, against any third party, or against any live infrastructure. All such exercises would be confined to isolated environments purpose built for the exercise. Participants would accept a written acceptable use undertaking that references the Computer Misuse and Cybercrimes Act, 2018. Breach would result in immediate removal from the platform and referral to the University under its own disciplinary procedures.</w:t>
      </w:r>
    </w:p>
    <w:p>
      <w:pPr>
        <w:pStyle w:val="Heading2"/>
        <w:spacing w:after="120" w:before="300"/>
      </w:pPr>
      <w:r>
        <w:rPr>
          <w:rFonts w:ascii="Georgia" w:cs="Georgia" w:eastAsia="Georgia" w:hAnsi="Georgia"/>
          <w:b/>
          <w:bCs/>
          <w:color w:val="A84B12"/>
          <w:sz w:val="23"/>
          <w:szCs w:val="23"/>
        </w:rPr>
        <w:t xml:space="preserve">14.4  Conduct and moderation</w:t>
      </w:r>
    </w:p>
    <w:p>
      <w:pPr>
        <w:spacing w:after="140" w:line="276"/>
        <w:jc w:val="both"/>
      </w:pPr>
      <w:r>
        <w:rPr>
          <w:rFonts w:ascii="Calibri" w:cs="Calibri" w:eastAsia="Calibri" w:hAnsi="Calibri"/>
          <w:color w:val="20262B"/>
          <w:sz w:val="21"/>
          <w:szCs w:val="21"/>
        </w:rPr>
        <w:t xml:space="preserve">A published code of conduct would govern behaviour, with active moderation by community leads, a clear reporting route to the faculty advisor for anything serious, and defined sanctions. Academic dishonesty, harassment and the misrepresentation of another person’s work as one’s own would be treated as grounds for removal.</w:t>
      </w:r>
    </w:p>
    <w:p>
      <w:pPr>
        <w:pStyle w:val="Heading1"/>
        <w:pBdr>
          <w:bottom w:val="single" w:color="A84B12" w:sz="10" w:space="6"/>
        </w:pBdr>
        <w:spacing w:after="200" w:before="400"/>
      </w:pPr>
      <w:r>
        <w:rPr>
          <w:rFonts w:ascii="Georgia" w:cs="Georgia" w:eastAsia="Georgia" w:hAnsi="Georgia"/>
          <w:b/>
          <w:bCs/>
          <w:color w:val="1C2B36"/>
          <w:sz w:val="30"/>
          <w:szCs w:val="30"/>
        </w:rPr>
        <w:t xml:space="preserve">15.  Technical Approach</w:t>
      </w:r>
    </w:p>
    <w:p>
      <w:pPr>
        <w:spacing w:after="140" w:line="276"/>
        <w:jc w:val="both"/>
      </w:pPr>
      <w:r>
        <w:rPr>
          <w:rFonts w:ascii="Calibri" w:cs="Calibri" w:eastAsia="Calibri" w:hAnsi="Calibri"/>
          <w:color w:val="20262B"/>
          <w:sz w:val="21"/>
          <w:szCs w:val="21"/>
        </w:rPr>
        <w:t xml:space="preserve">The technical proposal is deliberately conservative. The objective is a modest platform that works reliably, is understandable by successive generations of student maintainers, and can be handed over cleanly. It is not an opportunity to demonstrate architectural ambition.</w:t>
      </w:r>
    </w:p>
    <w:p>
      <w:pPr>
        <w:pStyle w:val="Heading2"/>
        <w:spacing w:after="120" w:before="300"/>
      </w:pPr>
      <w:r>
        <w:rPr>
          <w:rFonts w:ascii="Georgia" w:cs="Georgia" w:eastAsia="Georgia" w:hAnsi="Georgia"/>
          <w:b/>
          <w:bCs/>
          <w:color w:val="A84B12"/>
          <w:sz w:val="23"/>
          <w:szCs w:val="23"/>
        </w:rPr>
        <w:t xml:space="preserve">15.1  Design principles</w:t>
      </w:r>
    </w:p>
    <w:p>
      <w:pPr>
        <w:pStyle w:val="ListParagraph"/>
        <w:numPr>
          <w:ilvl w:val="0"/>
          <w:numId w:val="2"/>
        </w:numPr>
        <w:spacing w:after="80" w:line="268"/>
        <w:jc w:val="both"/>
      </w:pPr>
      <w:r>
        <w:rPr>
          <w:rFonts w:ascii="Calibri" w:cs="Calibri" w:eastAsia="Calibri" w:hAnsi="Calibri"/>
          <w:color w:val="20262B"/>
          <w:sz w:val="21"/>
          <w:szCs w:val="21"/>
        </w:rPr>
        <w:t xml:space="preserve">Modular by domain, so that identity, projects, contributions, learning and community can evolve independently</w:t>
      </w:r>
    </w:p>
    <w:p>
      <w:pPr>
        <w:pStyle w:val="ListParagraph"/>
        <w:numPr>
          <w:ilvl w:val="0"/>
          <w:numId w:val="2"/>
        </w:numPr>
        <w:spacing w:after="80" w:line="268"/>
        <w:jc w:val="both"/>
      </w:pPr>
      <w:r>
        <w:rPr>
          <w:rFonts w:ascii="Calibri" w:cs="Calibri" w:eastAsia="Calibri" w:hAnsi="Calibri"/>
          <w:color w:val="20262B"/>
          <w:sz w:val="21"/>
          <w:szCs w:val="21"/>
        </w:rPr>
        <w:t xml:space="preserve">Interface driven, so that a mobile client or an integration can be added later without rewriting the core</w:t>
      </w:r>
    </w:p>
    <w:p>
      <w:pPr>
        <w:pStyle w:val="ListParagraph"/>
        <w:numPr>
          <w:ilvl w:val="0"/>
          <w:numId w:val="2"/>
        </w:numPr>
        <w:spacing w:after="80" w:line="268"/>
        <w:jc w:val="both"/>
      </w:pPr>
      <w:r>
        <w:rPr>
          <w:rFonts w:ascii="Calibri" w:cs="Calibri" w:eastAsia="Calibri" w:hAnsi="Calibri"/>
          <w:color w:val="20262B"/>
          <w:sz w:val="21"/>
          <w:szCs w:val="21"/>
        </w:rPr>
        <w:t xml:space="preserve">Documented and tested to a standard that allows a new student maintainer to become productive quickly</w:t>
      </w:r>
    </w:p>
    <w:p>
      <w:pPr>
        <w:pStyle w:val="ListParagraph"/>
        <w:numPr>
          <w:ilvl w:val="0"/>
          <w:numId w:val="2"/>
        </w:numPr>
        <w:spacing w:after="80" w:line="268"/>
        <w:jc w:val="both"/>
      </w:pPr>
      <w:r>
        <w:rPr>
          <w:rFonts w:ascii="Calibri" w:cs="Calibri" w:eastAsia="Calibri" w:hAnsi="Calibri"/>
          <w:color w:val="20262B"/>
          <w:sz w:val="21"/>
          <w:szCs w:val="21"/>
        </w:rPr>
        <w:t xml:space="preserve">Mobile first, because most students will use the platform on a phone and on constrained bandwidth</w:t>
      </w:r>
    </w:p>
    <w:p>
      <w:pPr>
        <w:pStyle w:val="ListParagraph"/>
        <w:numPr>
          <w:ilvl w:val="0"/>
          <w:numId w:val="2"/>
        </w:numPr>
        <w:spacing w:after="80" w:line="268"/>
        <w:jc w:val="both"/>
      </w:pPr>
      <w:r>
        <w:rPr>
          <w:rFonts w:ascii="Calibri" w:cs="Calibri" w:eastAsia="Calibri" w:hAnsi="Calibri"/>
          <w:color w:val="20262B"/>
          <w:sz w:val="21"/>
          <w:szCs w:val="21"/>
        </w:rPr>
        <w:t xml:space="preserve">Accessible, following recognised web accessibility guidance, since the University’s inclusivity commitment applies to this platform as much as to any other</w:t>
      </w:r>
    </w:p>
    <w:p>
      <w:pPr>
        <w:pStyle w:val="Heading2"/>
        <w:spacing w:after="120" w:before="300"/>
      </w:pPr>
      <w:r>
        <w:rPr>
          <w:rFonts w:ascii="Georgia" w:cs="Georgia" w:eastAsia="Georgia" w:hAnsi="Georgia"/>
          <w:b/>
          <w:bCs/>
          <w:color w:val="A84B12"/>
          <w:sz w:val="23"/>
          <w:szCs w:val="23"/>
        </w:rPr>
        <w:t xml:space="preserve">15.2  Indicative technology</w:t>
      </w:r>
    </w:p>
    <w:p>
      <w:pPr>
        <w:spacing w:after="140" w:line="276"/>
        <w:jc w:val="both"/>
      </w:pPr>
      <w:r>
        <w:rPr>
          <w:rFonts w:ascii="Calibri" w:cs="Calibri" w:eastAsia="Calibri" w:hAnsi="Calibri"/>
          <w:color w:val="20262B"/>
          <w:sz w:val="21"/>
          <w:szCs w:val="21"/>
        </w:rPr>
        <w:t xml:space="preserve">The stack below reflects common, well supported, widely taught technology with a large local talent pool, which matters for long term maintainability. Final choices would be confirmed with the Directorate of ICT.</w:t>
      </w:r>
    </w:p>
    <w:p>
      <w:pPr>
        <w:spacing w:after="6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70"/>
      </w:tblGrid>
      <w:tr>
        <w:trPr>
          <w:tblHeader/>
        </w:trPr>
        <w:tc>
          <w:tcPr>
            <w:tcW w:type="dxa" w:w="2400"/>
            <w:tcBorders>
              <w:top w:val="single" w:color="A84B12" w:sz="3"/>
              <w:left w:val="none" w:color="FFFFFF" w:sz="0"/>
              <w:bottom w:val="single" w:color="A84B12" w:sz="6"/>
              <w:right w:val="none" w:color="FFFFFF" w:sz="0"/>
            </w:tcBorders>
            <w:shd w:fill="F3E9DF" w:color="auto" w:val="clear"/>
            <w:tcMar>
              <w:top w:type="dxa" w:w="90"/>
              <w:left w:type="dxa" w:w="130"/>
              <w:bottom w:type="dxa" w:w="90"/>
              <w:right w:type="dxa" w:w="130"/>
            </w:tcMar>
          </w:tcPr>
          <w:p>
            <w:pPr>
              <w:spacing w:after="60" w:before="60" w:line="250"/>
              <w:jc w:val="left"/>
            </w:pPr>
            <w:r>
              <w:rPr>
                <w:rFonts w:ascii="Calibri" w:cs="Calibri" w:eastAsia="Calibri" w:hAnsi="Calibri"/>
                <w:b/>
                <w:bCs/>
                <w:color w:val="1C2B36"/>
                <w:sz w:val="19"/>
                <w:szCs w:val="19"/>
              </w:rPr>
              <w:t xml:space="preserve">Layer</w:t>
            </w:r>
          </w:p>
        </w:tc>
        <w:tc>
          <w:tcPr>
            <w:tcW w:type="dxa" w:w="3200"/>
            <w:tcBorders>
              <w:top w:val="single" w:color="A84B12" w:sz="3"/>
              <w:left w:val="none" w:color="FFFFFF" w:sz="0"/>
              <w:bottom w:val="single" w:color="A84B12" w:sz="6"/>
              <w:right w:val="none" w:color="FFFFFF" w:sz="0"/>
            </w:tcBorders>
            <w:shd w:fill="F3E9DF" w:color="auto" w:val="clear"/>
            <w:tcMar>
              <w:top w:type="dxa" w:w="90"/>
              <w:left w:type="dxa" w:w="130"/>
              <w:bottom w:type="dxa" w:w="90"/>
              <w:right w:type="dxa" w:w="130"/>
            </w:tcMar>
          </w:tcPr>
          <w:p>
            <w:pPr>
              <w:spacing w:after="60" w:before="60" w:line="250"/>
              <w:jc w:val="left"/>
            </w:pPr>
            <w:r>
              <w:rPr>
                <w:rFonts w:ascii="Calibri" w:cs="Calibri" w:eastAsia="Calibri" w:hAnsi="Calibri"/>
                <w:b/>
                <w:bCs/>
                <w:color w:val="1C2B36"/>
                <w:sz w:val="19"/>
                <w:szCs w:val="19"/>
              </w:rPr>
              <w:t xml:space="preserve">Proposed</w:t>
            </w:r>
          </w:p>
        </w:tc>
        <w:tc>
          <w:tcPr>
            <w:tcW w:type="dxa" w:w="3470"/>
            <w:tcBorders>
              <w:top w:val="single" w:color="A84B12" w:sz="3"/>
              <w:left w:val="none" w:color="FFFFFF" w:sz="0"/>
              <w:bottom w:val="single" w:color="A84B12" w:sz="6"/>
              <w:right w:val="none" w:color="FFFFFF" w:sz="0"/>
            </w:tcBorders>
            <w:shd w:fill="F3E9DF" w:color="auto" w:val="clear"/>
            <w:tcMar>
              <w:top w:type="dxa" w:w="90"/>
              <w:left w:type="dxa" w:w="130"/>
              <w:bottom w:type="dxa" w:w="90"/>
              <w:right w:type="dxa" w:w="130"/>
            </w:tcMar>
          </w:tcPr>
          <w:p>
            <w:pPr>
              <w:spacing w:after="60" w:before="60" w:line="250"/>
              <w:jc w:val="left"/>
            </w:pPr>
            <w:r>
              <w:rPr>
                <w:rFonts w:ascii="Calibri" w:cs="Calibri" w:eastAsia="Calibri" w:hAnsi="Calibri"/>
                <w:b/>
                <w:bCs/>
                <w:color w:val="1C2B36"/>
                <w:sz w:val="19"/>
                <w:szCs w:val="19"/>
              </w:rPr>
              <w:t xml:space="preserve">Reason</w:t>
            </w:r>
          </w:p>
        </w:tc>
      </w:tr>
      <w:tr>
        <w:trPr>
          <w:tblHeader w:val="false"/>
        </w:trPr>
        <w:tc>
          <w:tcPr>
            <w:tcW w:type="dxa" w:w="24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bCs/>
                <w:color w:val="20262B"/>
                <w:sz w:val="19"/>
                <w:szCs w:val="19"/>
              </w:rPr>
              <w:t xml:space="preserve">Web client</w:t>
            </w:r>
          </w:p>
        </w:tc>
        <w:tc>
          <w:tcPr>
            <w:tcW w:type="dxa" w:w="32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val="false"/>
                <w:bCs w:val="false"/>
                <w:color w:val="20262B"/>
                <w:sz w:val="19"/>
                <w:szCs w:val="19"/>
              </w:rPr>
              <w:t xml:space="preserve">React with Next.js</w:t>
            </w:r>
          </w:p>
        </w:tc>
        <w:tc>
          <w:tcPr>
            <w:tcW w:type="dxa" w:w="347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val="false"/>
                <w:bCs w:val="false"/>
                <w:color w:val="20262B"/>
                <w:sz w:val="19"/>
                <w:szCs w:val="19"/>
              </w:rPr>
              <w:t xml:space="preserve">Widely taught, strong ecosystem, good mobile performance</w:t>
            </w:r>
          </w:p>
        </w:tc>
      </w:tr>
      <w:tr>
        <w:trPr>
          <w:tblHeader w:val="false"/>
        </w:trPr>
        <w:tc>
          <w:tcPr>
            <w:tcW w:type="dxa" w:w="24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bCs/>
                <w:color w:val="20262B"/>
                <w:sz w:val="19"/>
                <w:szCs w:val="19"/>
              </w:rPr>
              <w:t xml:space="preserve">Application programming interface</w:t>
            </w:r>
          </w:p>
        </w:tc>
        <w:tc>
          <w:tcPr>
            <w:tcW w:type="dxa" w:w="32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val="false"/>
                <w:bCs w:val="false"/>
                <w:color w:val="20262B"/>
                <w:sz w:val="19"/>
                <w:szCs w:val="19"/>
              </w:rPr>
              <w:t xml:space="preserve">Django with Django REST Framework, or Node.js with Express</w:t>
            </w:r>
          </w:p>
        </w:tc>
        <w:tc>
          <w:tcPr>
            <w:tcW w:type="dxa" w:w="347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val="false"/>
                <w:bCs w:val="false"/>
                <w:color w:val="20262B"/>
                <w:sz w:val="19"/>
                <w:szCs w:val="19"/>
              </w:rPr>
              <w:t xml:space="preserve">Mature, secure by default, familiar to students</w:t>
            </w:r>
          </w:p>
        </w:tc>
      </w:tr>
      <w:tr>
        <w:trPr>
          <w:tblHeader w:val="false"/>
        </w:trPr>
        <w:tc>
          <w:tcPr>
            <w:tcW w:type="dxa" w:w="24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bCs/>
                <w:color w:val="20262B"/>
                <w:sz w:val="19"/>
                <w:szCs w:val="19"/>
              </w:rPr>
              <w:t xml:space="preserve">Database</w:t>
            </w:r>
          </w:p>
        </w:tc>
        <w:tc>
          <w:tcPr>
            <w:tcW w:type="dxa" w:w="32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val="false"/>
                <w:bCs w:val="false"/>
                <w:color w:val="20262B"/>
                <w:sz w:val="19"/>
                <w:szCs w:val="19"/>
              </w:rPr>
              <w:t xml:space="preserve">PostgreSQL</w:t>
            </w:r>
          </w:p>
        </w:tc>
        <w:tc>
          <w:tcPr>
            <w:tcW w:type="dxa" w:w="347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val="false"/>
                <w:bCs w:val="false"/>
                <w:color w:val="20262B"/>
                <w:sz w:val="19"/>
                <w:szCs w:val="19"/>
              </w:rPr>
              <w:t xml:space="preserve">Reliable, relational, well suited to the contribution and portfolio model</w:t>
            </w:r>
          </w:p>
        </w:tc>
      </w:tr>
      <w:tr>
        <w:trPr>
          <w:tblHeader w:val="false"/>
        </w:trPr>
        <w:tc>
          <w:tcPr>
            <w:tcW w:type="dxa" w:w="24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bCs/>
                <w:color w:val="20262B"/>
                <w:sz w:val="19"/>
                <w:szCs w:val="19"/>
              </w:rPr>
              <w:t xml:space="preserve">Identity</w:t>
            </w:r>
          </w:p>
        </w:tc>
        <w:tc>
          <w:tcPr>
            <w:tcW w:type="dxa" w:w="32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val="false"/>
                <w:bCs w:val="false"/>
                <w:color w:val="20262B"/>
                <w:sz w:val="19"/>
                <w:szCs w:val="19"/>
              </w:rPr>
              <w:t xml:space="preserve">University single sign-on where available, otherwise verified University email</w:t>
            </w:r>
          </w:p>
        </w:tc>
        <w:tc>
          <w:tcPr>
            <w:tcW w:type="dxa" w:w="347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val="false"/>
                <w:bCs w:val="false"/>
                <w:color w:val="20262B"/>
                <w:sz w:val="19"/>
                <w:szCs w:val="19"/>
              </w:rPr>
              <w:t xml:space="preserve">Ensures only genuine students participate</w:t>
            </w:r>
          </w:p>
        </w:tc>
      </w:tr>
      <w:tr>
        <w:trPr>
          <w:tblHeader w:val="false"/>
        </w:trPr>
        <w:tc>
          <w:tcPr>
            <w:tcW w:type="dxa" w:w="24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bCs/>
                <w:color w:val="20262B"/>
                <w:sz w:val="19"/>
                <w:szCs w:val="19"/>
              </w:rPr>
              <w:t xml:space="preserve">Source control</w:t>
            </w:r>
          </w:p>
        </w:tc>
        <w:tc>
          <w:tcPr>
            <w:tcW w:type="dxa" w:w="32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val="false"/>
                <w:bCs w:val="false"/>
                <w:color w:val="20262B"/>
                <w:sz w:val="19"/>
                <w:szCs w:val="19"/>
              </w:rPr>
              <w:t xml:space="preserve">Git, with the platform itself developed in the open</w:t>
            </w:r>
          </w:p>
        </w:tc>
        <w:tc>
          <w:tcPr>
            <w:tcW w:type="dxa" w:w="347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val="false"/>
                <w:bCs w:val="false"/>
                <w:color w:val="20262B"/>
                <w:sz w:val="19"/>
                <w:szCs w:val="19"/>
              </w:rPr>
              <w:t xml:space="preserve">Students learn version control by using it on a real system</w:t>
            </w:r>
          </w:p>
        </w:tc>
      </w:tr>
      <w:tr>
        <w:trPr>
          <w:tblHeader w:val="false"/>
        </w:trPr>
        <w:tc>
          <w:tcPr>
            <w:tcW w:type="dxa" w:w="24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bCs/>
                <w:color w:val="20262B"/>
                <w:sz w:val="19"/>
                <w:szCs w:val="19"/>
              </w:rPr>
              <w:t xml:space="preserve">Deployment</w:t>
            </w:r>
          </w:p>
        </w:tc>
        <w:tc>
          <w:tcPr>
            <w:tcW w:type="dxa" w:w="32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val="false"/>
                <w:bCs w:val="false"/>
                <w:color w:val="20262B"/>
                <w:sz w:val="19"/>
                <w:szCs w:val="19"/>
              </w:rPr>
              <w:t xml:space="preserve">Containerised, with automated build and test pipelines</w:t>
            </w:r>
          </w:p>
        </w:tc>
        <w:tc>
          <w:tcPr>
            <w:tcW w:type="dxa" w:w="347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val="false"/>
                <w:bCs w:val="false"/>
                <w:color w:val="20262B"/>
                <w:sz w:val="19"/>
                <w:szCs w:val="19"/>
              </w:rPr>
              <w:t xml:space="preserve">Reproducible, and portable to University infrastructure later</w:t>
            </w:r>
          </w:p>
        </w:tc>
      </w:tr>
    </w:tbl>
    <w:p>
      <w:pPr>
        <w:spacing w:after="220" w:before="100"/>
      </w:pPr>
      <w:r>
        <w:rPr>
          <w:rFonts w:ascii="Calibri" w:cs="Calibri" w:eastAsia="Calibri" w:hAnsi="Calibri"/>
          <w:i/>
          <w:iCs/>
          <w:color w:val="6B6560"/>
          <w:sz w:val="17"/>
          <w:szCs w:val="17"/>
        </w:rPr>
        <w:t xml:space="preserve">Table 9: Indicative technology choices, subject to confirmation with the Directorate of ICT.</w:t>
      </w:r>
    </w:p>
    <w:p>
      <w:pPr>
        <w:pStyle w:val="Heading2"/>
        <w:spacing w:after="120" w:before="300"/>
      </w:pPr>
      <w:r>
        <w:rPr>
          <w:rFonts w:ascii="Georgia" w:cs="Georgia" w:eastAsia="Georgia" w:hAnsi="Georgia"/>
          <w:b/>
          <w:bCs/>
          <w:color w:val="A84B12"/>
          <w:sz w:val="23"/>
          <w:szCs w:val="23"/>
        </w:rPr>
        <w:t xml:space="preserve">15.3  Hosting and handover</w:t>
      </w:r>
    </w:p>
    <w:p>
      <w:pPr>
        <w:spacing w:after="140" w:line="276"/>
        <w:jc w:val="both"/>
      </w:pPr>
      <w:r>
        <w:rPr>
          <w:rFonts w:ascii="Calibri" w:cs="Calibri" w:eastAsia="Calibri" w:hAnsi="Calibri"/>
          <w:color w:val="20262B"/>
          <w:sz w:val="21"/>
          <w:szCs w:val="21"/>
        </w:rPr>
        <w:t xml:space="preserve">For the pilot, hosting would be arranged by the student team using educational and sponsored cloud credits at no cost to the University. The platform would be containerised specifically so that it can be migrated onto University infrastructure at any time the University wishes, and a complete handover package comprising source code, documentation, credentials and operating procedures would be maintained from the start of the pilot rather than assembled at the end of it.</w:t>
      </w:r>
    </w:p>
    <w:p>
      <w:pPr>
        <w:pStyle w:val="Heading1"/>
        <w:pBdr>
          <w:bottom w:val="single" w:color="A84B12" w:sz="10" w:space="6"/>
        </w:pBdr>
        <w:spacing w:after="200" w:before="400"/>
      </w:pPr>
      <w:r>
        <w:rPr>
          <w:rFonts w:ascii="Georgia" w:cs="Georgia" w:eastAsia="Georgia" w:hAnsi="Georgia"/>
          <w:b/>
          <w:bCs/>
          <w:color w:val="1C2B36"/>
          <w:sz w:val="30"/>
          <w:szCs w:val="30"/>
        </w:rPr>
        <w:t xml:space="preserve">16.  Implementation Roadmap</w:t>
      </w:r>
    </w:p>
    <w:p>
      <w:pPr>
        <w:spacing w:after="140" w:line="276"/>
        <w:jc w:val="both"/>
      </w:pPr>
      <w:r>
        <w:rPr>
          <w:rFonts w:ascii="Calibri" w:cs="Calibri" w:eastAsia="Calibri" w:hAnsi="Calibri"/>
          <w:color w:val="20262B"/>
          <w:sz w:val="21"/>
          <w:szCs w:val="21"/>
        </w:rPr>
        <w:t xml:space="preserve">The roadmap is staged deliberately, with a decision point at the end of each phase. Nothing in a later phase begins before the preceding phase has been evaluated.</w:t>
      </w:r>
    </w:p>
    <w:p>
      <w:pPr>
        <w:spacing w:after="6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3670"/>
        <w:gridCol w:w="2400"/>
      </w:tblGrid>
      <w:tr>
        <w:trPr>
          <w:tblHeader/>
        </w:trPr>
        <w:tc>
          <w:tcPr>
            <w:tcW w:type="dxa" w:w="1500"/>
            <w:tcBorders>
              <w:top w:val="single" w:color="A84B12" w:sz="3"/>
              <w:left w:val="none" w:color="FFFFFF" w:sz="0"/>
              <w:bottom w:val="single" w:color="A84B12" w:sz="6"/>
              <w:right w:val="none" w:color="FFFFFF" w:sz="0"/>
            </w:tcBorders>
            <w:shd w:fill="F3E9DF" w:color="auto" w:val="clear"/>
            <w:tcMar>
              <w:top w:type="dxa" w:w="90"/>
              <w:left w:type="dxa" w:w="130"/>
              <w:bottom w:type="dxa" w:w="90"/>
              <w:right w:type="dxa" w:w="130"/>
            </w:tcMar>
          </w:tcPr>
          <w:p>
            <w:pPr>
              <w:spacing w:after="60" w:before="60" w:line="250"/>
              <w:jc w:val="left"/>
            </w:pPr>
            <w:r>
              <w:rPr>
                <w:rFonts w:ascii="Calibri" w:cs="Calibri" w:eastAsia="Calibri" w:hAnsi="Calibri"/>
                <w:b/>
                <w:bCs/>
                <w:color w:val="1C2B36"/>
                <w:sz w:val="19"/>
                <w:szCs w:val="19"/>
              </w:rPr>
              <w:t xml:space="preserve">Phase</w:t>
            </w:r>
          </w:p>
        </w:tc>
        <w:tc>
          <w:tcPr>
            <w:tcW w:type="dxa" w:w="1500"/>
            <w:tcBorders>
              <w:top w:val="single" w:color="A84B12" w:sz="3"/>
              <w:left w:val="none" w:color="FFFFFF" w:sz="0"/>
              <w:bottom w:val="single" w:color="A84B12" w:sz="6"/>
              <w:right w:val="none" w:color="FFFFFF" w:sz="0"/>
            </w:tcBorders>
            <w:shd w:fill="F3E9DF" w:color="auto" w:val="clear"/>
            <w:tcMar>
              <w:top w:type="dxa" w:w="90"/>
              <w:left w:type="dxa" w:w="130"/>
              <w:bottom w:type="dxa" w:w="90"/>
              <w:right w:type="dxa" w:w="130"/>
            </w:tcMar>
          </w:tcPr>
          <w:p>
            <w:pPr>
              <w:spacing w:after="60" w:before="60" w:line="250"/>
              <w:jc w:val="left"/>
            </w:pPr>
            <w:r>
              <w:rPr>
                <w:rFonts w:ascii="Calibri" w:cs="Calibri" w:eastAsia="Calibri" w:hAnsi="Calibri"/>
                <w:b/>
                <w:bCs/>
                <w:color w:val="1C2B36"/>
                <w:sz w:val="19"/>
                <w:szCs w:val="19"/>
              </w:rPr>
              <w:t xml:space="preserve">Period</w:t>
            </w:r>
          </w:p>
        </w:tc>
        <w:tc>
          <w:tcPr>
            <w:tcW w:type="dxa" w:w="3670"/>
            <w:tcBorders>
              <w:top w:val="single" w:color="A84B12" w:sz="3"/>
              <w:left w:val="none" w:color="FFFFFF" w:sz="0"/>
              <w:bottom w:val="single" w:color="A84B12" w:sz="6"/>
              <w:right w:val="none" w:color="FFFFFF" w:sz="0"/>
            </w:tcBorders>
            <w:shd w:fill="F3E9DF" w:color="auto" w:val="clear"/>
            <w:tcMar>
              <w:top w:type="dxa" w:w="90"/>
              <w:left w:type="dxa" w:w="130"/>
              <w:bottom w:type="dxa" w:w="90"/>
              <w:right w:type="dxa" w:w="130"/>
            </w:tcMar>
          </w:tcPr>
          <w:p>
            <w:pPr>
              <w:spacing w:after="60" w:before="60" w:line="250"/>
              <w:jc w:val="left"/>
            </w:pPr>
            <w:r>
              <w:rPr>
                <w:rFonts w:ascii="Calibri" w:cs="Calibri" w:eastAsia="Calibri" w:hAnsi="Calibri"/>
                <w:b/>
                <w:bCs/>
                <w:color w:val="1C2B36"/>
                <w:sz w:val="19"/>
                <w:szCs w:val="19"/>
              </w:rPr>
              <w:t xml:space="preserve">Deliverables</w:t>
            </w:r>
          </w:p>
        </w:tc>
        <w:tc>
          <w:tcPr>
            <w:tcW w:type="dxa" w:w="2400"/>
            <w:tcBorders>
              <w:top w:val="single" w:color="A84B12" w:sz="3"/>
              <w:left w:val="none" w:color="FFFFFF" w:sz="0"/>
              <w:bottom w:val="single" w:color="A84B12" w:sz="6"/>
              <w:right w:val="none" w:color="FFFFFF" w:sz="0"/>
            </w:tcBorders>
            <w:shd w:fill="F3E9DF" w:color="auto" w:val="clear"/>
            <w:tcMar>
              <w:top w:type="dxa" w:w="90"/>
              <w:left w:type="dxa" w:w="130"/>
              <w:bottom w:type="dxa" w:w="90"/>
              <w:right w:type="dxa" w:w="130"/>
            </w:tcMar>
          </w:tcPr>
          <w:p>
            <w:pPr>
              <w:spacing w:after="60" w:before="60" w:line="250"/>
              <w:jc w:val="left"/>
            </w:pPr>
            <w:r>
              <w:rPr>
                <w:rFonts w:ascii="Calibri" w:cs="Calibri" w:eastAsia="Calibri" w:hAnsi="Calibri"/>
                <w:b/>
                <w:bCs/>
                <w:color w:val="1C2B36"/>
                <w:sz w:val="19"/>
                <w:szCs w:val="19"/>
              </w:rPr>
              <w:t xml:space="preserve">Decision gate</w:t>
            </w:r>
          </w:p>
        </w:tc>
      </w:tr>
      <w:tr>
        <w:trPr>
          <w:tblHeader w:val="false"/>
        </w:trPr>
        <w:tc>
          <w:tcPr>
            <w:tcW w:type="dxa" w:w="15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bCs/>
                <w:color w:val="20262B"/>
                <w:sz w:val="19"/>
                <w:szCs w:val="19"/>
              </w:rPr>
              <w:t xml:space="preserve">Phase 0
Preparation</w:t>
            </w:r>
          </w:p>
        </w:tc>
        <w:tc>
          <w:tcPr>
            <w:tcW w:type="dxa" w:w="15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val="false"/>
                <w:bCs w:val="false"/>
                <w:color w:val="20262B"/>
                <w:sz w:val="19"/>
                <w:szCs w:val="19"/>
              </w:rPr>
              <w:t xml:space="preserve">Months 1 to 2</w:t>
            </w:r>
          </w:p>
        </w:tc>
        <w:tc>
          <w:tcPr>
            <w:tcW w:type="dxa" w:w="367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val="false"/>
                <w:bCs w:val="false"/>
                <w:color w:val="20262B"/>
                <w:sz w:val="19"/>
                <w:szCs w:val="19"/>
              </w:rPr>
              <w:t xml:space="preserve">Approval sought; faculty advisor appointed; founding team recruited; policies drafted; requirements confirmed with students</w:t>
            </w:r>
          </w:p>
        </w:tc>
        <w:tc>
          <w:tcPr>
            <w:tcW w:type="dxa" w:w="24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val="false"/>
                <w:bCs w:val="false"/>
                <w:color w:val="20262B"/>
                <w:sz w:val="19"/>
                <w:szCs w:val="19"/>
              </w:rPr>
              <w:t xml:space="preserve">University approval to proceed to build</w:t>
            </w:r>
          </w:p>
        </w:tc>
      </w:tr>
      <w:tr>
        <w:trPr>
          <w:tblHeader w:val="false"/>
        </w:trPr>
        <w:tc>
          <w:tcPr>
            <w:tcW w:type="dxa" w:w="15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bCs/>
                <w:color w:val="20262B"/>
                <w:sz w:val="19"/>
                <w:szCs w:val="19"/>
              </w:rPr>
              <w:t xml:space="preserve">Phase 1
Pilot build</w:t>
            </w:r>
          </w:p>
        </w:tc>
        <w:tc>
          <w:tcPr>
            <w:tcW w:type="dxa" w:w="15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val="false"/>
                <w:bCs w:val="false"/>
                <w:color w:val="20262B"/>
                <w:sz w:val="19"/>
                <w:szCs w:val="19"/>
              </w:rPr>
              <w:t xml:space="preserve">Months 3 to 5</w:t>
            </w:r>
          </w:p>
        </w:tc>
        <w:tc>
          <w:tcPr>
            <w:tcW w:type="dxa" w:w="367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val="false"/>
                <w:bCs w:val="false"/>
                <w:color w:val="20262B"/>
                <w:sz w:val="19"/>
                <w:szCs w:val="19"/>
              </w:rPr>
              <w:t xml:space="preserve">Minimum viable platform: authentication, profiles, project posting and team formation, discussions, contribution logging, basic recognition</w:t>
            </w:r>
          </w:p>
        </w:tc>
        <w:tc>
          <w:tcPr>
            <w:tcW w:type="dxa" w:w="24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val="false"/>
                <w:bCs w:val="false"/>
                <w:color w:val="20262B"/>
                <w:sz w:val="19"/>
                <w:szCs w:val="19"/>
              </w:rPr>
              <w:t xml:space="preserve">Advisory Committee review of the build</w:t>
            </w:r>
          </w:p>
        </w:tc>
      </w:tr>
      <w:tr>
        <w:trPr>
          <w:tblHeader w:val="false"/>
        </w:trPr>
        <w:tc>
          <w:tcPr>
            <w:tcW w:type="dxa" w:w="15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bCs/>
                <w:color w:val="20262B"/>
                <w:sz w:val="19"/>
                <w:szCs w:val="19"/>
              </w:rPr>
              <w:t xml:space="preserve">Phase 2
Controlled pilot</w:t>
            </w:r>
          </w:p>
        </w:tc>
        <w:tc>
          <w:tcPr>
            <w:tcW w:type="dxa" w:w="15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val="false"/>
                <w:bCs w:val="false"/>
                <w:color w:val="20262B"/>
                <w:sz w:val="19"/>
                <w:szCs w:val="19"/>
              </w:rPr>
              <w:t xml:space="preserve">Months 6 to 8</w:t>
            </w:r>
          </w:p>
        </w:tc>
        <w:tc>
          <w:tcPr>
            <w:tcW w:type="dxa" w:w="367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val="false"/>
                <w:bCs w:val="false"/>
                <w:color w:val="20262B"/>
                <w:sz w:val="19"/>
                <w:szCs w:val="19"/>
              </w:rPr>
              <w:t xml:space="preserve">Launch to an initial cohort of two to three hundred volunteers; first projects delivered; first showcase held</w:t>
            </w:r>
          </w:p>
        </w:tc>
        <w:tc>
          <w:tcPr>
            <w:tcW w:type="dxa" w:w="24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val="false"/>
                <w:bCs w:val="false"/>
                <w:color w:val="20262B"/>
                <w:sz w:val="19"/>
                <w:szCs w:val="19"/>
              </w:rPr>
              <w:t xml:space="preserve">Formal six month evaluation</w:t>
            </w:r>
          </w:p>
        </w:tc>
      </w:tr>
      <w:tr>
        <w:trPr>
          <w:tblHeader w:val="false"/>
        </w:trPr>
        <w:tc>
          <w:tcPr>
            <w:tcW w:type="dxa" w:w="15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bCs/>
                <w:color w:val="20262B"/>
                <w:sz w:val="19"/>
                <w:szCs w:val="19"/>
              </w:rPr>
              <w:t xml:space="preserve">Phase 3
Expansion</w:t>
            </w:r>
          </w:p>
        </w:tc>
        <w:tc>
          <w:tcPr>
            <w:tcW w:type="dxa" w:w="15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val="false"/>
                <w:bCs w:val="false"/>
                <w:color w:val="20262B"/>
                <w:sz w:val="19"/>
                <w:szCs w:val="19"/>
              </w:rPr>
              <w:t xml:space="preserve">Months 9 to 12</w:t>
            </w:r>
          </w:p>
        </w:tc>
        <w:tc>
          <w:tcPr>
            <w:tcW w:type="dxa" w:w="367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val="false"/>
                <w:bCs w:val="false"/>
                <w:color w:val="20262B"/>
                <w:sz w:val="19"/>
                <w:szCs w:val="19"/>
              </w:rPr>
              <w:t xml:space="preserve">Open to all schools; labs and challenges introduced; alumni mentorship begins; portfolio export released</w:t>
            </w:r>
          </w:p>
        </w:tc>
        <w:tc>
          <w:tcPr>
            <w:tcW w:type="dxa" w:w="24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val="false"/>
                <w:bCs w:val="false"/>
                <w:color w:val="20262B"/>
                <w:sz w:val="19"/>
                <w:szCs w:val="19"/>
              </w:rPr>
              <w:t xml:space="preserve">Annual report to Management</w:t>
            </w:r>
          </w:p>
        </w:tc>
      </w:tr>
      <w:tr>
        <w:trPr>
          <w:tblHeader w:val="false"/>
        </w:trPr>
        <w:tc>
          <w:tcPr>
            <w:tcW w:type="dxa" w:w="15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bCs/>
                <w:color w:val="20262B"/>
                <w:sz w:val="19"/>
                <w:szCs w:val="19"/>
              </w:rPr>
              <w:t xml:space="preserve">Phase 4
Institutional integration</w:t>
            </w:r>
          </w:p>
        </w:tc>
        <w:tc>
          <w:tcPr>
            <w:tcW w:type="dxa" w:w="15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val="false"/>
                <w:bCs w:val="false"/>
                <w:color w:val="20262B"/>
                <w:sz w:val="19"/>
                <w:szCs w:val="19"/>
              </w:rPr>
              <w:t xml:space="preserve">Year 2 onward</w:t>
            </w:r>
          </w:p>
        </w:tc>
        <w:tc>
          <w:tcPr>
            <w:tcW w:type="dxa" w:w="367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val="false"/>
                <w:bCs w:val="false"/>
                <w:color w:val="20262B"/>
                <w:sz w:val="19"/>
                <w:szCs w:val="19"/>
              </w:rPr>
              <w:t xml:space="preserve">Industry challenge board; research linkage; formal recognition of contribution records; possible migration to University infrastructure</w:t>
            </w:r>
          </w:p>
        </w:tc>
        <w:tc>
          <w:tcPr>
            <w:tcW w:type="dxa" w:w="24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val="false"/>
                <w:bCs w:val="false"/>
                <w:color w:val="20262B"/>
                <w:sz w:val="19"/>
                <w:szCs w:val="19"/>
              </w:rPr>
              <w:t xml:space="preserve">Decision on permanent status</w:t>
            </w:r>
          </w:p>
        </w:tc>
      </w:tr>
    </w:tbl>
    <w:p>
      <w:pPr>
        <w:spacing w:after="220" w:before="100"/>
      </w:pPr>
      <w:r>
        <w:rPr>
          <w:rFonts w:ascii="Calibri" w:cs="Calibri" w:eastAsia="Calibri" w:hAnsi="Calibri"/>
          <w:i/>
          <w:iCs/>
          <w:color w:val="6B6560"/>
          <w:sz w:val="17"/>
          <w:szCs w:val="17"/>
        </w:rPr>
        <w:t xml:space="preserve">Table 10: Phased roadmap with decision gates.</w:t>
      </w:r>
    </w:p>
    <w:p>
      <w:pPr>
        <w:spacing w:after="140" w:line="276"/>
        <w:jc w:val="both"/>
      </w:pPr>
      <w:r>
        <w:rPr>
          <w:rFonts w:ascii="Calibri" w:cs="Calibri" w:eastAsia="Calibri" w:hAnsi="Calibri"/>
          <w:color w:val="20262B"/>
          <w:sz w:val="21"/>
          <w:szCs w:val="21"/>
        </w:rPr>
        <w:t xml:space="preserve">The University may halt the initiative at any gate. That is intentional. A proposal that can only be evaluated after everything has been built is not a proposal that deserves approval.</w:t>
      </w:r>
    </w:p>
    <w:p>
      <w:pPr>
        <w:pStyle w:val="Heading1"/>
        <w:pBdr>
          <w:bottom w:val="single" w:color="A84B12" w:sz="10" w:space="6"/>
        </w:pBdr>
        <w:spacing w:after="200" w:before="400"/>
      </w:pPr>
      <w:r>
        <w:rPr>
          <w:rFonts w:ascii="Georgia" w:cs="Georgia" w:eastAsia="Georgia" w:hAnsi="Georgia"/>
          <w:b/>
          <w:bCs/>
          <w:color w:val="1C2B36"/>
          <w:sz w:val="30"/>
          <w:szCs w:val="30"/>
        </w:rPr>
        <w:t xml:space="preserve">17.  Resource Requirements</w:t>
      </w:r>
    </w:p>
    <w:p>
      <w:pPr>
        <w:spacing w:after="140" w:line="276"/>
        <w:jc w:val="both"/>
      </w:pPr>
      <w:r>
        <w:rPr>
          <w:rFonts w:ascii="Calibri" w:cs="Calibri" w:eastAsia="Calibri" w:hAnsi="Calibri"/>
          <w:color w:val="20262B"/>
          <w:sz w:val="21"/>
          <w:szCs w:val="21"/>
        </w:rPr>
        <w:t xml:space="preserve">The pilot is designed to be delivered without a budget allocation. The table below states what is required and who provides it.</w:t>
      </w:r>
    </w:p>
    <w:p>
      <w:pPr>
        <w:spacing w:after="6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70"/>
      </w:tblGrid>
      <w:tr>
        <w:trPr>
          <w:tblHeader/>
        </w:trPr>
        <w:tc>
          <w:tcPr>
            <w:tcW w:type="dxa" w:w="2600"/>
            <w:tcBorders>
              <w:top w:val="single" w:color="A84B12" w:sz="3"/>
              <w:left w:val="none" w:color="FFFFFF" w:sz="0"/>
              <w:bottom w:val="single" w:color="A84B12" w:sz="6"/>
              <w:right w:val="none" w:color="FFFFFF" w:sz="0"/>
            </w:tcBorders>
            <w:shd w:fill="F3E9DF" w:color="auto" w:val="clear"/>
            <w:tcMar>
              <w:top w:type="dxa" w:w="90"/>
              <w:left w:type="dxa" w:w="130"/>
              <w:bottom w:type="dxa" w:w="90"/>
              <w:right w:type="dxa" w:w="130"/>
            </w:tcMar>
          </w:tcPr>
          <w:p>
            <w:pPr>
              <w:spacing w:after="60" w:before="60" w:line="250"/>
              <w:jc w:val="left"/>
            </w:pPr>
            <w:r>
              <w:rPr>
                <w:rFonts w:ascii="Calibri" w:cs="Calibri" w:eastAsia="Calibri" w:hAnsi="Calibri"/>
                <w:b/>
                <w:bCs/>
                <w:color w:val="1C2B36"/>
                <w:sz w:val="19"/>
                <w:szCs w:val="19"/>
              </w:rPr>
              <w:t xml:space="preserve">Requirement</w:t>
            </w:r>
          </w:p>
        </w:tc>
        <w:tc>
          <w:tcPr>
            <w:tcW w:type="dxa" w:w="3200"/>
            <w:tcBorders>
              <w:top w:val="single" w:color="A84B12" w:sz="3"/>
              <w:left w:val="none" w:color="FFFFFF" w:sz="0"/>
              <w:bottom w:val="single" w:color="A84B12" w:sz="6"/>
              <w:right w:val="none" w:color="FFFFFF" w:sz="0"/>
            </w:tcBorders>
            <w:shd w:fill="F3E9DF" w:color="auto" w:val="clear"/>
            <w:tcMar>
              <w:top w:type="dxa" w:w="90"/>
              <w:left w:type="dxa" w:w="130"/>
              <w:bottom w:type="dxa" w:w="90"/>
              <w:right w:type="dxa" w:w="130"/>
            </w:tcMar>
          </w:tcPr>
          <w:p>
            <w:pPr>
              <w:spacing w:after="60" w:before="60" w:line="250"/>
              <w:jc w:val="left"/>
            </w:pPr>
            <w:r>
              <w:rPr>
                <w:rFonts w:ascii="Calibri" w:cs="Calibri" w:eastAsia="Calibri" w:hAnsi="Calibri"/>
                <w:b/>
                <w:bCs/>
                <w:color w:val="1C2B36"/>
                <w:sz w:val="19"/>
                <w:szCs w:val="19"/>
              </w:rPr>
              <w:t xml:space="preserve">Provided by</w:t>
            </w:r>
          </w:p>
        </w:tc>
        <w:tc>
          <w:tcPr>
            <w:tcW w:type="dxa" w:w="3270"/>
            <w:tcBorders>
              <w:top w:val="single" w:color="A84B12" w:sz="3"/>
              <w:left w:val="none" w:color="FFFFFF" w:sz="0"/>
              <w:bottom w:val="single" w:color="A84B12" w:sz="6"/>
              <w:right w:val="none" w:color="FFFFFF" w:sz="0"/>
            </w:tcBorders>
            <w:shd w:fill="F3E9DF" w:color="auto" w:val="clear"/>
            <w:tcMar>
              <w:top w:type="dxa" w:w="90"/>
              <w:left w:type="dxa" w:w="130"/>
              <w:bottom w:type="dxa" w:w="90"/>
              <w:right w:type="dxa" w:w="130"/>
            </w:tcMar>
          </w:tcPr>
          <w:p>
            <w:pPr>
              <w:spacing w:after="60" w:before="60" w:line="250"/>
              <w:jc w:val="left"/>
            </w:pPr>
            <w:r>
              <w:rPr>
                <w:rFonts w:ascii="Calibri" w:cs="Calibri" w:eastAsia="Calibri" w:hAnsi="Calibri"/>
                <w:b/>
                <w:bCs/>
                <w:color w:val="1C2B36"/>
                <w:sz w:val="19"/>
                <w:szCs w:val="19"/>
              </w:rPr>
              <w:t xml:space="preserve">Cost to the University</w:t>
            </w:r>
          </w:p>
        </w:tc>
      </w:tr>
      <w:tr>
        <w:trPr>
          <w:tblHeader w:val="false"/>
        </w:trPr>
        <w:tc>
          <w:tcPr>
            <w:tcW w:type="dxa" w:w="26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bCs/>
                <w:color w:val="20262B"/>
                <w:sz w:val="19"/>
                <w:szCs w:val="19"/>
              </w:rPr>
              <w:t xml:space="preserve">Development effort</w:t>
            </w:r>
          </w:p>
        </w:tc>
        <w:tc>
          <w:tcPr>
            <w:tcW w:type="dxa" w:w="32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val="false"/>
                <w:bCs w:val="false"/>
                <w:color w:val="20262B"/>
                <w:sz w:val="19"/>
                <w:szCs w:val="19"/>
              </w:rPr>
              <w:t xml:space="preserve">Student volunteers</w:t>
            </w:r>
          </w:p>
        </w:tc>
        <w:tc>
          <w:tcPr>
            <w:tcW w:type="dxa" w:w="327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val="false"/>
                <w:bCs w:val="false"/>
                <w:color w:val="20262B"/>
                <w:sz w:val="19"/>
                <w:szCs w:val="19"/>
              </w:rPr>
              <w:t xml:space="preserve">None</w:t>
            </w:r>
          </w:p>
        </w:tc>
      </w:tr>
      <w:tr>
        <w:trPr>
          <w:tblHeader w:val="false"/>
        </w:trPr>
        <w:tc>
          <w:tcPr>
            <w:tcW w:type="dxa" w:w="26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bCs/>
                <w:color w:val="20262B"/>
                <w:sz w:val="19"/>
                <w:szCs w:val="19"/>
              </w:rPr>
              <w:t xml:space="preserve">Design and content</w:t>
            </w:r>
          </w:p>
        </w:tc>
        <w:tc>
          <w:tcPr>
            <w:tcW w:type="dxa" w:w="32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val="false"/>
                <w:bCs w:val="false"/>
                <w:color w:val="20262B"/>
                <w:sz w:val="19"/>
                <w:szCs w:val="19"/>
              </w:rPr>
              <w:t xml:space="preserve">Student volunteers</w:t>
            </w:r>
          </w:p>
        </w:tc>
        <w:tc>
          <w:tcPr>
            <w:tcW w:type="dxa" w:w="327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val="false"/>
                <w:bCs w:val="false"/>
                <w:color w:val="20262B"/>
                <w:sz w:val="19"/>
                <w:szCs w:val="19"/>
              </w:rPr>
              <w:t xml:space="preserve">None</w:t>
            </w:r>
          </w:p>
        </w:tc>
      </w:tr>
      <w:tr>
        <w:trPr>
          <w:tblHeader w:val="false"/>
        </w:trPr>
        <w:tc>
          <w:tcPr>
            <w:tcW w:type="dxa" w:w="26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bCs/>
                <w:color w:val="20262B"/>
                <w:sz w:val="19"/>
                <w:szCs w:val="19"/>
              </w:rPr>
              <w:t xml:space="preserve">Hosting during the pilot</w:t>
            </w:r>
          </w:p>
        </w:tc>
        <w:tc>
          <w:tcPr>
            <w:tcW w:type="dxa" w:w="32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val="false"/>
                <w:bCs w:val="false"/>
                <w:color w:val="20262B"/>
                <w:sz w:val="19"/>
                <w:szCs w:val="19"/>
              </w:rPr>
              <w:t xml:space="preserve">Educational and sponsored cloud credits secured by the student team</w:t>
            </w:r>
          </w:p>
        </w:tc>
        <w:tc>
          <w:tcPr>
            <w:tcW w:type="dxa" w:w="327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val="false"/>
                <w:bCs w:val="false"/>
                <w:color w:val="20262B"/>
                <w:sz w:val="19"/>
                <w:szCs w:val="19"/>
              </w:rPr>
              <w:t xml:space="preserve">None</w:t>
            </w:r>
          </w:p>
        </w:tc>
      </w:tr>
      <w:tr>
        <w:trPr>
          <w:tblHeader w:val="false"/>
        </w:trPr>
        <w:tc>
          <w:tcPr>
            <w:tcW w:type="dxa" w:w="26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bCs/>
                <w:color w:val="20262B"/>
                <w:sz w:val="19"/>
                <w:szCs w:val="19"/>
              </w:rPr>
              <w:t xml:space="preserve">Domain or subdomain</w:t>
            </w:r>
          </w:p>
        </w:tc>
        <w:tc>
          <w:tcPr>
            <w:tcW w:type="dxa" w:w="32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val="false"/>
                <w:bCs w:val="false"/>
                <w:color w:val="20262B"/>
                <w:sz w:val="19"/>
                <w:szCs w:val="19"/>
              </w:rPr>
              <w:t xml:space="preserve">The University, for example forge.ouk.ac.ke</w:t>
            </w:r>
          </w:p>
        </w:tc>
        <w:tc>
          <w:tcPr>
            <w:tcW w:type="dxa" w:w="327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val="false"/>
                <w:bCs w:val="false"/>
                <w:color w:val="20262B"/>
                <w:sz w:val="19"/>
                <w:szCs w:val="19"/>
              </w:rPr>
              <w:t xml:space="preserve">Negligible</w:t>
            </w:r>
          </w:p>
        </w:tc>
      </w:tr>
      <w:tr>
        <w:trPr>
          <w:tblHeader w:val="false"/>
        </w:trPr>
        <w:tc>
          <w:tcPr>
            <w:tcW w:type="dxa" w:w="26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bCs/>
                <w:color w:val="20262B"/>
                <w:sz w:val="19"/>
                <w:szCs w:val="19"/>
              </w:rPr>
              <w:t xml:space="preserve">Authentication integration</w:t>
            </w:r>
          </w:p>
        </w:tc>
        <w:tc>
          <w:tcPr>
            <w:tcW w:type="dxa" w:w="32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val="false"/>
                <w:bCs w:val="false"/>
                <w:color w:val="20262B"/>
                <w:sz w:val="19"/>
                <w:szCs w:val="19"/>
              </w:rPr>
              <w:t xml:space="preserve">Directorate of ICT, technical guidance</w:t>
            </w:r>
          </w:p>
        </w:tc>
        <w:tc>
          <w:tcPr>
            <w:tcW w:type="dxa" w:w="327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val="false"/>
                <w:bCs w:val="false"/>
                <w:color w:val="20262B"/>
                <w:sz w:val="19"/>
                <w:szCs w:val="19"/>
              </w:rPr>
              <w:t xml:space="preserve">Staff time only</w:t>
            </w:r>
          </w:p>
        </w:tc>
      </w:tr>
      <w:tr>
        <w:trPr>
          <w:tblHeader w:val="false"/>
        </w:trPr>
        <w:tc>
          <w:tcPr>
            <w:tcW w:type="dxa" w:w="26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bCs/>
                <w:color w:val="20262B"/>
                <w:sz w:val="19"/>
                <w:szCs w:val="19"/>
              </w:rPr>
              <w:t xml:space="preserve">Academic mentorship</w:t>
            </w:r>
          </w:p>
        </w:tc>
        <w:tc>
          <w:tcPr>
            <w:tcW w:type="dxa" w:w="32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val="false"/>
                <w:bCs w:val="false"/>
                <w:color w:val="20262B"/>
                <w:sz w:val="19"/>
                <w:szCs w:val="19"/>
              </w:rPr>
              <w:t xml:space="preserve">Volunteer academic staff</w:t>
            </w:r>
          </w:p>
        </w:tc>
        <w:tc>
          <w:tcPr>
            <w:tcW w:type="dxa" w:w="327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val="false"/>
                <w:bCs w:val="false"/>
                <w:color w:val="20262B"/>
                <w:sz w:val="19"/>
                <w:szCs w:val="19"/>
              </w:rPr>
              <w:t xml:space="preserve">Approximately two to four hours per mentor per month</w:t>
            </w:r>
          </w:p>
        </w:tc>
      </w:tr>
      <w:tr>
        <w:trPr>
          <w:tblHeader w:val="false"/>
        </w:trPr>
        <w:tc>
          <w:tcPr>
            <w:tcW w:type="dxa" w:w="26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bCs/>
                <w:color w:val="20262B"/>
                <w:sz w:val="19"/>
                <w:szCs w:val="19"/>
              </w:rPr>
              <w:t xml:space="preserve">Faculty advisor</w:t>
            </w:r>
          </w:p>
        </w:tc>
        <w:tc>
          <w:tcPr>
            <w:tcW w:type="dxa" w:w="32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val="false"/>
                <w:bCs w:val="false"/>
                <w:color w:val="20262B"/>
                <w:sz w:val="19"/>
                <w:szCs w:val="19"/>
              </w:rPr>
              <w:t xml:space="preserve">The University</w:t>
            </w:r>
          </w:p>
        </w:tc>
        <w:tc>
          <w:tcPr>
            <w:tcW w:type="dxa" w:w="327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val="false"/>
                <w:bCs w:val="false"/>
                <w:color w:val="20262B"/>
                <w:sz w:val="19"/>
                <w:szCs w:val="19"/>
              </w:rPr>
              <w:t xml:space="preserve">Part of an existing role</w:t>
            </w:r>
          </w:p>
        </w:tc>
      </w:tr>
      <w:tr>
        <w:trPr>
          <w:tblHeader w:val="false"/>
        </w:trPr>
        <w:tc>
          <w:tcPr>
            <w:tcW w:type="dxa" w:w="26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bCs/>
                <w:color w:val="20262B"/>
                <w:sz w:val="19"/>
                <w:szCs w:val="19"/>
              </w:rPr>
              <w:t xml:space="preserve">Certificates and recognition</w:t>
            </w:r>
          </w:p>
        </w:tc>
        <w:tc>
          <w:tcPr>
            <w:tcW w:type="dxa" w:w="32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val="false"/>
                <w:bCs w:val="false"/>
                <w:color w:val="20262B"/>
                <w:sz w:val="19"/>
                <w:szCs w:val="19"/>
              </w:rPr>
              <w:t xml:space="preserve">The University, at the point of issue</w:t>
            </w:r>
          </w:p>
        </w:tc>
        <w:tc>
          <w:tcPr>
            <w:tcW w:type="dxa" w:w="327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val="false"/>
                <w:bCs w:val="false"/>
                <w:color w:val="20262B"/>
                <w:sz w:val="19"/>
                <w:szCs w:val="19"/>
              </w:rPr>
              <w:t xml:space="preserve">Minimal</w:t>
            </w:r>
          </w:p>
        </w:tc>
      </w:tr>
      <w:tr>
        <w:trPr>
          <w:tblHeader w:val="false"/>
        </w:trPr>
        <w:tc>
          <w:tcPr>
            <w:tcW w:type="dxa" w:w="26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bCs/>
                <w:color w:val="20262B"/>
                <w:sz w:val="19"/>
                <w:szCs w:val="19"/>
              </w:rPr>
              <w:t xml:space="preserve">Competition prizes, if any</w:t>
            </w:r>
          </w:p>
        </w:tc>
        <w:tc>
          <w:tcPr>
            <w:tcW w:type="dxa" w:w="32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val="false"/>
                <w:bCs w:val="false"/>
                <w:color w:val="20262B"/>
                <w:sz w:val="19"/>
                <w:szCs w:val="19"/>
              </w:rPr>
              <w:t xml:space="preserve">External sponsors only</w:t>
            </w:r>
          </w:p>
        </w:tc>
        <w:tc>
          <w:tcPr>
            <w:tcW w:type="dxa" w:w="327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val="false"/>
                <w:bCs w:val="false"/>
                <w:color w:val="20262B"/>
                <w:sz w:val="19"/>
                <w:szCs w:val="19"/>
              </w:rPr>
              <w:t xml:space="preserve">None</w:t>
            </w:r>
          </w:p>
        </w:tc>
      </w:tr>
    </w:tbl>
    <w:p>
      <w:pPr>
        <w:spacing w:after="220" w:before="100"/>
      </w:pPr>
      <w:r>
        <w:rPr>
          <w:rFonts w:ascii="Calibri" w:cs="Calibri" w:eastAsia="Calibri" w:hAnsi="Calibri"/>
          <w:i/>
          <w:iCs/>
          <w:color w:val="6B6560"/>
          <w:sz w:val="17"/>
          <w:szCs w:val="17"/>
        </w:rPr>
        <w:t xml:space="preserve">Table 11: Resource requirements for the pilot period.</w:t>
      </w:r>
    </w:p>
    <w:p>
      <w:pPr>
        <w:spacing w:after="140" w:line="276"/>
        <w:jc w:val="both"/>
      </w:pPr>
      <w:r>
        <w:rPr>
          <w:rFonts w:ascii="Calibri" w:cs="Calibri" w:eastAsia="Calibri" w:hAnsi="Calibri"/>
          <w:color w:val="20262B"/>
          <w:sz w:val="21"/>
          <w:szCs w:val="21"/>
        </w:rPr>
        <w:t xml:space="preserve">Should the University later decide to institutionalise the initiative, a properly costed budget covering hosting, a part-time coordinator and student leadership stipends would be prepared and submitted through the normal process. That is a decision for the end of the pilot, not the beginning.</w:t>
      </w:r>
    </w:p>
    <w:p>
      <w:pPr>
        <w:pStyle w:val="Heading1"/>
        <w:pBdr>
          <w:bottom w:val="single" w:color="A84B12" w:sz="10" w:space="6"/>
        </w:pBdr>
        <w:spacing w:after="200" w:before="400"/>
      </w:pPr>
      <w:r>
        <w:rPr>
          <w:rFonts w:ascii="Georgia" w:cs="Georgia" w:eastAsia="Georgia" w:hAnsi="Georgia"/>
          <w:b/>
          <w:bCs/>
          <w:color w:val="1C2B36"/>
          <w:sz w:val="30"/>
          <w:szCs w:val="30"/>
        </w:rPr>
        <w:t xml:space="preserve">18.  Sustainability</w:t>
      </w:r>
    </w:p>
    <w:p>
      <w:pPr>
        <w:spacing w:after="140" w:line="276"/>
        <w:jc w:val="both"/>
      </w:pPr>
      <w:r>
        <w:rPr>
          <w:rFonts w:ascii="Calibri" w:cs="Calibri" w:eastAsia="Calibri" w:hAnsi="Calibri"/>
          <w:color w:val="20262B"/>
          <w:sz w:val="21"/>
          <w:szCs w:val="21"/>
        </w:rPr>
        <w:t xml:space="preserve">Two questions determine whether an initiative of this kind survives: who pays for it, and who runs it after the founders graduate. Both are addressed here.</w:t>
      </w:r>
    </w:p>
    <w:p>
      <w:pPr>
        <w:pStyle w:val="Heading2"/>
        <w:spacing w:after="120" w:before="300"/>
      </w:pPr>
      <w:r>
        <w:rPr>
          <w:rFonts w:ascii="Georgia" w:cs="Georgia" w:eastAsia="Georgia" w:hAnsi="Georgia"/>
          <w:b/>
          <w:bCs/>
          <w:color w:val="A84B12"/>
          <w:sz w:val="23"/>
          <w:szCs w:val="23"/>
        </w:rPr>
        <w:t xml:space="preserve">18.1  Financial sustainability</w:t>
      </w:r>
    </w:p>
    <w:p>
      <w:pPr>
        <w:spacing w:after="140" w:line="276"/>
        <w:jc w:val="both"/>
      </w:pPr>
      <w:r>
        <w:rPr>
          <w:rFonts w:ascii="Calibri" w:cs="Calibri" w:eastAsia="Calibri" w:hAnsi="Calibri"/>
          <w:color w:val="20262B"/>
          <w:sz w:val="21"/>
          <w:szCs w:val="21"/>
        </w:rPr>
        <w:t xml:space="preserve">The platform is free to every student and is designed to remain so. Its running costs are small, being essentially hosting and a domain. These are met during the pilot from sponsored credits, and thereafter from a modest institutional provision if the University chooses to continue, from technology partner programmes such as those already available through the University’s existing partnerships, and from sponsors who fund specific competitions rather than the platform itself. Under no circumstances would participation be sold to students.</w:t>
      </w:r>
    </w:p>
    <w:p>
      <w:pPr>
        <w:pStyle w:val="Heading2"/>
        <w:spacing w:after="120" w:before="300"/>
      </w:pPr>
      <w:r>
        <w:rPr>
          <w:rFonts w:ascii="Georgia" w:cs="Georgia" w:eastAsia="Georgia" w:hAnsi="Georgia"/>
          <w:b/>
          <w:bCs/>
          <w:color w:val="A84B12"/>
          <w:sz w:val="23"/>
          <w:szCs w:val="23"/>
        </w:rPr>
        <w:t xml:space="preserve">18.2  Institutional sustainability</w:t>
      </w:r>
    </w:p>
    <w:p>
      <w:pPr>
        <w:spacing w:after="140" w:line="276"/>
        <w:jc w:val="both"/>
      </w:pPr>
      <w:r>
        <w:rPr>
          <w:rFonts w:ascii="Calibri" w:cs="Calibri" w:eastAsia="Calibri" w:hAnsi="Calibri"/>
          <w:color w:val="20262B"/>
          <w:sz w:val="21"/>
          <w:szCs w:val="21"/>
        </w:rPr>
        <w:t xml:space="preserve">The greater risk is not money but succession. A student initiative that depends on one talented founder ends when that founder graduates. The following measures are proposed to prevent this:</w:t>
      </w:r>
    </w:p>
    <w:p>
      <w:pPr>
        <w:pStyle w:val="ListParagraph"/>
        <w:numPr>
          <w:ilvl w:val="0"/>
          <w:numId w:val="2"/>
        </w:numPr>
        <w:spacing w:after="80" w:line="268"/>
        <w:jc w:val="both"/>
      </w:pPr>
      <w:r>
        <w:rPr>
          <w:rFonts w:ascii="Calibri" w:cs="Calibri" w:eastAsia="Calibri" w:hAnsi="Calibri"/>
          <w:color w:val="20262B"/>
          <w:sz w:val="21"/>
          <w:szCs w:val="21"/>
        </w:rPr>
        <w:t xml:space="preserve">Annual election of the student executive, with a deliberate overlap period for handover</w:t>
      </w:r>
    </w:p>
    <w:p>
      <w:pPr>
        <w:pStyle w:val="ListParagraph"/>
        <w:numPr>
          <w:ilvl w:val="0"/>
          <w:numId w:val="2"/>
        </w:numPr>
        <w:spacing w:after="80" w:line="268"/>
        <w:jc w:val="both"/>
      </w:pPr>
      <w:r>
        <w:rPr>
          <w:rFonts w:ascii="Calibri" w:cs="Calibri" w:eastAsia="Calibri" w:hAnsi="Calibri"/>
          <w:color w:val="20262B"/>
          <w:sz w:val="21"/>
          <w:szCs w:val="21"/>
        </w:rPr>
        <w:t xml:space="preserve">A standing requirement that every technical role has an identified understudy</w:t>
      </w:r>
    </w:p>
    <w:p>
      <w:pPr>
        <w:pStyle w:val="ListParagraph"/>
        <w:numPr>
          <w:ilvl w:val="0"/>
          <w:numId w:val="2"/>
        </w:numPr>
        <w:spacing w:after="80" w:line="268"/>
        <w:jc w:val="both"/>
      </w:pPr>
      <w:r>
        <w:rPr>
          <w:rFonts w:ascii="Calibri" w:cs="Calibri" w:eastAsia="Calibri" w:hAnsi="Calibri"/>
          <w:color w:val="20262B"/>
          <w:sz w:val="21"/>
          <w:szCs w:val="21"/>
        </w:rPr>
        <w:t xml:space="preserve">Documentation treated as a deliverable of equal standing to code, with no feature considered complete until it is documented</w:t>
      </w:r>
    </w:p>
    <w:p>
      <w:pPr>
        <w:pStyle w:val="ListParagraph"/>
        <w:numPr>
          <w:ilvl w:val="0"/>
          <w:numId w:val="2"/>
        </w:numPr>
        <w:spacing w:after="80" w:line="268"/>
        <w:jc w:val="both"/>
      </w:pPr>
      <w:r>
        <w:rPr>
          <w:rFonts w:ascii="Calibri" w:cs="Calibri" w:eastAsia="Calibri" w:hAnsi="Calibri"/>
          <w:color w:val="20262B"/>
          <w:sz w:val="21"/>
          <w:szCs w:val="21"/>
        </w:rPr>
        <w:t xml:space="preserve">All credentials and infrastructure held in University controlled accounts, never in personal ones</w:t>
      </w:r>
    </w:p>
    <w:p>
      <w:pPr>
        <w:pStyle w:val="ListParagraph"/>
        <w:numPr>
          <w:ilvl w:val="0"/>
          <w:numId w:val="2"/>
        </w:numPr>
        <w:spacing w:after="80" w:line="268"/>
        <w:jc w:val="both"/>
      </w:pPr>
      <w:r>
        <w:rPr>
          <w:rFonts w:ascii="Calibri" w:cs="Calibri" w:eastAsia="Calibri" w:hAnsi="Calibri"/>
          <w:color w:val="20262B"/>
          <w:sz w:val="21"/>
          <w:szCs w:val="21"/>
        </w:rPr>
        <w:t xml:space="preserve">Continuity of the faculty advisor role, which sits with the University and is unaffected by student turnover</w:t>
      </w:r>
    </w:p>
    <w:p>
      <w:pPr>
        <w:pStyle w:val="Heading1"/>
        <w:pBdr>
          <w:bottom w:val="single" w:color="A84B12" w:sz="10" w:space="6"/>
        </w:pBdr>
        <w:spacing w:after="200" w:before="400"/>
      </w:pPr>
      <w:r>
        <w:rPr>
          <w:rFonts w:ascii="Georgia" w:cs="Georgia" w:eastAsia="Georgia" w:hAnsi="Georgia"/>
          <w:b/>
          <w:bCs/>
          <w:color w:val="1C2B36"/>
          <w:sz w:val="30"/>
          <w:szCs w:val="30"/>
        </w:rPr>
        <w:t xml:space="preserve">19.  Risk Assessment</w:t>
      </w:r>
    </w:p>
    <w:p>
      <w:pPr>
        <w:spacing w:after="140" w:line="276"/>
        <w:jc w:val="both"/>
      </w:pPr>
      <w:r>
        <w:rPr>
          <w:rFonts w:ascii="Calibri" w:cs="Calibri" w:eastAsia="Calibri" w:hAnsi="Calibri"/>
          <w:color w:val="20262B"/>
          <w:sz w:val="21"/>
          <w:szCs w:val="21"/>
        </w:rPr>
        <w:t xml:space="preserve">The principal risks are set out below with the mitigation proposed for each. The Advisory Committee would review this register each trimester.</w:t>
      </w:r>
    </w:p>
    <w:p>
      <w:pPr>
        <w:spacing w:after="6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800"/>
        <w:gridCol w:w="1300"/>
        <w:gridCol w:w="4970"/>
      </w:tblGrid>
      <w:tr>
        <w:trPr>
          <w:tblHeader/>
        </w:trPr>
        <w:tc>
          <w:tcPr>
            <w:tcW w:type="dxa" w:w="2800"/>
            <w:tcBorders>
              <w:top w:val="single" w:color="A84B12" w:sz="3"/>
              <w:left w:val="none" w:color="FFFFFF" w:sz="0"/>
              <w:bottom w:val="single" w:color="A84B12" w:sz="6"/>
              <w:right w:val="none" w:color="FFFFFF" w:sz="0"/>
            </w:tcBorders>
            <w:shd w:fill="F3E9DF" w:color="auto" w:val="clear"/>
            <w:tcMar>
              <w:top w:type="dxa" w:w="90"/>
              <w:left w:type="dxa" w:w="130"/>
              <w:bottom w:type="dxa" w:w="90"/>
              <w:right w:type="dxa" w:w="130"/>
            </w:tcMar>
          </w:tcPr>
          <w:p>
            <w:pPr>
              <w:spacing w:after="60" w:before="60" w:line="250"/>
              <w:jc w:val="left"/>
            </w:pPr>
            <w:r>
              <w:rPr>
                <w:rFonts w:ascii="Calibri" w:cs="Calibri" w:eastAsia="Calibri" w:hAnsi="Calibri"/>
                <w:b/>
                <w:bCs/>
                <w:color w:val="1C2B36"/>
                <w:sz w:val="19"/>
                <w:szCs w:val="19"/>
              </w:rPr>
              <w:t xml:space="preserve">Risk</w:t>
            </w:r>
          </w:p>
        </w:tc>
        <w:tc>
          <w:tcPr>
            <w:tcW w:type="dxa" w:w="1300"/>
            <w:tcBorders>
              <w:top w:val="single" w:color="A84B12" w:sz="3"/>
              <w:left w:val="none" w:color="FFFFFF" w:sz="0"/>
              <w:bottom w:val="single" w:color="A84B12" w:sz="6"/>
              <w:right w:val="none" w:color="FFFFFF" w:sz="0"/>
            </w:tcBorders>
            <w:shd w:fill="F3E9DF" w:color="auto" w:val="clear"/>
            <w:tcMar>
              <w:top w:type="dxa" w:w="90"/>
              <w:left w:type="dxa" w:w="130"/>
              <w:bottom w:type="dxa" w:w="90"/>
              <w:right w:type="dxa" w:w="130"/>
            </w:tcMar>
          </w:tcPr>
          <w:p>
            <w:pPr>
              <w:spacing w:after="60" w:before="60" w:line="250"/>
              <w:jc w:val="center"/>
            </w:pPr>
            <w:r>
              <w:rPr>
                <w:rFonts w:ascii="Calibri" w:cs="Calibri" w:eastAsia="Calibri" w:hAnsi="Calibri"/>
                <w:b/>
                <w:bCs/>
                <w:color w:val="1C2B36"/>
                <w:sz w:val="19"/>
                <w:szCs w:val="19"/>
              </w:rPr>
              <w:t xml:space="preserve">Rating</w:t>
            </w:r>
          </w:p>
        </w:tc>
        <w:tc>
          <w:tcPr>
            <w:tcW w:type="dxa" w:w="4970"/>
            <w:tcBorders>
              <w:top w:val="single" w:color="A84B12" w:sz="3"/>
              <w:left w:val="none" w:color="FFFFFF" w:sz="0"/>
              <w:bottom w:val="single" w:color="A84B12" w:sz="6"/>
              <w:right w:val="none" w:color="FFFFFF" w:sz="0"/>
            </w:tcBorders>
            <w:shd w:fill="F3E9DF" w:color="auto" w:val="clear"/>
            <w:tcMar>
              <w:top w:type="dxa" w:w="90"/>
              <w:left w:type="dxa" w:w="130"/>
              <w:bottom w:type="dxa" w:w="90"/>
              <w:right w:type="dxa" w:w="130"/>
            </w:tcMar>
          </w:tcPr>
          <w:p>
            <w:pPr>
              <w:spacing w:after="60" w:before="60" w:line="250"/>
              <w:jc w:val="left"/>
            </w:pPr>
            <w:r>
              <w:rPr>
                <w:rFonts w:ascii="Calibri" w:cs="Calibri" w:eastAsia="Calibri" w:hAnsi="Calibri"/>
                <w:b/>
                <w:bCs/>
                <w:color w:val="1C2B36"/>
                <w:sz w:val="19"/>
                <w:szCs w:val="19"/>
              </w:rPr>
              <w:t xml:space="preserve">Mitigation</w:t>
            </w:r>
          </w:p>
        </w:tc>
      </w:tr>
      <w:tr>
        <w:trPr>
          <w:tblHeader w:val="false"/>
        </w:trPr>
        <w:tc>
          <w:tcPr>
            <w:tcW w:type="dxa" w:w="28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bCs/>
                <w:color w:val="20262B"/>
                <w:sz w:val="19"/>
                <w:szCs w:val="19"/>
              </w:rPr>
              <w:t xml:space="preserve">Low participation after initial enthusiasm</w:t>
            </w:r>
          </w:p>
        </w:tc>
        <w:tc>
          <w:tcPr>
            <w:tcW w:type="dxa" w:w="13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center"/>
            </w:pPr>
            <w:r>
              <w:rPr>
                <w:rFonts w:ascii="Calibri" w:cs="Calibri" w:eastAsia="Calibri" w:hAnsi="Calibri"/>
                <w:b w:val="false"/>
                <w:bCs w:val="false"/>
                <w:color w:val="20262B"/>
                <w:sz w:val="19"/>
                <w:szCs w:val="19"/>
              </w:rPr>
              <w:t xml:space="preserve">High</w:t>
            </w:r>
          </w:p>
        </w:tc>
        <w:tc>
          <w:tcPr>
            <w:tcW w:type="dxa" w:w="497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val="false"/>
                <w:bCs w:val="false"/>
                <w:color w:val="20262B"/>
                <w:sz w:val="19"/>
                <w:szCs w:val="19"/>
              </w:rPr>
              <w:t xml:space="preserve">Launch with a small committed cohort rather than the whole University; ensure the first projects are completed and visible; recognition tied to delivery; regular challenges to create rhythm</w:t>
            </w:r>
          </w:p>
        </w:tc>
      </w:tr>
      <w:tr>
        <w:trPr>
          <w:tblHeader w:val="false"/>
        </w:trPr>
        <w:tc>
          <w:tcPr>
            <w:tcW w:type="dxa" w:w="28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bCs/>
                <w:color w:val="20262B"/>
                <w:sz w:val="19"/>
                <w:szCs w:val="19"/>
              </w:rPr>
              <w:t xml:space="preserve">Insufficient staff mentors</w:t>
            </w:r>
          </w:p>
        </w:tc>
        <w:tc>
          <w:tcPr>
            <w:tcW w:type="dxa" w:w="13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center"/>
            </w:pPr>
            <w:r>
              <w:rPr>
                <w:rFonts w:ascii="Calibri" w:cs="Calibri" w:eastAsia="Calibri" w:hAnsi="Calibri"/>
                <w:b w:val="false"/>
                <w:bCs w:val="false"/>
                <w:color w:val="20262B"/>
                <w:sz w:val="19"/>
                <w:szCs w:val="19"/>
              </w:rPr>
              <w:t xml:space="preserve">Medium</w:t>
            </w:r>
          </w:p>
        </w:tc>
        <w:tc>
          <w:tcPr>
            <w:tcW w:type="dxa" w:w="497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val="false"/>
                <w:bCs w:val="false"/>
                <w:color w:val="20262B"/>
                <w:sz w:val="19"/>
                <w:szCs w:val="19"/>
              </w:rPr>
              <w:t xml:space="preserve">Mentor commitment kept to two to four hours monthly; alumni and senior students absorb most mentoring; formal recognition of staff contribution</w:t>
            </w:r>
          </w:p>
        </w:tc>
      </w:tr>
      <w:tr>
        <w:trPr>
          <w:tblHeader w:val="false"/>
        </w:trPr>
        <w:tc>
          <w:tcPr>
            <w:tcW w:type="dxa" w:w="28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bCs/>
                <w:color w:val="20262B"/>
                <w:sz w:val="19"/>
                <w:szCs w:val="19"/>
              </w:rPr>
              <w:t xml:space="preserve">Founder dependency and succession failure</w:t>
            </w:r>
          </w:p>
        </w:tc>
        <w:tc>
          <w:tcPr>
            <w:tcW w:type="dxa" w:w="13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center"/>
            </w:pPr>
            <w:r>
              <w:rPr>
                <w:rFonts w:ascii="Calibri" w:cs="Calibri" w:eastAsia="Calibri" w:hAnsi="Calibri"/>
                <w:b w:val="false"/>
                <w:bCs w:val="false"/>
                <w:color w:val="20262B"/>
                <w:sz w:val="19"/>
                <w:szCs w:val="19"/>
              </w:rPr>
              <w:t xml:space="preserve">High</w:t>
            </w:r>
          </w:p>
        </w:tc>
        <w:tc>
          <w:tcPr>
            <w:tcW w:type="dxa" w:w="497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val="false"/>
                <w:bCs w:val="false"/>
                <w:color w:val="20262B"/>
                <w:sz w:val="19"/>
                <w:szCs w:val="19"/>
              </w:rPr>
              <w:t xml:space="preserve">Understudy for every role, annual elections, documentation as a deliverable, University held credentials</w:t>
            </w:r>
          </w:p>
        </w:tc>
      </w:tr>
      <w:tr>
        <w:trPr>
          <w:tblHeader w:val="false"/>
        </w:trPr>
        <w:tc>
          <w:tcPr>
            <w:tcW w:type="dxa" w:w="28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bCs/>
                <w:color w:val="20262B"/>
                <w:sz w:val="19"/>
                <w:szCs w:val="19"/>
              </w:rPr>
              <w:t xml:space="preserve">Perception that it competes with the Learning Management System</w:t>
            </w:r>
          </w:p>
        </w:tc>
        <w:tc>
          <w:tcPr>
            <w:tcW w:type="dxa" w:w="13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center"/>
            </w:pPr>
            <w:r>
              <w:rPr>
                <w:rFonts w:ascii="Calibri" w:cs="Calibri" w:eastAsia="Calibri" w:hAnsi="Calibri"/>
                <w:b w:val="false"/>
                <w:bCs w:val="false"/>
                <w:color w:val="20262B"/>
                <w:sz w:val="19"/>
                <w:szCs w:val="19"/>
              </w:rPr>
              <w:t xml:space="preserve">Medium</w:t>
            </w:r>
          </w:p>
        </w:tc>
        <w:tc>
          <w:tcPr>
            <w:tcW w:type="dxa" w:w="497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val="false"/>
                <w:bCs w:val="false"/>
                <w:color w:val="20262B"/>
                <w:sz w:val="19"/>
                <w:szCs w:val="19"/>
              </w:rPr>
              <w:t xml:space="preserve">Explicit boundary as set out in Section 5.3; no academic credit; no assessment; regular reporting to the faculty advisor</w:t>
            </w:r>
          </w:p>
        </w:tc>
      </w:tr>
      <w:tr>
        <w:trPr>
          <w:tblHeader w:val="false"/>
        </w:trPr>
        <w:tc>
          <w:tcPr>
            <w:tcW w:type="dxa" w:w="28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bCs/>
                <w:color w:val="20262B"/>
                <w:sz w:val="19"/>
                <w:szCs w:val="19"/>
              </w:rPr>
              <w:t xml:space="preserve">Data breach or platform compromise</w:t>
            </w:r>
          </w:p>
        </w:tc>
        <w:tc>
          <w:tcPr>
            <w:tcW w:type="dxa" w:w="13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center"/>
            </w:pPr>
            <w:r>
              <w:rPr>
                <w:rFonts w:ascii="Calibri" w:cs="Calibri" w:eastAsia="Calibri" w:hAnsi="Calibri"/>
                <w:b w:val="false"/>
                <w:bCs w:val="false"/>
                <w:color w:val="20262B"/>
                <w:sz w:val="19"/>
                <w:szCs w:val="19"/>
              </w:rPr>
              <w:t xml:space="preserve">Low but severe</w:t>
            </w:r>
          </w:p>
        </w:tc>
        <w:tc>
          <w:tcPr>
            <w:tcW w:type="dxa" w:w="497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val="false"/>
                <w:bCs w:val="false"/>
                <w:color w:val="20262B"/>
                <w:sz w:val="19"/>
                <w:szCs w:val="19"/>
              </w:rPr>
              <w:t xml:space="preserve">Minimal data collection, role based access, secure development practice, audit logging, isolated environments for technical exercises</w:t>
            </w:r>
          </w:p>
        </w:tc>
      </w:tr>
      <w:tr>
        <w:trPr>
          <w:tblHeader w:val="false"/>
        </w:trPr>
        <w:tc>
          <w:tcPr>
            <w:tcW w:type="dxa" w:w="28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bCs/>
                <w:color w:val="20262B"/>
                <w:sz w:val="19"/>
                <w:szCs w:val="19"/>
              </w:rPr>
              <w:t xml:space="preserve">Misconduct, harassment or academic dishonesty</w:t>
            </w:r>
          </w:p>
        </w:tc>
        <w:tc>
          <w:tcPr>
            <w:tcW w:type="dxa" w:w="13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center"/>
            </w:pPr>
            <w:r>
              <w:rPr>
                <w:rFonts w:ascii="Calibri" w:cs="Calibri" w:eastAsia="Calibri" w:hAnsi="Calibri"/>
                <w:b w:val="false"/>
                <w:bCs w:val="false"/>
                <w:color w:val="20262B"/>
                <w:sz w:val="19"/>
                <w:szCs w:val="19"/>
              </w:rPr>
              <w:t xml:space="preserve">Medium</w:t>
            </w:r>
          </w:p>
        </w:tc>
        <w:tc>
          <w:tcPr>
            <w:tcW w:type="dxa" w:w="497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val="false"/>
                <w:bCs w:val="false"/>
                <w:color w:val="20262B"/>
                <w:sz w:val="19"/>
                <w:szCs w:val="19"/>
              </w:rPr>
              <w:t xml:space="preserve">Published code of conduct, active moderation, clear escalation to the faculty advisor, defined sanctions</w:t>
            </w:r>
          </w:p>
        </w:tc>
      </w:tr>
      <w:tr>
        <w:trPr>
          <w:tblHeader w:val="false"/>
        </w:trPr>
        <w:tc>
          <w:tcPr>
            <w:tcW w:type="dxa" w:w="28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bCs/>
                <w:color w:val="20262B"/>
                <w:sz w:val="19"/>
                <w:szCs w:val="19"/>
              </w:rPr>
              <w:t xml:space="preserve">Gaming of the recognition system</w:t>
            </w:r>
          </w:p>
        </w:tc>
        <w:tc>
          <w:tcPr>
            <w:tcW w:type="dxa" w:w="13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center"/>
            </w:pPr>
            <w:r>
              <w:rPr>
                <w:rFonts w:ascii="Calibri" w:cs="Calibri" w:eastAsia="Calibri" w:hAnsi="Calibri"/>
                <w:b w:val="false"/>
                <w:bCs w:val="false"/>
                <w:color w:val="20262B"/>
                <w:sz w:val="19"/>
                <w:szCs w:val="19"/>
              </w:rPr>
              <w:t xml:space="preserve">Medium</w:t>
            </w:r>
          </w:p>
        </w:tc>
        <w:tc>
          <w:tcPr>
            <w:tcW w:type="dxa" w:w="497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val="false"/>
                <w:bCs w:val="false"/>
                <w:color w:val="20262B"/>
                <w:sz w:val="19"/>
                <w:szCs w:val="19"/>
              </w:rPr>
              <w:t xml:space="preserve">No points for popularity, human review of every award, reciprocity caps, forfeiture for dishonesty</w:t>
            </w:r>
          </w:p>
        </w:tc>
      </w:tr>
      <w:tr>
        <w:trPr>
          <w:tblHeader w:val="false"/>
        </w:trPr>
        <w:tc>
          <w:tcPr>
            <w:tcW w:type="dxa" w:w="28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bCs/>
                <w:color w:val="20262B"/>
                <w:sz w:val="19"/>
                <w:szCs w:val="19"/>
              </w:rPr>
              <w:t xml:space="preserve">Reputational risk to the University</w:t>
            </w:r>
          </w:p>
        </w:tc>
        <w:tc>
          <w:tcPr>
            <w:tcW w:type="dxa" w:w="13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center"/>
            </w:pPr>
            <w:r>
              <w:rPr>
                <w:rFonts w:ascii="Calibri" w:cs="Calibri" w:eastAsia="Calibri" w:hAnsi="Calibri"/>
                <w:b w:val="false"/>
                <w:bCs w:val="false"/>
                <w:color w:val="20262B"/>
                <w:sz w:val="19"/>
                <w:szCs w:val="19"/>
              </w:rPr>
              <w:t xml:space="preserve">Low but severe</w:t>
            </w:r>
          </w:p>
        </w:tc>
        <w:tc>
          <w:tcPr>
            <w:tcW w:type="dxa" w:w="497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val="false"/>
                <w:bCs w:val="false"/>
                <w:color w:val="20262B"/>
                <w:sz w:val="19"/>
                <w:szCs w:val="19"/>
              </w:rPr>
              <w:t xml:space="preserve">University approval of all public communications, faculty advisor oversight, University right of suspension at any time</w:t>
            </w:r>
          </w:p>
        </w:tc>
      </w:tr>
      <w:tr>
        <w:trPr>
          <w:tblHeader w:val="false"/>
        </w:trPr>
        <w:tc>
          <w:tcPr>
            <w:tcW w:type="dxa" w:w="28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bCs/>
                <w:color w:val="20262B"/>
                <w:sz w:val="19"/>
                <w:szCs w:val="19"/>
              </w:rPr>
              <w:t xml:space="preserve">Intellectual property dispute between students</w:t>
            </w:r>
          </w:p>
        </w:tc>
        <w:tc>
          <w:tcPr>
            <w:tcW w:type="dxa" w:w="13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center"/>
            </w:pPr>
            <w:r>
              <w:rPr>
                <w:rFonts w:ascii="Calibri" w:cs="Calibri" w:eastAsia="Calibri" w:hAnsi="Calibri"/>
                <w:b w:val="false"/>
                <w:bCs w:val="false"/>
                <w:color w:val="20262B"/>
                <w:sz w:val="19"/>
                <w:szCs w:val="19"/>
              </w:rPr>
              <w:t xml:space="preserve">Medium</w:t>
            </w:r>
          </w:p>
        </w:tc>
        <w:tc>
          <w:tcPr>
            <w:tcW w:type="dxa" w:w="497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val="false"/>
                <w:bCs w:val="false"/>
                <w:color w:val="20262B"/>
                <w:sz w:val="19"/>
                <w:szCs w:val="19"/>
              </w:rPr>
              <w:t xml:space="preserve">Ownership agreed in writing at team formation using a provided template; escalation to the faculty advisor</w:t>
            </w:r>
          </w:p>
        </w:tc>
      </w:tr>
    </w:tbl>
    <w:p>
      <w:pPr>
        <w:spacing w:after="220" w:before="100"/>
      </w:pPr>
      <w:r>
        <w:rPr>
          <w:rFonts w:ascii="Calibri" w:cs="Calibri" w:eastAsia="Calibri" w:hAnsi="Calibri"/>
          <w:i/>
          <w:iCs/>
          <w:color w:val="6B6560"/>
          <w:sz w:val="17"/>
          <w:szCs w:val="17"/>
        </w:rPr>
        <w:t xml:space="preserve">Table 12: Risk register for the pilot period.</w:t>
      </w:r>
    </w:p>
    <w:p>
      <w:pPr>
        <w:pStyle w:val="Heading1"/>
        <w:pBdr>
          <w:bottom w:val="single" w:color="A84B12" w:sz="10" w:space="6"/>
        </w:pBdr>
        <w:spacing w:after="200" w:before="400"/>
      </w:pPr>
      <w:r>
        <w:rPr>
          <w:rFonts w:ascii="Georgia" w:cs="Georgia" w:eastAsia="Georgia" w:hAnsi="Georgia"/>
          <w:b/>
          <w:bCs/>
          <w:color w:val="1C2B36"/>
          <w:sz w:val="30"/>
          <w:szCs w:val="30"/>
        </w:rPr>
        <w:t xml:space="preserve">20.  Monitoring and Evaluation</w:t>
      </w:r>
    </w:p>
    <w:p>
      <w:pPr>
        <w:spacing w:after="140" w:line="276"/>
        <w:jc w:val="both"/>
      </w:pPr>
      <w:r>
        <w:rPr>
          <w:rFonts w:ascii="Calibri" w:cs="Calibri" w:eastAsia="Calibri" w:hAnsi="Calibri"/>
          <w:color w:val="20262B"/>
          <w:sz w:val="21"/>
          <w:szCs w:val="21"/>
        </w:rPr>
        <w:t xml:space="preserve">The pilot should be judged against stated targets rather than impressions. The indicators below are proposed for the first twelve months and would be reported each trimester to the Advisory Committee. They are deliberately conservative, on the principle that a modest target met is more persuasive than an ambitious one missed.</w:t>
      </w:r>
    </w:p>
    <w:p>
      <w:pPr>
        <w:spacing w:after="6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3470"/>
      </w:tblGrid>
      <w:tr>
        <w:trPr>
          <w:tblHeader/>
        </w:trPr>
        <w:tc>
          <w:tcPr>
            <w:tcW w:type="dxa" w:w="3400"/>
            <w:tcBorders>
              <w:top w:val="single" w:color="A84B12" w:sz="3"/>
              <w:left w:val="none" w:color="FFFFFF" w:sz="0"/>
              <w:bottom w:val="single" w:color="A84B12" w:sz="6"/>
              <w:right w:val="none" w:color="FFFFFF" w:sz="0"/>
            </w:tcBorders>
            <w:shd w:fill="F3E9DF" w:color="auto" w:val="clear"/>
            <w:tcMar>
              <w:top w:type="dxa" w:w="90"/>
              <w:left w:type="dxa" w:w="130"/>
              <w:bottom w:type="dxa" w:w="90"/>
              <w:right w:type="dxa" w:w="130"/>
            </w:tcMar>
          </w:tcPr>
          <w:p>
            <w:pPr>
              <w:spacing w:after="60" w:before="60" w:line="250"/>
              <w:jc w:val="left"/>
            </w:pPr>
            <w:r>
              <w:rPr>
                <w:rFonts w:ascii="Calibri" w:cs="Calibri" w:eastAsia="Calibri" w:hAnsi="Calibri"/>
                <w:b/>
                <w:bCs/>
                <w:color w:val="1C2B36"/>
                <w:sz w:val="19"/>
                <w:szCs w:val="19"/>
              </w:rPr>
              <w:t xml:space="preserve">Indicator</w:t>
            </w:r>
          </w:p>
        </w:tc>
        <w:tc>
          <w:tcPr>
            <w:tcW w:type="dxa" w:w="2200"/>
            <w:tcBorders>
              <w:top w:val="single" w:color="A84B12" w:sz="3"/>
              <w:left w:val="none" w:color="FFFFFF" w:sz="0"/>
              <w:bottom w:val="single" w:color="A84B12" w:sz="6"/>
              <w:right w:val="none" w:color="FFFFFF" w:sz="0"/>
            </w:tcBorders>
            <w:shd w:fill="F3E9DF" w:color="auto" w:val="clear"/>
            <w:tcMar>
              <w:top w:type="dxa" w:w="90"/>
              <w:left w:type="dxa" w:w="130"/>
              <w:bottom w:type="dxa" w:w="90"/>
              <w:right w:type="dxa" w:w="130"/>
            </w:tcMar>
          </w:tcPr>
          <w:p>
            <w:pPr>
              <w:spacing w:after="60" w:before="60" w:line="250"/>
              <w:jc w:val="center"/>
            </w:pPr>
            <w:r>
              <w:rPr>
                <w:rFonts w:ascii="Calibri" w:cs="Calibri" w:eastAsia="Calibri" w:hAnsi="Calibri"/>
                <w:b/>
                <w:bCs/>
                <w:color w:val="1C2B36"/>
                <w:sz w:val="19"/>
                <w:szCs w:val="19"/>
              </w:rPr>
              <w:t xml:space="preserve">Twelve month target</w:t>
            </w:r>
          </w:p>
        </w:tc>
        <w:tc>
          <w:tcPr>
            <w:tcW w:type="dxa" w:w="3470"/>
            <w:tcBorders>
              <w:top w:val="single" w:color="A84B12" w:sz="3"/>
              <w:left w:val="none" w:color="FFFFFF" w:sz="0"/>
              <w:bottom w:val="single" w:color="A84B12" w:sz="6"/>
              <w:right w:val="none" w:color="FFFFFF" w:sz="0"/>
            </w:tcBorders>
            <w:shd w:fill="F3E9DF" w:color="auto" w:val="clear"/>
            <w:tcMar>
              <w:top w:type="dxa" w:w="90"/>
              <w:left w:type="dxa" w:w="130"/>
              <w:bottom w:type="dxa" w:w="90"/>
              <w:right w:type="dxa" w:w="130"/>
            </w:tcMar>
          </w:tcPr>
          <w:p>
            <w:pPr>
              <w:spacing w:after="60" w:before="60" w:line="250"/>
              <w:jc w:val="left"/>
            </w:pPr>
            <w:r>
              <w:rPr>
                <w:rFonts w:ascii="Calibri" w:cs="Calibri" w:eastAsia="Calibri" w:hAnsi="Calibri"/>
                <w:b/>
                <w:bCs/>
                <w:color w:val="1C2B36"/>
                <w:sz w:val="19"/>
                <w:szCs w:val="19"/>
              </w:rPr>
              <w:t xml:space="preserve">Means of verification</w:t>
            </w:r>
          </w:p>
        </w:tc>
      </w:tr>
      <w:tr>
        <w:trPr>
          <w:tblHeader w:val="false"/>
        </w:trPr>
        <w:tc>
          <w:tcPr>
            <w:tcW w:type="dxa" w:w="34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color w:val="20262B"/>
                <w:sz w:val="19"/>
                <w:szCs w:val="19"/>
              </w:rPr>
              <w:t xml:space="preserve">Registered student members</w:t>
            </w:r>
          </w:p>
        </w:tc>
        <w:tc>
          <w:tcPr>
            <w:tcW w:type="dxa" w:w="22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center"/>
            </w:pPr>
            <w:r>
              <w:rPr>
                <w:rFonts w:ascii="Calibri" w:cs="Calibri" w:eastAsia="Calibri" w:hAnsi="Calibri"/>
                <w:color w:val="20262B"/>
                <w:sz w:val="19"/>
                <w:szCs w:val="19"/>
              </w:rPr>
              <w:t xml:space="preserve">1,000</w:t>
            </w:r>
          </w:p>
        </w:tc>
        <w:tc>
          <w:tcPr>
            <w:tcW w:type="dxa" w:w="347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color w:val="20262B"/>
                <w:sz w:val="19"/>
                <w:szCs w:val="19"/>
              </w:rPr>
              <w:t xml:space="preserve">Platform records</w:t>
            </w:r>
          </w:p>
        </w:tc>
      </w:tr>
      <w:tr>
        <w:trPr>
          <w:tblHeader w:val="false"/>
        </w:trPr>
        <w:tc>
          <w:tcPr>
            <w:tcW w:type="dxa" w:w="34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color w:val="20262B"/>
                <w:sz w:val="19"/>
                <w:szCs w:val="19"/>
              </w:rPr>
              <w:t xml:space="preserve">Monthly active participants</w:t>
            </w:r>
          </w:p>
        </w:tc>
        <w:tc>
          <w:tcPr>
            <w:tcW w:type="dxa" w:w="22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center"/>
            </w:pPr>
            <w:r>
              <w:rPr>
                <w:rFonts w:ascii="Calibri" w:cs="Calibri" w:eastAsia="Calibri" w:hAnsi="Calibri"/>
                <w:color w:val="20262B"/>
                <w:sz w:val="19"/>
                <w:szCs w:val="19"/>
              </w:rPr>
              <w:t xml:space="preserve">300</w:t>
            </w:r>
          </w:p>
        </w:tc>
        <w:tc>
          <w:tcPr>
            <w:tcW w:type="dxa" w:w="347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color w:val="20262B"/>
                <w:sz w:val="19"/>
                <w:szCs w:val="19"/>
              </w:rPr>
              <w:t xml:space="preserve">Platform analytics</w:t>
            </w:r>
          </w:p>
        </w:tc>
      </w:tr>
      <w:tr>
        <w:trPr>
          <w:tblHeader w:val="false"/>
        </w:trPr>
        <w:tc>
          <w:tcPr>
            <w:tcW w:type="dxa" w:w="34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color w:val="20262B"/>
                <w:sz w:val="19"/>
                <w:szCs w:val="19"/>
              </w:rPr>
              <w:t xml:space="preserve">Schools represented among members</w:t>
            </w:r>
          </w:p>
        </w:tc>
        <w:tc>
          <w:tcPr>
            <w:tcW w:type="dxa" w:w="22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center"/>
            </w:pPr>
            <w:r>
              <w:rPr>
                <w:rFonts w:ascii="Calibri" w:cs="Calibri" w:eastAsia="Calibri" w:hAnsi="Calibri"/>
                <w:color w:val="20262B"/>
                <w:sz w:val="19"/>
                <w:szCs w:val="19"/>
              </w:rPr>
              <w:t xml:space="preserve">At least three</w:t>
            </w:r>
          </w:p>
        </w:tc>
        <w:tc>
          <w:tcPr>
            <w:tcW w:type="dxa" w:w="347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color w:val="20262B"/>
                <w:sz w:val="19"/>
                <w:szCs w:val="19"/>
              </w:rPr>
              <w:t xml:space="preserve">Membership records by programme</w:t>
            </w:r>
          </w:p>
        </w:tc>
      </w:tr>
      <w:tr>
        <w:trPr>
          <w:tblHeader w:val="false"/>
        </w:trPr>
        <w:tc>
          <w:tcPr>
            <w:tcW w:type="dxa" w:w="34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color w:val="20262B"/>
                <w:sz w:val="19"/>
                <w:szCs w:val="19"/>
              </w:rPr>
              <w:t xml:space="preserve">Projects proposed</w:t>
            </w:r>
          </w:p>
        </w:tc>
        <w:tc>
          <w:tcPr>
            <w:tcW w:type="dxa" w:w="22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center"/>
            </w:pPr>
            <w:r>
              <w:rPr>
                <w:rFonts w:ascii="Calibri" w:cs="Calibri" w:eastAsia="Calibri" w:hAnsi="Calibri"/>
                <w:color w:val="20262B"/>
                <w:sz w:val="19"/>
                <w:szCs w:val="19"/>
              </w:rPr>
              <w:t xml:space="preserve">120</w:t>
            </w:r>
          </w:p>
        </w:tc>
        <w:tc>
          <w:tcPr>
            <w:tcW w:type="dxa" w:w="347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color w:val="20262B"/>
                <w:sz w:val="19"/>
                <w:szCs w:val="19"/>
              </w:rPr>
              <w:t xml:space="preserve">Project register</w:t>
            </w:r>
          </w:p>
        </w:tc>
      </w:tr>
      <w:tr>
        <w:trPr>
          <w:tblHeader w:val="false"/>
        </w:trPr>
        <w:tc>
          <w:tcPr>
            <w:tcW w:type="dxa" w:w="34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color w:val="20262B"/>
                <w:sz w:val="19"/>
                <w:szCs w:val="19"/>
              </w:rPr>
              <w:t xml:space="preserve">Projects completed and documented</w:t>
            </w:r>
          </w:p>
        </w:tc>
        <w:tc>
          <w:tcPr>
            <w:tcW w:type="dxa" w:w="22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center"/>
            </w:pPr>
            <w:r>
              <w:rPr>
                <w:rFonts w:ascii="Calibri" w:cs="Calibri" w:eastAsia="Calibri" w:hAnsi="Calibri"/>
                <w:color w:val="20262B"/>
                <w:sz w:val="19"/>
                <w:szCs w:val="19"/>
              </w:rPr>
              <w:t xml:space="preserve">40</w:t>
            </w:r>
          </w:p>
        </w:tc>
        <w:tc>
          <w:tcPr>
            <w:tcW w:type="dxa" w:w="347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color w:val="20262B"/>
                <w:sz w:val="19"/>
                <w:szCs w:val="19"/>
              </w:rPr>
              <w:t xml:space="preserve">Mentor sign-off records</w:t>
            </w:r>
          </w:p>
        </w:tc>
      </w:tr>
      <w:tr>
        <w:trPr>
          <w:tblHeader w:val="false"/>
        </w:trPr>
        <w:tc>
          <w:tcPr>
            <w:tcW w:type="dxa" w:w="34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color w:val="20262B"/>
                <w:sz w:val="19"/>
                <w:szCs w:val="19"/>
              </w:rPr>
              <w:t xml:space="preserve">Students holding a portfolio with verified contributions</w:t>
            </w:r>
          </w:p>
        </w:tc>
        <w:tc>
          <w:tcPr>
            <w:tcW w:type="dxa" w:w="22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center"/>
            </w:pPr>
            <w:r>
              <w:rPr>
                <w:rFonts w:ascii="Calibri" w:cs="Calibri" w:eastAsia="Calibri" w:hAnsi="Calibri"/>
                <w:color w:val="20262B"/>
                <w:sz w:val="19"/>
                <w:szCs w:val="19"/>
              </w:rPr>
              <w:t xml:space="preserve">250</w:t>
            </w:r>
          </w:p>
        </w:tc>
        <w:tc>
          <w:tcPr>
            <w:tcW w:type="dxa" w:w="347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color w:val="20262B"/>
                <w:sz w:val="19"/>
                <w:szCs w:val="19"/>
              </w:rPr>
              <w:t xml:space="preserve">Portfolio records</w:t>
            </w:r>
          </w:p>
        </w:tc>
      </w:tr>
      <w:tr>
        <w:trPr>
          <w:tblHeader w:val="false"/>
        </w:trPr>
        <w:tc>
          <w:tcPr>
            <w:tcW w:type="dxa" w:w="34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color w:val="20262B"/>
                <w:sz w:val="19"/>
                <w:szCs w:val="19"/>
              </w:rPr>
              <w:t xml:space="preserve">Volunteer academic mentors engaged</w:t>
            </w:r>
          </w:p>
        </w:tc>
        <w:tc>
          <w:tcPr>
            <w:tcW w:type="dxa" w:w="22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center"/>
            </w:pPr>
            <w:r>
              <w:rPr>
                <w:rFonts w:ascii="Calibri" w:cs="Calibri" w:eastAsia="Calibri" w:hAnsi="Calibri"/>
                <w:color w:val="20262B"/>
                <w:sz w:val="19"/>
                <w:szCs w:val="19"/>
              </w:rPr>
              <w:t xml:space="preserve">15</w:t>
            </w:r>
          </w:p>
        </w:tc>
        <w:tc>
          <w:tcPr>
            <w:tcW w:type="dxa" w:w="347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color w:val="20262B"/>
                <w:sz w:val="19"/>
                <w:szCs w:val="19"/>
              </w:rPr>
              <w:t xml:space="preserve">Mentor register</w:t>
            </w:r>
          </w:p>
        </w:tc>
      </w:tr>
      <w:tr>
        <w:trPr>
          <w:tblHeader w:val="false"/>
        </w:trPr>
        <w:tc>
          <w:tcPr>
            <w:tcW w:type="dxa" w:w="34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color w:val="20262B"/>
                <w:sz w:val="19"/>
                <w:szCs w:val="19"/>
              </w:rPr>
              <w:t xml:space="preserve">Alumni or industry sessions held</w:t>
            </w:r>
          </w:p>
        </w:tc>
        <w:tc>
          <w:tcPr>
            <w:tcW w:type="dxa" w:w="22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center"/>
            </w:pPr>
            <w:r>
              <w:rPr>
                <w:rFonts w:ascii="Calibri" w:cs="Calibri" w:eastAsia="Calibri" w:hAnsi="Calibri"/>
                <w:color w:val="20262B"/>
                <w:sz w:val="19"/>
                <w:szCs w:val="19"/>
              </w:rPr>
              <w:t xml:space="preserve">8</w:t>
            </w:r>
          </w:p>
        </w:tc>
        <w:tc>
          <w:tcPr>
            <w:tcW w:type="dxa" w:w="347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color w:val="20262B"/>
                <w:sz w:val="19"/>
                <w:szCs w:val="19"/>
              </w:rPr>
              <w:t xml:space="preserve">Event records</w:t>
            </w:r>
          </w:p>
        </w:tc>
      </w:tr>
      <w:tr>
        <w:trPr>
          <w:tblHeader w:val="false"/>
        </w:trPr>
        <w:tc>
          <w:tcPr>
            <w:tcW w:type="dxa" w:w="34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color w:val="20262B"/>
                <w:sz w:val="19"/>
                <w:szCs w:val="19"/>
              </w:rPr>
              <w:t xml:space="preserve">Practical labs or challenges published</w:t>
            </w:r>
          </w:p>
        </w:tc>
        <w:tc>
          <w:tcPr>
            <w:tcW w:type="dxa" w:w="22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center"/>
            </w:pPr>
            <w:r>
              <w:rPr>
                <w:rFonts w:ascii="Calibri" w:cs="Calibri" w:eastAsia="Calibri" w:hAnsi="Calibri"/>
                <w:color w:val="20262B"/>
                <w:sz w:val="19"/>
                <w:szCs w:val="19"/>
              </w:rPr>
              <w:t xml:space="preserve">20</w:t>
            </w:r>
          </w:p>
        </w:tc>
        <w:tc>
          <w:tcPr>
            <w:tcW w:type="dxa" w:w="347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color w:val="20262B"/>
                <w:sz w:val="19"/>
                <w:szCs w:val="19"/>
              </w:rPr>
              <w:t xml:space="preserve">Content register</w:t>
            </w:r>
          </w:p>
        </w:tc>
      </w:tr>
      <w:tr>
        <w:trPr>
          <w:tblHeader w:val="false"/>
        </w:trPr>
        <w:tc>
          <w:tcPr>
            <w:tcW w:type="dxa" w:w="34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color w:val="20262B"/>
                <w:sz w:val="19"/>
                <w:szCs w:val="19"/>
              </w:rPr>
              <w:t xml:space="preserve">Showcase events held</w:t>
            </w:r>
          </w:p>
        </w:tc>
        <w:tc>
          <w:tcPr>
            <w:tcW w:type="dxa" w:w="22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center"/>
            </w:pPr>
            <w:r>
              <w:rPr>
                <w:rFonts w:ascii="Calibri" w:cs="Calibri" w:eastAsia="Calibri" w:hAnsi="Calibri"/>
                <w:color w:val="20262B"/>
                <w:sz w:val="19"/>
                <w:szCs w:val="19"/>
              </w:rPr>
              <w:t xml:space="preserve">2</w:t>
            </w:r>
          </w:p>
        </w:tc>
        <w:tc>
          <w:tcPr>
            <w:tcW w:type="dxa" w:w="347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color w:val="20262B"/>
                <w:sz w:val="19"/>
                <w:szCs w:val="19"/>
              </w:rPr>
              <w:t xml:space="preserve">Event records</w:t>
            </w:r>
          </w:p>
        </w:tc>
      </w:tr>
      <w:tr>
        <w:trPr>
          <w:tblHeader w:val="false"/>
        </w:trPr>
        <w:tc>
          <w:tcPr>
            <w:tcW w:type="dxa" w:w="34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color w:val="20262B"/>
                <w:sz w:val="19"/>
                <w:szCs w:val="19"/>
              </w:rPr>
              <w:t xml:space="preserve">Member satisfaction with the initiative</w:t>
            </w:r>
          </w:p>
        </w:tc>
        <w:tc>
          <w:tcPr>
            <w:tcW w:type="dxa" w:w="22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center"/>
            </w:pPr>
            <w:r>
              <w:rPr>
                <w:rFonts w:ascii="Calibri" w:cs="Calibri" w:eastAsia="Calibri" w:hAnsi="Calibri"/>
                <w:color w:val="20262B"/>
                <w:sz w:val="19"/>
                <w:szCs w:val="19"/>
              </w:rPr>
              <w:t xml:space="preserve">Not less than 70 percent favourable</w:t>
            </w:r>
          </w:p>
        </w:tc>
        <w:tc>
          <w:tcPr>
            <w:tcW w:type="dxa" w:w="347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color w:val="20262B"/>
                <w:sz w:val="19"/>
                <w:szCs w:val="19"/>
              </w:rPr>
              <w:t xml:space="preserve">Anonymous member survey each trimester</w:t>
            </w:r>
          </w:p>
        </w:tc>
      </w:tr>
      <w:tr>
        <w:trPr>
          <w:tblHeader w:val="false"/>
        </w:trPr>
        <w:tc>
          <w:tcPr>
            <w:tcW w:type="dxa" w:w="34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color w:val="20262B"/>
                <w:sz w:val="19"/>
                <w:szCs w:val="19"/>
              </w:rPr>
              <w:t xml:space="preserve">Reported conduct or security incidents</w:t>
            </w:r>
          </w:p>
        </w:tc>
        <w:tc>
          <w:tcPr>
            <w:tcW w:type="dxa" w:w="22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center"/>
            </w:pPr>
            <w:r>
              <w:rPr>
                <w:rFonts w:ascii="Calibri" w:cs="Calibri" w:eastAsia="Calibri" w:hAnsi="Calibri"/>
                <w:color w:val="20262B"/>
                <w:sz w:val="19"/>
                <w:szCs w:val="19"/>
              </w:rPr>
              <w:t xml:space="preserve">Zero unresolved</w:t>
            </w:r>
          </w:p>
        </w:tc>
        <w:tc>
          <w:tcPr>
            <w:tcW w:type="dxa" w:w="347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color w:val="20262B"/>
                <w:sz w:val="19"/>
                <w:szCs w:val="19"/>
              </w:rPr>
              <w:t xml:space="preserve">Incident log reviewed by the faculty advisor</w:t>
            </w:r>
          </w:p>
        </w:tc>
      </w:tr>
    </w:tbl>
    <w:p>
      <w:pPr>
        <w:spacing w:after="220" w:before="100"/>
      </w:pPr>
      <w:r>
        <w:rPr>
          <w:rFonts w:ascii="Calibri" w:cs="Calibri" w:eastAsia="Calibri" w:hAnsi="Calibri"/>
          <w:i/>
          <w:iCs/>
          <w:color w:val="6B6560"/>
          <w:sz w:val="17"/>
          <w:szCs w:val="17"/>
        </w:rPr>
        <w:t xml:space="preserve">Table 13: Proposed pilot indicators for the first twelve months.</w:t>
      </w:r>
    </w:p>
    <w:p>
      <w:pPr>
        <w:spacing w:after="140" w:line="276"/>
        <w:jc w:val="both"/>
      </w:pPr>
      <w:r>
        <w:rPr>
          <w:rFonts w:ascii="Calibri" w:cs="Calibri" w:eastAsia="Calibri" w:hAnsi="Calibri"/>
          <w:color w:val="20262B"/>
          <w:sz w:val="21"/>
          <w:szCs w:val="21"/>
        </w:rPr>
        <w:t xml:space="preserve">A formal evaluation report would be submitted at the six month mark and again at twelve months, covering performance against these indicators, lessons learned, incidents and a recommendation on continuation.</w:t>
      </w:r>
    </w:p>
    <w:p>
      <w:pPr>
        <w:pStyle w:val="Heading1"/>
        <w:pBdr>
          <w:bottom w:val="single" w:color="A84B12" w:sz="10" w:space="6"/>
        </w:pBdr>
        <w:spacing w:after="200" w:before="400"/>
      </w:pPr>
      <w:r>
        <w:rPr>
          <w:rFonts w:ascii="Georgia" w:cs="Georgia" w:eastAsia="Georgia" w:hAnsi="Georgia"/>
          <w:b/>
          <w:bCs/>
          <w:color w:val="1C2B36"/>
          <w:sz w:val="30"/>
          <w:szCs w:val="30"/>
        </w:rPr>
        <w:t xml:space="preserve">21.  Requests to the University</w:t>
      </w:r>
    </w:p>
    <w:p>
      <w:pPr>
        <w:spacing w:after="140" w:line="276"/>
        <w:jc w:val="both"/>
      </w:pPr>
      <w:r>
        <w:rPr>
          <w:rFonts w:ascii="Calibri" w:cs="Calibri" w:eastAsia="Calibri" w:hAnsi="Calibri"/>
          <w:color w:val="20262B"/>
          <w:sz w:val="21"/>
          <w:szCs w:val="21"/>
        </w:rPr>
        <w:t xml:space="preserve">The University is respectfully requested to consider the following. None of these requests involves a budget allocation.</w:t>
      </w:r>
    </w:p>
    <w:p>
      <w:pPr>
        <w:pStyle w:val="ListParagraph"/>
        <w:numPr>
          <w:ilvl w:val="0"/>
          <w:numId w:val="6"/>
        </w:numPr>
        <w:spacing w:after="100" w:line="272"/>
        <w:jc w:val="both"/>
      </w:pPr>
      <w:r>
        <w:rPr>
          <w:rFonts w:ascii="Calibri" w:cs="Calibri" w:eastAsia="Calibri" w:hAnsi="Calibri"/>
          <w:color w:val="20262B"/>
          <w:sz w:val="21"/>
          <w:szCs w:val="21"/>
        </w:rPr>
        <w:t xml:space="preserve">To recognise FORGE as an official student initiative of the Open University of Kenya.</w:t>
      </w:r>
    </w:p>
    <w:p>
      <w:pPr>
        <w:pStyle w:val="ListParagraph"/>
        <w:numPr>
          <w:ilvl w:val="0"/>
          <w:numId w:val="6"/>
        </w:numPr>
        <w:spacing w:after="100" w:line="272"/>
        <w:jc w:val="both"/>
      </w:pPr>
      <w:r>
        <w:rPr>
          <w:rFonts w:ascii="Calibri" w:cs="Calibri" w:eastAsia="Calibri" w:hAnsi="Calibri"/>
          <w:color w:val="20262B"/>
          <w:sz w:val="21"/>
          <w:szCs w:val="21"/>
        </w:rPr>
        <w:t xml:space="preserve">To appoint a member of academic staff as Faculty Advisor to the initiative.</w:t>
      </w:r>
    </w:p>
    <w:p>
      <w:pPr>
        <w:pStyle w:val="ListParagraph"/>
        <w:numPr>
          <w:ilvl w:val="0"/>
          <w:numId w:val="6"/>
        </w:numPr>
        <w:spacing w:after="100" w:line="272"/>
        <w:jc w:val="both"/>
      </w:pPr>
      <w:r>
        <w:rPr>
          <w:rFonts w:ascii="Calibri" w:cs="Calibri" w:eastAsia="Calibri" w:hAnsi="Calibri"/>
          <w:color w:val="20262B"/>
          <w:sz w:val="21"/>
          <w:szCs w:val="21"/>
        </w:rPr>
        <w:t xml:space="preserve">To approve the constitution of a founding student team and a student executive as described in Section 12.</w:t>
      </w:r>
    </w:p>
    <w:p>
      <w:pPr>
        <w:pStyle w:val="ListParagraph"/>
        <w:numPr>
          <w:ilvl w:val="0"/>
          <w:numId w:val="6"/>
        </w:numPr>
        <w:spacing w:after="100" w:line="272"/>
        <w:jc w:val="both"/>
      </w:pPr>
      <w:r>
        <w:rPr>
          <w:rFonts w:ascii="Calibri" w:cs="Calibri" w:eastAsia="Calibri" w:hAnsi="Calibri"/>
          <w:color w:val="20262B"/>
          <w:sz w:val="21"/>
          <w:szCs w:val="21"/>
        </w:rPr>
        <w:t xml:space="preserve">To permit the use of a University subdomain, for example forge.ouk.ac.ke, for the pilot platform.</w:t>
      </w:r>
    </w:p>
    <w:p>
      <w:pPr>
        <w:pStyle w:val="ListParagraph"/>
        <w:numPr>
          <w:ilvl w:val="0"/>
          <w:numId w:val="6"/>
        </w:numPr>
        <w:spacing w:after="100" w:line="272"/>
        <w:jc w:val="both"/>
      </w:pPr>
      <w:r>
        <w:rPr>
          <w:rFonts w:ascii="Calibri" w:cs="Calibri" w:eastAsia="Calibri" w:hAnsi="Calibri"/>
          <w:color w:val="20262B"/>
          <w:sz w:val="21"/>
          <w:szCs w:val="21"/>
        </w:rPr>
        <w:t xml:space="preserve">To authorise the Directorate of ICT to advise on authentication against University identity and on applicable security and data protection standards.</w:t>
      </w:r>
    </w:p>
    <w:p>
      <w:pPr>
        <w:pStyle w:val="ListParagraph"/>
        <w:numPr>
          <w:ilvl w:val="0"/>
          <w:numId w:val="6"/>
        </w:numPr>
        <w:spacing w:after="100" w:line="272"/>
        <w:jc w:val="both"/>
      </w:pPr>
      <w:r>
        <w:rPr>
          <w:rFonts w:ascii="Calibri" w:cs="Calibri" w:eastAsia="Calibri" w:hAnsi="Calibri"/>
          <w:color w:val="20262B"/>
          <w:sz w:val="21"/>
          <w:szCs w:val="21"/>
        </w:rPr>
        <w:t xml:space="preserve">To invite academic staff to volunteer as mentors on the light touch basis described in Section 11, without any obligation to do so.</w:t>
      </w:r>
    </w:p>
    <w:p>
      <w:pPr>
        <w:pStyle w:val="ListParagraph"/>
        <w:numPr>
          <w:ilvl w:val="0"/>
          <w:numId w:val="6"/>
        </w:numPr>
        <w:spacing w:after="100" w:line="272"/>
        <w:jc w:val="both"/>
      </w:pPr>
      <w:r>
        <w:rPr>
          <w:rFonts w:ascii="Calibri" w:cs="Calibri" w:eastAsia="Calibri" w:hAnsi="Calibri"/>
          <w:color w:val="20262B"/>
          <w:sz w:val="21"/>
          <w:szCs w:val="21"/>
        </w:rPr>
        <w:t xml:space="preserve">To approve a pilot of two academic trimesters, with a formal evaluation at the six month point.</w:t>
      </w:r>
    </w:p>
    <w:p>
      <w:pPr>
        <w:pStyle w:val="ListParagraph"/>
        <w:numPr>
          <w:ilvl w:val="0"/>
          <w:numId w:val="6"/>
        </w:numPr>
        <w:spacing w:after="100" w:line="272"/>
        <w:jc w:val="both"/>
      </w:pPr>
      <w:r>
        <w:rPr>
          <w:rFonts w:ascii="Calibri" w:cs="Calibri" w:eastAsia="Calibri" w:hAnsi="Calibri"/>
          <w:color w:val="20262B"/>
          <w:sz w:val="21"/>
          <w:szCs w:val="21"/>
        </w:rPr>
        <w:t xml:space="preserve">To permit the initiative, where appropriate and with the University’s prior approval in each case, to engage alumni, industry partners and the University’s existing technology partners in support of student activity.</w:t>
      </w:r>
    </w:p>
    <w:p>
      <w:pPr>
        <w:spacing w:after="80"/>
      </w:pPr>
      <w:r>
        <w:t xml:space="preserve"/>
      </w:r>
    </w:p>
    <w:p>
      <w:pPr>
        <w:spacing w:after="140" w:line="276"/>
        <w:jc w:val="both"/>
      </w:pPr>
      <w:r>
        <w:rPr>
          <w:rFonts w:ascii="Calibri" w:cs="Calibri" w:eastAsia="Calibri" w:hAnsi="Calibri"/>
          <w:color w:val="20262B"/>
          <w:sz w:val="21"/>
          <w:szCs w:val="21"/>
        </w:rPr>
        <w:t xml:space="preserve">The founding team undertakes, in return, to operate within University policy at all times, to submit all public communications for approval, to report each trimester in writing, to protect student data, and to accept the University’s decision on continuation at the end of the pilot without demur.</w:t>
      </w:r>
    </w:p>
    <w:p>
      <w:pPr>
        <w:pStyle w:val="Heading1"/>
        <w:pBdr>
          <w:bottom w:val="single" w:color="A84B12" w:sz="10" w:space="6"/>
        </w:pBdr>
        <w:spacing w:after="200" w:before="400"/>
      </w:pPr>
      <w:r>
        <w:rPr>
          <w:rFonts w:ascii="Georgia" w:cs="Georgia" w:eastAsia="Georgia" w:hAnsi="Georgia"/>
          <w:b/>
          <w:bCs/>
          <w:color w:val="1C2B36"/>
          <w:sz w:val="30"/>
          <w:szCs w:val="30"/>
        </w:rPr>
        <w:t xml:space="preserve">22.  Conclusion</w:t>
      </w:r>
    </w:p>
    <w:p>
      <w:pPr>
        <w:spacing w:after="140" w:line="276"/>
        <w:jc w:val="both"/>
      </w:pPr>
      <w:r>
        <w:rPr>
          <w:rFonts w:ascii="Calibri" w:cs="Calibri" w:eastAsia="Calibri" w:hAnsi="Calibri"/>
          <w:color w:val="20262B"/>
          <w:sz w:val="21"/>
          <w:szCs w:val="21"/>
        </w:rPr>
        <w:t xml:space="preserve">The Open University of Kenya has done the difficult part. It has made a university education reachable for learners for whom it was previously out of reach, and it has done so quickly and at scale. The opportunity now in front of the University is to ensure that the graduate who emerges from that model is not only qualified but demonstrably capable, with work to show and a record of having built it alongside others.</w:t>
      </w:r>
    </w:p>
    <w:p>
      <w:pPr>
        <w:spacing w:after="140" w:line="276"/>
        <w:jc w:val="both"/>
      </w:pPr>
      <w:r>
        <w:rPr>
          <w:rFonts w:ascii="Calibri" w:cs="Calibri" w:eastAsia="Calibri" w:hAnsi="Calibri"/>
          <w:color w:val="20262B"/>
          <w:sz w:val="21"/>
          <w:szCs w:val="21"/>
        </w:rPr>
        <w:t xml:space="preserve">FORGE is offered as one practical, low cost, low risk mechanism for pursuing that outcome. It is proposed by students, would be built by students, and asks the University for permission, guidance and a name rather than for money. If it works, the University acquires a self-sustaining engine of practical skills development, a visible body of student work, and a distinctive claim about what its graduates can do. If it does not work, the University has lost nothing beyond a modest amount of advisory time, and the students involved will have learned a great deal from the attempt.</w:t>
      </w:r>
    </w:p>
    <w:p>
      <w:pPr>
        <w:pBdr>
          <w:left w:val="single" w:color="A84B12" w:sz="14" w:space="14"/>
        </w:pBdr>
        <w:spacing w:after="220" w:before="200" w:line="288"/>
        <w:ind w:left="340"/>
        <w:jc w:val="left"/>
      </w:pPr>
      <w:r>
        <w:rPr>
          <w:rFonts w:ascii="Georgia" w:cs="Georgia" w:eastAsia="Georgia" w:hAnsi="Georgia"/>
          <w:i/>
          <w:iCs/>
          <w:color w:val="1C2B36"/>
          <w:sz w:val="22"/>
          <w:szCs w:val="22"/>
        </w:rPr>
        <w:t xml:space="preserve">The University has already solved the problem of access. The proposal before you concerns what students do with it.</w:t>
      </w:r>
    </w:p>
    <w:p>
      <w:pPr>
        <w:spacing w:after="140" w:line="276"/>
        <w:jc w:val="both"/>
      </w:pPr>
      <w:r>
        <w:rPr>
          <w:rFonts w:ascii="Calibri" w:cs="Calibri" w:eastAsia="Calibri" w:hAnsi="Calibri"/>
          <w:color w:val="20262B"/>
          <w:sz w:val="21"/>
          <w:szCs w:val="21"/>
        </w:rPr>
        <w:t xml:space="preserve">The founding team would welcome the opportunity to present this concept in person to the School of Science and Technology and to University Management, to answer questions, and to revise this proposal in the light of the University’s guidance.</w:t>
      </w:r>
    </w:p>
    <w:p>
      <w:r>
        <w:br w:type="page"/>
      </w:r>
    </w:p>
    <w:p>
      <w:pPr>
        <w:pStyle w:val="Heading1"/>
        <w:pBdr>
          <w:bottom w:val="single" w:color="A84B12" w:sz="10" w:space="6"/>
        </w:pBdr>
        <w:spacing w:after="200" w:before="400"/>
      </w:pPr>
      <w:r>
        <w:rPr>
          <w:rFonts w:ascii="Georgia" w:cs="Georgia" w:eastAsia="Georgia" w:hAnsi="Georgia"/>
          <w:b/>
          <w:bCs/>
          <w:color w:val="1C2B36"/>
          <w:sz w:val="30"/>
          <w:szCs w:val="30"/>
        </w:rPr>
        <w:t xml:space="preserve">Appendix A: Proposed Founding Team Structure</w:t>
      </w:r>
    </w:p>
    <w:p>
      <w:pPr>
        <w:spacing w:after="140" w:line="276"/>
        <w:jc w:val="both"/>
      </w:pPr>
      <w:r>
        <w:rPr>
          <w:rFonts w:ascii="Calibri" w:cs="Calibri" w:eastAsia="Calibri" w:hAnsi="Calibri"/>
          <w:color w:val="20262B"/>
          <w:sz w:val="21"/>
          <w:szCs w:val="21"/>
        </w:rPr>
        <w:t xml:space="preserve">The founding team would be recruited by open application from across the University, so that the initiative is visibly cross-disciplinary from its first day rather than becoming so later.</w:t>
      </w:r>
    </w:p>
    <w:p>
      <w:pPr>
        <w:spacing w:after="6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70"/>
      </w:tblGrid>
      <w:tr>
        <w:trPr>
          <w:tblHeader/>
        </w:trPr>
        <w:tc>
          <w:tcPr>
            <w:tcW w:type="dxa" w:w="2400"/>
            <w:tcBorders>
              <w:top w:val="single" w:color="A84B12" w:sz="3"/>
              <w:left w:val="none" w:color="FFFFFF" w:sz="0"/>
              <w:bottom w:val="single" w:color="A84B12" w:sz="6"/>
              <w:right w:val="none" w:color="FFFFFF" w:sz="0"/>
            </w:tcBorders>
            <w:shd w:fill="F3E9DF" w:color="auto" w:val="clear"/>
            <w:tcMar>
              <w:top w:type="dxa" w:w="90"/>
              <w:left w:type="dxa" w:w="130"/>
              <w:bottom w:type="dxa" w:w="90"/>
              <w:right w:type="dxa" w:w="130"/>
            </w:tcMar>
          </w:tcPr>
          <w:p>
            <w:pPr>
              <w:spacing w:after="60" w:before="60" w:line="250"/>
              <w:jc w:val="left"/>
            </w:pPr>
            <w:r>
              <w:rPr>
                <w:rFonts w:ascii="Calibri" w:cs="Calibri" w:eastAsia="Calibri" w:hAnsi="Calibri"/>
                <w:b/>
                <w:bCs/>
                <w:color w:val="1C2B36"/>
                <w:sz w:val="19"/>
                <w:szCs w:val="19"/>
              </w:rPr>
              <w:t xml:space="preserve">Function</w:t>
            </w:r>
          </w:p>
        </w:tc>
        <w:tc>
          <w:tcPr>
            <w:tcW w:type="dxa" w:w="3200"/>
            <w:tcBorders>
              <w:top w:val="single" w:color="A84B12" w:sz="3"/>
              <w:left w:val="none" w:color="FFFFFF" w:sz="0"/>
              <w:bottom w:val="single" w:color="A84B12" w:sz="6"/>
              <w:right w:val="none" w:color="FFFFFF" w:sz="0"/>
            </w:tcBorders>
            <w:shd w:fill="F3E9DF" w:color="auto" w:val="clear"/>
            <w:tcMar>
              <w:top w:type="dxa" w:w="90"/>
              <w:left w:type="dxa" w:w="130"/>
              <w:bottom w:type="dxa" w:w="90"/>
              <w:right w:type="dxa" w:w="130"/>
            </w:tcMar>
          </w:tcPr>
          <w:p>
            <w:pPr>
              <w:spacing w:after="60" w:before="60" w:line="250"/>
              <w:jc w:val="left"/>
            </w:pPr>
            <w:r>
              <w:rPr>
                <w:rFonts w:ascii="Calibri" w:cs="Calibri" w:eastAsia="Calibri" w:hAnsi="Calibri"/>
                <w:b/>
                <w:bCs/>
                <w:color w:val="1C2B36"/>
                <w:sz w:val="19"/>
                <w:szCs w:val="19"/>
              </w:rPr>
              <w:t xml:space="preserve">Roles</w:t>
            </w:r>
          </w:p>
        </w:tc>
        <w:tc>
          <w:tcPr>
            <w:tcW w:type="dxa" w:w="3470"/>
            <w:tcBorders>
              <w:top w:val="single" w:color="A84B12" w:sz="3"/>
              <w:left w:val="none" w:color="FFFFFF" w:sz="0"/>
              <w:bottom w:val="single" w:color="A84B12" w:sz="6"/>
              <w:right w:val="none" w:color="FFFFFF" w:sz="0"/>
            </w:tcBorders>
            <w:shd w:fill="F3E9DF" w:color="auto" w:val="clear"/>
            <w:tcMar>
              <w:top w:type="dxa" w:w="90"/>
              <w:left w:type="dxa" w:w="130"/>
              <w:bottom w:type="dxa" w:w="90"/>
              <w:right w:type="dxa" w:w="130"/>
            </w:tcMar>
          </w:tcPr>
          <w:p>
            <w:pPr>
              <w:spacing w:after="60" w:before="60" w:line="250"/>
              <w:jc w:val="center"/>
            </w:pPr>
            <w:r>
              <w:rPr>
                <w:rFonts w:ascii="Calibri" w:cs="Calibri" w:eastAsia="Calibri" w:hAnsi="Calibri"/>
                <w:b/>
                <w:bCs/>
                <w:color w:val="1C2B36"/>
                <w:sz w:val="19"/>
                <w:szCs w:val="19"/>
              </w:rPr>
              <w:t xml:space="preserve">Indicative number</w:t>
            </w:r>
          </w:p>
        </w:tc>
      </w:tr>
      <w:tr>
        <w:trPr>
          <w:tblHeader w:val="false"/>
        </w:trPr>
        <w:tc>
          <w:tcPr>
            <w:tcW w:type="dxa" w:w="24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bCs/>
                <w:color w:val="20262B"/>
                <w:sz w:val="19"/>
                <w:szCs w:val="19"/>
              </w:rPr>
              <w:t xml:space="preserve">Coordination</w:t>
            </w:r>
          </w:p>
        </w:tc>
        <w:tc>
          <w:tcPr>
            <w:tcW w:type="dxa" w:w="32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val="false"/>
                <w:bCs w:val="false"/>
                <w:color w:val="20262B"/>
                <w:sz w:val="19"/>
                <w:szCs w:val="19"/>
              </w:rPr>
              <w:t xml:space="preserve">Coordinator, secretary</w:t>
            </w:r>
          </w:p>
        </w:tc>
        <w:tc>
          <w:tcPr>
            <w:tcW w:type="dxa" w:w="347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center"/>
            </w:pPr>
            <w:r>
              <w:rPr>
                <w:rFonts w:ascii="Calibri" w:cs="Calibri" w:eastAsia="Calibri" w:hAnsi="Calibri"/>
                <w:b w:val="false"/>
                <w:bCs w:val="false"/>
                <w:color w:val="20262B"/>
                <w:sz w:val="19"/>
                <w:szCs w:val="19"/>
              </w:rPr>
              <w:t xml:space="preserve">2</w:t>
            </w:r>
          </w:p>
        </w:tc>
      </w:tr>
      <w:tr>
        <w:trPr>
          <w:tblHeader w:val="false"/>
        </w:trPr>
        <w:tc>
          <w:tcPr>
            <w:tcW w:type="dxa" w:w="24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bCs/>
                <w:color w:val="20262B"/>
                <w:sz w:val="19"/>
                <w:szCs w:val="19"/>
              </w:rPr>
              <w:t xml:space="preserve">Product</w:t>
            </w:r>
          </w:p>
        </w:tc>
        <w:tc>
          <w:tcPr>
            <w:tcW w:type="dxa" w:w="32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val="false"/>
                <w:bCs w:val="false"/>
                <w:color w:val="20262B"/>
                <w:sz w:val="19"/>
                <w:szCs w:val="19"/>
              </w:rPr>
              <w:t xml:space="preserve">Product coordinator, business analyst, user experience designer</w:t>
            </w:r>
          </w:p>
        </w:tc>
        <w:tc>
          <w:tcPr>
            <w:tcW w:type="dxa" w:w="347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center"/>
            </w:pPr>
            <w:r>
              <w:rPr>
                <w:rFonts w:ascii="Calibri" w:cs="Calibri" w:eastAsia="Calibri" w:hAnsi="Calibri"/>
                <w:b w:val="false"/>
                <w:bCs w:val="false"/>
                <w:color w:val="20262B"/>
                <w:sz w:val="19"/>
                <w:szCs w:val="19"/>
              </w:rPr>
              <w:t xml:space="preserve">3</w:t>
            </w:r>
          </w:p>
        </w:tc>
      </w:tr>
      <w:tr>
        <w:trPr>
          <w:tblHeader w:val="false"/>
        </w:trPr>
        <w:tc>
          <w:tcPr>
            <w:tcW w:type="dxa" w:w="24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bCs/>
                <w:color w:val="20262B"/>
                <w:sz w:val="19"/>
                <w:szCs w:val="19"/>
              </w:rPr>
              <w:t xml:space="preserve">Engineering</w:t>
            </w:r>
          </w:p>
        </w:tc>
        <w:tc>
          <w:tcPr>
            <w:tcW w:type="dxa" w:w="32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val="false"/>
                <w:bCs w:val="false"/>
                <w:color w:val="20262B"/>
                <w:sz w:val="19"/>
                <w:szCs w:val="19"/>
              </w:rPr>
              <w:t xml:space="preserve">Technical lead, front end developers, back end developers, quality assurance</w:t>
            </w:r>
          </w:p>
        </w:tc>
        <w:tc>
          <w:tcPr>
            <w:tcW w:type="dxa" w:w="347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center"/>
            </w:pPr>
            <w:r>
              <w:rPr>
                <w:rFonts w:ascii="Calibri" w:cs="Calibri" w:eastAsia="Calibri" w:hAnsi="Calibri"/>
                <w:b w:val="false"/>
                <w:bCs w:val="false"/>
                <w:color w:val="20262B"/>
                <w:sz w:val="19"/>
                <w:szCs w:val="19"/>
              </w:rPr>
              <w:t xml:space="preserve">6 to 8</w:t>
            </w:r>
          </w:p>
        </w:tc>
      </w:tr>
      <w:tr>
        <w:trPr>
          <w:tblHeader w:val="false"/>
        </w:trPr>
        <w:tc>
          <w:tcPr>
            <w:tcW w:type="dxa" w:w="24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bCs/>
                <w:color w:val="20262B"/>
                <w:sz w:val="19"/>
                <w:szCs w:val="19"/>
              </w:rPr>
              <w:t xml:space="preserve">Infrastructure and security</w:t>
            </w:r>
          </w:p>
        </w:tc>
        <w:tc>
          <w:tcPr>
            <w:tcW w:type="dxa" w:w="32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val="false"/>
                <w:bCs w:val="false"/>
                <w:color w:val="20262B"/>
                <w:sz w:val="19"/>
                <w:szCs w:val="19"/>
              </w:rPr>
              <w:t xml:space="preserve">Deployment and operations, security reviewer</w:t>
            </w:r>
          </w:p>
        </w:tc>
        <w:tc>
          <w:tcPr>
            <w:tcW w:type="dxa" w:w="347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center"/>
            </w:pPr>
            <w:r>
              <w:rPr>
                <w:rFonts w:ascii="Calibri" w:cs="Calibri" w:eastAsia="Calibri" w:hAnsi="Calibri"/>
                <w:b w:val="false"/>
                <w:bCs w:val="false"/>
                <w:color w:val="20262B"/>
                <w:sz w:val="19"/>
                <w:szCs w:val="19"/>
              </w:rPr>
              <w:t xml:space="preserve">2</w:t>
            </w:r>
          </w:p>
        </w:tc>
      </w:tr>
      <w:tr>
        <w:trPr>
          <w:tblHeader w:val="false"/>
        </w:trPr>
        <w:tc>
          <w:tcPr>
            <w:tcW w:type="dxa" w:w="24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bCs/>
                <w:color w:val="20262B"/>
                <w:sz w:val="19"/>
                <w:szCs w:val="19"/>
              </w:rPr>
              <w:t xml:space="preserve">Content and learning</w:t>
            </w:r>
          </w:p>
        </w:tc>
        <w:tc>
          <w:tcPr>
            <w:tcW w:type="dxa" w:w="32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val="false"/>
                <w:bCs w:val="false"/>
                <w:color w:val="20262B"/>
                <w:sz w:val="19"/>
                <w:szCs w:val="19"/>
              </w:rPr>
              <w:t xml:space="preserve">Learning resource curators, technical writers</w:t>
            </w:r>
          </w:p>
        </w:tc>
        <w:tc>
          <w:tcPr>
            <w:tcW w:type="dxa" w:w="347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center"/>
            </w:pPr>
            <w:r>
              <w:rPr>
                <w:rFonts w:ascii="Calibri" w:cs="Calibri" w:eastAsia="Calibri" w:hAnsi="Calibri"/>
                <w:b w:val="false"/>
                <w:bCs w:val="false"/>
                <w:color w:val="20262B"/>
                <w:sz w:val="19"/>
                <w:szCs w:val="19"/>
              </w:rPr>
              <w:t xml:space="preserve">3</w:t>
            </w:r>
          </w:p>
        </w:tc>
      </w:tr>
      <w:tr>
        <w:trPr>
          <w:tblHeader w:val="false"/>
        </w:trPr>
        <w:tc>
          <w:tcPr>
            <w:tcW w:type="dxa" w:w="24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bCs/>
                <w:color w:val="20262B"/>
                <w:sz w:val="19"/>
                <w:szCs w:val="19"/>
              </w:rPr>
              <w:t xml:space="preserve">Community</w:t>
            </w:r>
          </w:p>
        </w:tc>
        <w:tc>
          <w:tcPr>
            <w:tcW w:type="dxa" w:w="32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val="false"/>
                <w:bCs w:val="false"/>
                <w:color w:val="20262B"/>
                <w:sz w:val="19"/>
                <w:szCs w:val="19"/>
              </w:rPr>
              <w:t xml:space="preserve">Community leads, one per participating discipline area</w:t>
            </w:r>
          </w:p>
        </w:tc>
        <w:tc>
          <w:tcPr>
            <w:tcW w:type="dxa" w:w="347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center"/>
            </w:pPr>
            <w:r>
              <w:rPr>
                <w:rFonts w:ascii="Calibri" w:cs="Calibri" w:eastAsia="Calibri" w:hAnsi="Calibri"/>
                <w:b w:val="false"/>
                <w:bCs w:val="false"/>
                <w:color w:val="20262B"/>
                <w:sz w:val="19"/>
                <w:szCs w:val="19"/>
              </w:rPr>
              <w:t xml:space="preserve">4 to 6</w:t>
            </w:r>
          </w:p>
        </w:tc>
      </w:tr>
      <w:tr>
        <w:trPr>
          <w:tblHeader w:val="false"/>
        </w:trPr>
        <w:tc>
          <w:tcPr>
            <w:tcW w:type="dxa" w:w="24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bCs/>
                <w:color w:val="20262B"/>
                <w:sz w:val="19"/>
                <w:szCs w:val="19"/>
              </w:rPr>
              <w:t xml:space="preserve">Communications</w:t>
            </w:r>
          </w:p>
        </w:tc>
        <w:tc>
          <w:tcPr>
            <w:tcW w:type="dxa" w:w="32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val="false"/>
                <w:bCs w:val="false"/>
                <w:color w:val="20262B"/>
                <w:sz w:val="19"/>
                <w:szCs w:val="19"/>
              </w:rPr>
              <w:t xml:space="preserve">Communications lead, media and design</w:t>
            </w:r>
          </w:p>
        </w:tc>
        <w:tc>
          <w:tcPr>
            <w:tcW w:type="dxa" w:w="347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center"/>
            </w:pPr>
            <w:r>
              <w:rPr>
                <w:rFonts w:ascii="Calibri" w:cs="Calibri" w:eastAsia="Calibri" w:hAnsi="Calibri"/>
                <w:b w:val="false"/>
                <w:bCs w:val="false"/>
                <w:color w:val="20262B"/>
                <w:sz w:val="19"/>
                <w:szCs w:val="19"/>
              </w:rPr>
              <w:t xml:space="preserve">2</w:t>
            </w:r>
          </w:p>
        </w:tc>
      </w:tr>
    </w:tbl>
    <w:p>
      <w:pPr>
        <w:spacing w:after="220" w:before="100"/>
      </w:pPr>
      <w:r>
        <w:rPr>
          <w:rFonts w:ascii="Calibri" w:cs="Calibri" w:eastAsia="Calibri" w:hAnsi="Calibri"/>
          <w:i/>
          <w:iCs/>
          <w:color w:val="6B6560"/>
          <w:sz w:val="17"/>
          <w:szCs w:val="17"/>
        </w:rPr>
        <w:t xml:space="preserve">Table A1: Indicative founding team, recruited by open application.</w:t>
      </w:r>
    </w:p>
    <w:p>
      <w:pPr>
        <w:spacing w:after="140" w:line="276"/>
        <w:jc w:val="both"/>
      </w:pPr>
      <w:r>
        <w:rPr>
          <w:rFonts w:ascii="Calibri" w:cs="Calibri" w:eastAsia="Calibri" w:hAnsi="Calibri"/>
          <w:color w:val="20262B"/>
          <w:sz w:val="21"/>
          <w:szCs w:val="21"/>
        </w:rPr>
        <w:t xml:space="preserve">Every role in this structure is itself a learning opportunity, and each would carry an identified understudy from the outset in line with the succession commitment in Section 18.2.</w:t>
      </w:r>
    </w:p>
    <w:p>
      <w:pPr>
        <w:pStyle w:val="Heading1"/>
        <w:pBdr>
          <w:bottom w:val="single" w:color="A84B12" w:sz="10" w:space="6"/>
        </w:pBdr>
        <w:spacing w:after="200" w:before="400"/>
      </w:pPr>
      <w:r>
        <w:rPr>
          <w:rFonts w:ascii="Georgia" w:cs="Georgia" w:eastAsia="Georgia" w:hAnsi="Georgia"/>
          <w:b/>
          <w:bCs/>
          <w:color w:val="1C2B36"/>
          <w:sz w:val="30"/>
          <w:szCs w:val="30"/>
        </w:rPr>
        <w:t xml:space="preserve">Appendix B: Indicative Twelve Week Pilot Build</w:t>
      </w:r>
    </w:p>
    <w:p>
      <w:pPr>
        <w:spacing w:after="140" w:line="276"/>
        <w:jc w:val="both"/>
      </w:pPr>
      <w:r>
        <w:rPr>
          <w:rFonts w:ascii="Calibri" w:cs="Calibri" w:eastAsia="Calibri" w:hAnsi="Calibri"/>
          <w:color w:val="20262B"/>
          <w:sz w:val="21"/>
          <w:szCs w:val="21"/>
        </w:rPr>
        <w:t xml:space="preserve">The following is the indicative build schedule for the minimum viable platform described in Phase 1. It is included to demonstrate that the pilot scope is genuinely small and achievable by a student team working voluntarily.</w:t>
      </w:r>
    </w:p>
    <w:p>
      <w:pPr>
        <w:spacing w:after="6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3870"/>
      </w:tblGrid>
      <w:tr>
        <w:trPr>
          <w:tblHeader/>
        </w:trPr>
        <w:tc>
          <w:tcPr>
            <w:tcW w:type="dxa" w:w="1600"/>
            <w:tcBorders>
              <w:top w:val="single" w:color="A84B12" w:sz="3"/>
              <w:left w:val="none" w:color="FFFFFF" w:sz="0"/>
              <w:bottom w:val="single" w:color="A84B12" w:sz="6"/>
              <w:right w:val="none" w:color="FFFFFF" w:sz="0"/>
            </w:tcBorders>
            <w:shd w:fill="F3E9DF" w:color="auto" w:val="clear"/>
            <w:tcMar>
              <w:top w:type="dxa" w:w="90"/>
              <w:left w:type="dxa" w:w="130"/>
              <w:bottom w:type="dxa" w:w="90"/>
              <w:right w:type="dxa" w:w="130"/>
            </w:tcMar>
          </w:tcPr>
          <w:p>
            <w:pPr>
              <w:spacing w:after="60" w:before="60" w:line="250"/>
              <w:jc w:val="left"/>
            </w:pPr>
            <w:r>
              <w:rPr>
                <w:rFonts w:ascii="Calibri" w:cs="Calibri" w:eastAsia="Calibri" w:hAnsi="Calibri"/>
                <w:b/>
                <w:bCs/>
                <w:color w:val="1C2B36"/>
                <w:sz w:val="19"/>
                <w:szCs w:val="19"/>
              </w:rPr>
              <w:t xml:space="preserve">Weeks</w:t>
            </w:r>
          </w:p>
        </w:tc>
        <w:tc>
          <w:tcPr>
            <w:tcW w:type="dxa" w:w="3600"/>
            <w:tcBorders>
              <w:top w:val="single" w:color="A84B12" w:sz="3"/>
              <w:left w:val="none" w:color="FFFFFF" w:sz="0"/>
              <w:bottom w:val="single" w:color="A84B12" w:sz="6"/>
              <w:right w:val="none" w:color="FFFFFF" w:sz="0"/>
            </w:tcBorders>
            <w:shd w:fill="F3E9DF" w:color="auto" w:val="clear"/>
            <w:tcMar>
              <w:top w:type="dxa" w:w="90"/>
              <w:left w:type="dxa" w:w="130"/>
              <w:bottom w:type="dxa" w:w="90"/>
              <w:right w:type="dxa" w:w="130"/>
            </w:tcMar>
          </w:tcPr>
          <w:p>
            <w:pPr>
              <w:spacing w:after="60" w:before="60" w:line="250"/>
              <w:jc w:val="left"/>
            </w:pPr>
            <w:r>
              <w:rPr>
                <w:rFonts w:ascii="Calibri" w:cs="Calibri" w:eastAsia="Calibri" w:hAnsi="Calibri"/>
                <w:b/>
                <w:bCs/>
                <w:color w:val="1C2B36"/>
                <w:sz w:val="19"/>
                <w:szCs w:val="19"/>
              </w:rPr>
              <w:t xml:space="preserve">Focus</w:t>
            </w:r>
          </w:p>
        </w:tc>
        <w:tc>
          <w:tcPr>
            <w:tcW w:type="dxa" w:w="3870"/>
            <w:tcBorders>
              <w:top w:val="single" w:color="A84B12" w:sz="3"/>
              <w:left w:val="none" w:color="FFFFFF" w:sz="0"/>
              <w:bottom w:val="single" w:color="A84B12" w:sz="6"/>
              <w:right w:val="none" w:color="FFFFFF" w:sz="0"/>
            </w:tcBorders>
            <w:shd w:fill="F3E9DF" w:color="auto" w:val="clear"/>
            <w:tcMar>
              <w:top w:type="dxa" w:w="90"/>
              <w:left w:type="dxa" w:w="130"/>
              <w:bottom w:type="dxa" w:w="90"/>
              <w:right w:type="dxa" w:w="130"/>
            </w:tcMar>
          </w:tcPr>
          <w:p>
            <w:pPr>
              <w:spacing w:after="60" w:before="60" w:line="250"/>
              <w:jc w:val="left"/>
            </w:pPr>
            <w:r>
              <w:rPr>
                <w:rFonts w:ascii="Calibri" w:cs="Calibri" w:eastAsia="Calibri" w:hAnsi="Calibri"/>
                <w:b/>
                <w:bCs/>
                <w:color w:val="1C2B36"/>
                <w:sz w:val="19"/>
                <w:szCs w:val="19"/>
              </w:rPr>
              <w:t xml:space="preserve">Output</w:t>
            </w:r>
          </w:p>
        </w:tc>
      </w:tr>
      <w:tr>
        <w:trPr>
          <w:tblHeader w:val="false"/>
        </w:trPr>
        <w:tc>
          <w:tcPr>
            <w:tcW w:type="dxa" w:w="16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bCs/>
                <w:color w:val="20262B"/>
                <w:sz w:val="19"/>
                <w:szCs w:val="19"/>
              </w:rPr>
              <w:t xml:space="preserve">1 to 2</w:t>
            </w:r>
          </w:p>
        </w:tc>
        <w:tc>
          <w:tcPr>
            <w:tcW w:type="dxa" w:w="36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val="false"/>
                <w:bCs w:val="false"/>
                <w:color w:val="20262B"/>
                <w:sz w:val="19"/>
                <w:szCs w:val="19"/>
              </w:rPr>
              <w:t xml:space="preserve">Requirements and design</w:t>
            </w:r>
          </w:p>
        </w:tc>
        <w:tc>
          <w:tcPr>
            <w:tcW w:type="dxa" w:w="387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val="false"/>
                <w:bCs w:val="false"/>
                <w:color w:val="20262B"/>
                <w:sz w:val="19"/>
                <w:szCs w:val="19"/>
              </w:rPr>
              <w:t xml:space="preserve">Confirmed scope, data model, interface designs, repository and pipeline established</w:t>
            </w:r>
          </w:p>
        </w:tc>
      </w:tr>
      <w:tr>
        <w:trPr>
          <w:tblHeader w:val="false"/>
        </w:trPr>
        <w:tc>
          <w:tcPr>
            <w:tcW w:type="dxa" w:w="16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bCs/>
                <w:color w:val="20262B"/>
                <w:sz w:val="19"/>
                <w:szCs w:val="19"/>
              </w:rPr>
              <w:t xml:space="preserve">3 to 4</w:t>
            </w:r>
          </w:p>
        </w:tc>
        <w:tc>
          <w:tcPr>
            <w:tcW w:type="dxa" w:w="36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val="false"/>
                <w:bCs w:val="false"/>
                <w:color w:val="20262B"/>
                <w:sz w:val="19"/>
                <w:szCs w:val="19"/>
              </w:rPr>
              <w:t xml:space="preserve">Identity and profiles</w:t>
            </w:r>
          </w:p>
        </w:tc>
        <w:tc>
          <w:tcPr>
            <w:tcW w:type="dxa" w:w="387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val="false"/>
                <w:bCs w:val="false"/>
                <w:color w:val="20262B"/>
                <w:sz w:val="19"/>
                <w:szCs w:val="19"/>
              </w:rPr>
              <w:t xml:space="preserve">Registration, University email verification, student profiles</w:t>
            </w:r>
          </w:p>
        </w:tc>
      </w:tr>
      <w:tr>
        <w:trPr>
          <w:tblHeader w:val="false"/>
        </w:trPr>
        <w:tc>
          <w:tcPr>
            <w:tcW w:type="dxa" w:w="16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bCs/>
                <w:color w:val="20262B"/>
                <w:sz w:val="19"/>
                <w:szCs w:val="19"/>
              </w:rPr>
              <w:t xml:space="preserve">5 to 6</w:t>
            </w:r>
          </w:p>
        </w:tc>
        <w:tc>
          <w:tcPr>
            <w:tcW w:type="dxa" w:w="36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val="false"/>
                <w:bCs w:val="false"/>
                <w:color w:val="20262B"/>
                <w:sz w:val="19"/>
                <w:szCs w:val="19"/>
              </w:rPr>
              <w:t xml:space="preserve">Projects and teams</w:t>
            </w:r>
          </w:p>
        </w:tc>
        <w:tc>
          <w:tcPr>
            <w:tcW w:type="dxa" w:w="387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val="false"/>
                <w:bCs w:val="false"/>
                <w:color w:val="20262B"/>
                <w:sz w:val="19"/>
                <w:szCs w:val="19"/>
              </w:rPr>
              <w:t xml:space="preserve">Project posting, applications, team formation, roles</w:t>
            </w:r>
          </w:p>
        </w:tc>
      </w:tr>
      <w:tr>
        <w:trPr>
          <w:tblHeader w:val="false"/>
        </w:trPr>
        <w:tc>
          <w:tcPr>
            <w:tcW w:type="dxa" w:w="16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bCs/>
                <w:color w:val="20262B"/>
                <w:sz w:val="19"/>
                <w:szCs w:val="19"/>
              </w:rPr>
              <w:t xml:space="preserve">7 to 8</w:t>
            </w:r>
          </w:p>
        </w:tc>
        <w:tc>
          <w:tcPr>
            <w:tcW w:type="dxa" w:w="36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val="false"/>
                <w:bCs w:val="false"/>
                <w:color w:val="20262B"/>
                <w:sz w:val="19"/>
                <w:szCs w:val="19"/>
              </w:rPr>
              <w:t xml:space="preserve">Collaboration and contribution</w:t>
            </w:r>
          </w:p>
        </w:tc>
        <w:tc>
          <w:tcPr>
            <w:tcW w:type="dxa" w:w="387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val="false"/>
                <w:bCs w:val="false"/>
                <w:color w:val="20262B"/>
                <w:sz w:val="19"/>
                <w:szCs w:val="19"/>
              </w:rPr>
              <w:t xml:space="preserve">Tasks, milestones, progress updates, contribution logging</w:t>
            </w:r>
          </w:p>
        </w:tc>
      </w:tr>
      <w:tr>
        <w:trPr>
          <w:tblHeader w:val="false"/>
        </w:trPr>
        <w:tc>
          <w:tcPr>
            <w:tcW w:type="dxa" w:w="16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bCs/>
                <w:color w:val="20262B"/>
                <w:sz w:val="19"/>
                <w:szCs w:val="19"/>
              </w:rPr>
              <w:t xml:space="preserve">9</w:t>
            </w:r>
          </w:p>
        </w:tc>
        <w:tc>
          <w:tcPr>
            <w:tcW w:type="dxa" w:w="36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val="false"/>
                <w:bCs w:val="false"/>
                <w:color w:val="20262B"/>
                <w:sz w:val="19"/>
                <w:szCs w:val="19"/>
              </w:rPr>
              <w:t xml:space="preserve">Community</w:t>
            </w:r>
          </w:p>
        </w:tc>
        <w:tc>
          <w:tcPr>
            <w:tcW w:type="dxa" w:w="387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val="false"/>
                <w:bCs w:val="false"/>
                <w:color w:val="20262B"/>
                <w:sz w:val="19"/>
                <w:szCs w:val="19"/>
              </w:rPr>
              <w:t xml:space="preserve">Discussions by discipline area, questions and answers</w:t>
            </w:r>
          </w:p>
        </w:tc>
      </w:tr>
      <w:tr>
        <w:trPr>
          <w:tblHeader w:val="false"/>
        </w:trPr>
        <w:tc>
          <w:tcPr>
            <w:tcW w:type="dxa" w:w="16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bCs/>
                <w:color w:val="20262B"/>
                <w:sz w:val="19"/>
                <w:szCs w:val="19"/>
              </w:rPr>
              <w:t xml:space="preserve">10</w:t>
            </w:r>
          </w:p>
        </w:tc>
        <w:tc>
          <w:tcPr>
            <w:tcW w:type="dxa" w:w="36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val="false"/>
                <w:bCs w:val="false"/>
                <w:color w:val="20262B"/>
                <w:sz w:val="19"/>
                <w:szCs w:val="19"/>
              </w:rPr>
              <w:t xml:space="preserve">Recognition</w:t>
            </w:r>
          </w:p>
        </w:tc>
        <w:tc>
          <w:tcPr>
            <w:tcW w:type="dxa" w:w="387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val="false"/>
                <w:bCs w:val="false"/>
                <w:color w:val="20262B"/>
                <w:sz w:val="19"/>
                <w:szCs w:val="19"/>
              </w:rPr>
              <w:t xml:space="preserve">Contribution records, levels, discipline leaderboards</w:t>
            </w:r>
          </w:p>
        </w:tc>
      </w:tr>
      <w:tr>
        <w:trPr>
          <w:tblHeader w:val="false"/>
        </w:trPr>
        <w:tc>
          <w:tcPr>
            <w:tcW w:type="dxa" w:w="16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bCs/>
                <w:color w:val="20262B"/>
                <w:sz w:val="19"/>
                <w:szCs w:val="19"/>
              </w:rPr>
              <w:t xml:space="preserve">11</w:t>
            </w:r>
          </w:p>
        </w:tc>
        <w:tc>
          <w:tcPr>
            <w:tcW w:type="dxa" w:w="36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val="false"/>
                <w:bCs w:val="false"/>
                <w:color w:val="20262B"/>
                <w:sz w:val="19"/>
                <w:szCs w:val="19"/>
              </w:rPr>
              <w:t xml:space="preserve">Security and quality</w:t>
            </w:r>
          </w:p>
        </w:tc>
        <w:tc>
          <w:tcPr>
            <w:tcW w:type="dxa" w:w="387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val="false"/>
                <w:bCs w:val="false"/>
                <w:color w:val="20262B"/>
                <w:sz w:val="19"/>
                <w:szCs w:val="19"/>
              </w:rPr>
              <w:t xml:space="preserve">Security review, accessibility check, testing, documentation</w:t>
            </w:r>
          </w:p>
        </w:tc>
      </w:tr>
      <w:tr>
        <w:trPr>
          <w:tblHeader w:val="false"/>
        </w:trPr>
        <w:tc>
          <w:tcPr>
            <w:tcW w:type="dxa" w:w="16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bCs/>
                <w:color w:val="20262B"/>
                <w:sz w:val="19"/>
                <w:szCs w:val="19"/>
              </w:rPr>
              <w:t xml:space="preserve">12</w:t>
            </w:r>
          </w:p>
        </w:tc>
        <w:tc>
          <w:tcPr>
            <w:tcW w:type="dxa" w:w="360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val="false"/>
                <w:bCs w:val="false"/>
                <w:color w:val="20262B"/>
                <w:sz w:val="19"/>
                <w:szCs w:val="19"/>
              </w:rPr>
              <w:t xml:space="preserve">Pilot readiness</w:t>
            </w:r>
          </w:p>
        </w:tc>
        <w:tc>
          <w:tcPr>
            <w:tcW w:type="dxa" w:w="3870"/>
            <w:tcBorders>
              <w:top w:val="single" w:color="D5CDC3" w:sz="3"/>
              <w:left w:val="none" w:color="FFFFFF" w:sz="0"/>
              <w:bottom w:val="single" w:color="D5CDC3" w:sz="3"/>
              <w:right w:val="none" w:color="FFFFFF" w:sz="0"/>
            </w:tcBorders>
            <w:tcMar>
              <w:top w:type="dxa" w:w="90"/>
              <w:left w:type="dxa" w:w="130"/>
              <w:bottom w:type="dxa" w:w="90"/>
              <w:right w:type="dxa" w:w="130"/>
            </w:tcMar>
          </w:tcPr>
          <w:p>
            <w:pPr>
              <w:spacing w:after="60" w:before="60" w:line="250"/>
              <w:jc w:val="left"/>
            </w:pPr>
            <w:r>
              <w:rPr>
                <w:rFonts w:ascii="Calibri" w:cs="Calibri" w:eastAsia="Calibri" w:hAnsi="Calibri"/>
                <w:b w:val="false"/>
                <w:bCs w:val="false"/>
                <w:color w:val="20262B"/>
                <w:sz w:val="19"/>
                <w:szCs w:val="19"/>
              </w:rPr>
              <w:t xml:space="preserve">Deployment, moderation tools, onboarding material, launch to the pilot cohort</w:t>
            </w:r>
          </w:p>
        </w:tc>
      </w:tr>
    </w:tbl>
    <w:p>
      <w:pPr>
        <w:spacing w:after="220" w:before="100"/>
      </w:pPr>
      <w:r>
        <w:rPr>
          <w:rFonts w:ascii="Calibri" w:cs="Calibri" w:eastAsia="Calibri" w:hAnsi="Calibri"/>
          <w:i/>
          <w:iCs/>
          <w:color w:val="6B6560"/>
          <w:sz w:val="17"/>
          <w:szCs w:val="17"/>
        </w:rPr>
        <w:t xml:space="preserve">Table B1: Indicative twelve week build for the minimum viable platform.</w:t>
      </w:r>
    </w:p>
    <w:p>
      <w:pPr>
        <w:pStyle w:val="Heading1"/>
        <w:pBdr>
          <w:bottom w:val="single" w:color="A84B12" w:sz="10" w:space="6"/>
        </w:pBdr>
        <w:spacing w:after="200" w:before="400"/>
      </w:pPr>
      <w:r>
        <w:rPr>
          <w:rFonts w:ascii="Georgia" w:cs="Georgia" w:eastAsia="Georgia" w:hAnsi="Georgia"/>
          <w:b/>
          <w:bCs/>
          <w:color w:val="1C2B36"/>
          <w:sz w:val="30"/>
          <w:szCs w:val="30"/>
        </w:rPr>
        <w:t xml:space="preserve">Appendix C: Background of the Proposer</w:t>
      </w:r>
    </w:p>
    <w:p>
      <w:pPr>
        <w:spacing w:after="140" w:line="276"/>
        <w:jc w:val="both"/>
      </w:pPr>
      <w:r>
        <w:rPr>
          <w:rFonts w:ascii="Calibri" w:cs="Calibri" w:eastAsia="Calibri" w:hAnsi="Calibri"/>
          <w:color w:val="20262B"/>
          <w:sz w:val="21"/>
          <w:szCs w:val="21"/>
        </w:rPr>
        <w:t xml:space="preserve">This appendix is included so that the University can assess whether the technical undertakings in this proposal are credible.</w:t>
      </w:r>
    </w:p>
    <w:p>
      <w:pPr>
        <w:spacing w:after="140" w:line="276"/>
        <w:jc w:val="both"/>
      </w:pPr>
      <w:r>
        <w:rPr>
          <w:rFonts w:ascii="Calibri" w:cs="Calibri" w:eastAsia="Calibri" w:hAnsi="Calibri"/>
          <w:color w:val="20262B"/>
          <w:sz w:val="21"/>
          <w:szCs w:val="21"/>
        </w:rPr>
        <w:t xml:space="preserve">John Ouma is an undergraduate student of the Open University of Kenya, pursuing a Bachelor of Science in Cyber Security and Digital Forensics in the School of Science and Technology. He is a full stack software engineer working across web and mobile systems, with professional experience that includes the design, development and production deployment of business systems for clients. He is the founder of Zafrika Tech Lab, a Kenyan technology venture, and works as a full stack developer on a commercial vehicle records and reporting platform. Prior to entering software engineering he spent six years in financial services with a leading Kenyan bank.</w:t>
      </w:r>
    </w:p>
    <w:p>
      <w:pPr>
        <w:spacing w:after="140" w:line="276"/>
        <w:jc w:val="both"/>
      </w:pPr>
      <w:r>
        <w:rPr>
          <w:rFonts w:ascii="Calibri" w:cs="Calibri" w:eastAsia="Calibri" w:hAnsi="Calibri"/>
          <w:color w:val="20262B"/>
          <w:sz w:val="21"/>
          <w:szCs w:val="21"/>
        </w:rPr>
        <w:t xml:space="preserve">This background is offered as evidence of capacity to contribute technically to the initiative, and not as a basis for any commercial relationship with the University. As stated in Section 12.1, FORGE is proposed as a University student initiative in which no commercial entity holds any ownership interest.</w:t>
      </w:r>
    </w:p>
    <w:p>
      <w:pPr>
        <w:spacing w:after="300"/>
      </w:pPr>
      <w:r>
        <w:t xml:space="preserve"/>
      </w:r>
    </w:p>
    <w:p>
      <w:pPr>
        <w:pBdr>
          <w:bottom w:val="single" w:color="D5CDC3" w:sz="8" w:space="4"/>
        </w:pBdr>
        <w:spacing w:after="120"/>
      </w:pPr>
      <w:r>
        <w:t xml:space="preserve"/>
      </w:r>
    </w:p>
    <w:p>
      <w:pPr>
        <w:spacing w:after="60" w:before="200"/>
      </w:pPr>
      <w:r>
        <w:rPr>
          <w:rFonts w:ascii="Calibri" w:cs="Calibri" w:eastAsia="Calibri" w:hAnsi="Calibri"/>
          <w:color w:val="20262B"/>
          <w:sz w:val="21"/>
          <w:szCs w:val="21"/>
        </w:rPr>
        <w:t xml:space="preserve">Submitted respectfully,</w:t>
      </w:r>
    </w:p>
    <w:p>
      <w:pPr>
        <w:spacing w:after="360"/>
      </w:pPr>
      <w:r>
        <w:t xml:space="preserve"/>
      </w:r>
    </w:p>
    <w:p>
      <w:pPr>
        <w:pBdr>
          <w:top w:val="single" w:color="1C2B36" w:sz="6" w:space="4"/>
        </w:pBdr>
        <w:spacing w:after="30"/>
      </w:pPr>
      <w:r>
        <w:t xml:space="preserve"/>
      </w:r>
    </w:p>
    <w:p>
      <w:pPr>
        <w:spacing w:after="20"/>
      </w:pPr>
      <w:r>
        <w:rPr>
          <w:rFonts w:ascii="Calibri" w:cs="Calibri" w:eastAsia="Calibri" w:hAnsi="Calibri"/>
          <w:b/>
          <w:bCs/>
          <w:color w:val="1C2B36"/>
          <w:sz w:val="21"/>
          <w:szCs w:val="21"/>
        </w:rPr>
        <w:t xml:space="preserve">John Ouma</w:t>
      </w:r>
    </w:p>
    <w:p>
      <w:pPr>
        <w:spacing w:after="20"/>
      </w:pPr>
      <w:r>
        <w:rPr>
          <w:rFonts w:ascii="Calibri" w:cs="Calibri" w:eastAsia="Calibri" w:hAnsi="Calibri"/>
          <w:color w:val="20262B"/>
          <w:sz w:val="19"/>
          <w:szCs w:val="19"/>
        </w:rPr>
        <w:t xml:space="preserve">BSc. Cyber Security and Digital Forensics, School of Science and Technology</w:t>
      </w:r>
    </w:p>
    <w:p>
      <w:pPr>
        <w:spacing w:after="20"/>
      </w:pPr>
      <w:r>
        <w:rPr>
          <w:rFonts w:ascii="Calibri" w:cs="Calibri" w:eastAsia="Calibri" w:hAnsi="Calibri"/>
          <w:i/>
          <w:iCs/>
          <w:color w:val="6B6560"/>
          <w:sz w:val="19"/>
          <w:szCs w:val="19"/>
        </w:rPr>
        <w:t xml:space="preserve">On behalf of the proposed FORGE founding team</w:t>
      </w:r>
    </w:p>
    <w:p>
      <w:pPr>
        <w:spacing w:before="160"/>
      </w:pPr>
      <w:r>
        <w:rPr>
          <w:rFonts w:ascii="Calibri" w:cs="Calibri" w:eastAsia="Calibri" w:hAnsi="Calibri"/>
          <w:color w:val="20262B"/>
          <w:sz w:val="19"/>
          <w:szCs w:val="19"/>
        </w:rPr>
        <w:t xml:space="preserve">Email: [to be inserted]        Telephone: [to be inserted]        Date: ______________________</w:t>
      </w:r>
    </w:p>
    <w:sectPr>
      <w:headerReference w:type="default" r:id="rId7"/>
      <w:headerReference w:type="first" r:id="rId8"/>
      <w:footerReference w:type="default" r:id="rId9"/>
      <w:footerReference w:type="first" r:id="rId10"/>
      <w:pgSz w:w="11906" w:h="16838" w:orient="portrait"/>
      <w:pgMar w:top="1417" w:right="1417" w:bottom="1247" w:left="1417"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CDC3" w:sz="4" w:space="8"/>
      </w:pBdr>
      <w:tabs>
        <w:tab w:val="right" w:pos="9070"/>
      </w:tabs>
      <w:spacing w:before="100"/>
    </w:pPr>
    <w:r>
      <w:rPr>
        <w:rFonts w:ascii="Calibri" w:cs="Calibri" w:eastAsia="Calibri" w:hAnsi="Calibri"/>
        <w:color w:val="6B6560"/>
        <w:sz w:val="16"/>
        <w:szCs w:val="16"/>
      </w:rPr>
      <w:t xml:space="preserve">FORGE  |  Concept Proposal  |  The Open University of Kenya</w:t>
    </w:r>
    <w:r>
      <w:rPr>
        <w:rFonts w:ascii="Calibri" w:cs="Calibri" w:eastAsia="Calibri" w:hAnsi="Calibri"/>
        <w:sz w:val="16"/>
        <w:szCs w:val="16"/>
      </w:rPr>
      <w:t xml:space="preserve">	</w:t>
    </w:r>
    <w:r>
      <w:rPr>
        <w:rFonts w:ascii="Calibri" w:cs="Calibri" w:eastAsia="Calibri" w:hAnsi="Calibri"/>
        <w:color w:val="6B656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60"/>
      <w:jc w:val="right"/>
    </w:pPr>
    <w:r>
      <w:rPr>
        <w:rFonts w:ascii="Calibri" w:cs="Calibri" w:eastAsia="Calibri" w:hAnsi="Calibri"/>
        <w:color w:val="6B6560"/>
        <w:spacing w:val="20"/>
        <w:sz w:val="16"/>
        <w:szCs w:val="16"/>
      </w:rPr>
      <w:t xml:space="preserve">FORGE  /  Powered by The Open University of Kenya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40"/>
      </w:pPr>
      <w:rPr>
        <w:color w:val="A84B12"/>
      </w:rPr>
    </w:lvl>
    <w:lvl w:ilvl="1" w15:tentative="1">
      <w:start w:val="1"/>
      <w:numFmt w:val="bullet"/>
      <w:lvlText w:val="◦"/>
      <w:lvlJc w:val="left"/>
      <w:pPr>
        <w:ind w:left="800" w:hanging="240"/>
      </w:pPr>
      <w:rPr>
        <w:color w:val="A84B12"/>
      </w:rPr>
    </w:lvl>
  </w:abstractNum>
  <w:abstractNum w:abstractNumId="3" w15:restartNumberingAfterBreak="0">
    <w:multiLevelType w:val="hybridMultilevel"/>
    <w:lvl w:ilvl="0" w15:tentative="1">
      <w:start w:val="1"/>
      <w:numFmt w:val="decimal"/>
      <w:lvlText w:val="%1."/>
      <w:lvlJc w:val="left"/>
      <w:pPr>
        <w:ind w:left="460" w:hanging="340"/>
      </w:pPr>
      <w:rPr>
        <w:b/>
        <w:bCs/>
        <w:color w:val="A84B1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0262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FORGE: A Student Project, Collaboration and Practical Experience Ecosystem</dc:title>
  <dc:creator>John Ouma</dc:creator>
  <dc:description>Concept proposal submitted to the Open University of Kenya</dc:description>
  <cp:lastModifiedBy>Un-named</cp:lastModifiedBy>
  <cp:revision>1</cp:revision>
  <dcterms:created xsi:type="dcterms:W3CDTF">2026-08-22T08:21:11.525Z</dcterms:created>
  <dcterms:modified xsi:type="dcterms:W3CDTF">2026-08-22T08:21:11.525Z</dcterms:modified>
</cp:coreProperties>
</file>

<file path=docProps/custom.xml><?xml version="1.0" encoding="utf-8"?>
<Properties xmlns="http://schemas.openxmlformats.org/officeDocument/2006/custom-properties" xmlns:vt="http://schemas.openxmlformats.org/officeDocument/2006/docPropsVTypes"/>
</file>