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research-proposal"/>
    <w:p>
      <w:pPr>
        <w:pStyle w:val="Heading1"/>
      </w:pPr>
      <w:r>
        <w:t xml:space="preserve">RESEARCH PROPOSAL</w:t>
      </w:r>
    </w:p>
    <w:bookmarkStart w:id="20" w:name="Xa5a1dadaed37ec2e5d3863e612c84eced50a3af"/>
    <w:p>
      <w:pPr>
        <w:pStyle w:val="Heading2"/>
      </w:pPr>
      <w:r>
        <w:t xml:space="preserve">A Hybrid Template-Based and Deep Learning Framework for Opportunistic Screening of Intracranial Aneurysms: A Cross-Domain Application from Computational Biology Evaluating Clinical Utility and Algorithmic Fairness in Kenyan Public Health Settings</w:t>
      </w:r>
    </w:p>
    <w:p>
      <w:r>
        <w:pict>
          <v:rect style="width:0;height:1.5pt" o:hralign="center" o:hrstd="t" o:hr="t"/>
        </w:pict>
      </w:r>
    </w:p>
    <w:p>
      <w:pPr>
        <w:pStyle w:val="FirstParagraph"/>
      </w:pPr>
      <w:r>
        <w:rPr>
          <w:bCs/>
          <w:b/>
        </w:rPr>
        <w:t xml:space="preserve">By</w:t>
      </w:r>
    </w:p>
    <w:p>
      <w:pPr>
        <w:pStyle w:val="BodyText"/>
      </w:pPr>
      <w:r>
        <w:rPr>
          <w:bCs/>
          <w:b/>
        </w:rPr>
        <w:t xml:space="preserve">Cavin Otieno Ouma</w:t>
      </w:r>
    </w:p>
    <w:p>
      <w:pPr>
        <w:pStyle w:val="BodyText"/>
      </w:pPr>
      <w:r>
        <w:rPr>
          <w:bCs/>
          <w:b/>
        </w:rPr>
        <w:t xml:space="preserve">Reg. No.: SDS6/46982/2024</w:t>
      </w:r>
    </w:p>
    <w:p>
      <w:pPr>
        <w:pStyle w:val="BodyText"/>
      </w:pPr>
      <w:r>
        <w:rPr>
          <w:bCs/>
          <w:b/>
        </w:rPr>
        <w:t xml:space="preserve">A Research Proposal Submitted in Partial Fulfilment of the Requirements for the Degree of Master of Science in Public Health Data Science</w:t>
      </w:r>
    </w:p>
    <w:p>
      <w:pPr>
        <w:pStyle w:val="BodyText"/>
      </w:pPr>
      <w:r>
        <w:rPr>
          <w:bCs/>
          <w:b/>
        </w:rPr>
        <w:t xml:space="preserve">Department of Mathematics</w:t>
      </w:r>
    </w:p>
    <w:p>
      <w:pPr>
        <w:pStyle w:val="BodyText"/>
      </w:pPr>
      <w:r>
        <w:rPr>
          <w:bCs/>
          <w:b/>
        </w:rPr>
        <w:t xml:space="preserve">University of Nairobi</w:t>
      </w:r>
    </w:p>
    <w:p>
      <w:r>
        <w:pict>
          <v:rect style="width:0;height:1.5pt" o:hralign="center" o:hrstd="t" o:hr="t"/>
        </w:pict>
      </w:r>
    </w:p>
    <w:p>
      <w:pPr>
        <w:pStyle w:val="FirstParagraph"/>
      </w:pPr>
      <w:r>
        <w:rPr>
          <w:bCs/>
          <w:b/>
        </w:rPr>
        <w:t xml:space="preserve">November 2025</w:t>
      </w:r>
      <w:r>
        <w:t xml:space="preserve"> </w:t>
      </w:r>
      <w:r>
        <w:t xml:space="preserve">(Revised August 2026)</w:t>
      </w:r>
    </w:p>
    <w:p>
      <w:r>
        <w:pict>
          <v:rect style="width:0;height:1.5pt" o:hralign="center" o:hrstd="t" o:hr="t"/>
        </w:pict>
      </w:r>
    </w:p>
    <w:bookmarkEnd w:id="20"/>
    <w:bookmarkStart w:id="21" w:name="declaration"/>
    <w:p>
      <w:pPr>
        <w:pStyle w:val="Heading2"/>
      </w:pPr>
      <w:r>
        <w:t xml:space="preserve">DECLARATION</w:t>
      </w:r>
    </w:p>
    <w:p>
      <w:pPr>
        <w:pStyle w:val="FirstParagraph"/>
      </w:pPr>
      <w:r>
        <w:t xml:space="preserve">This research proposal is my original work and has not been presented for the award of any degree in this or any other university.</w:t>
      </w:r>
    </w:p>
    <w:p>
      <w:r>
        <w:pict>
          <v:rect style="width:0;height:1.5pt" o:hralign="center" o:hrstd="t" o:hr="t"/>
        </w:pict>
      </w:r>
    </w:p>
    <w:p>
      <w:pPr>
        <w:pStyle w:val="FirstParagraph"/>
      </w:pPr>
      <w:r>
        <w:t xml:space="preserve">Cavin Otieno Ouma Date</w:t>
      </w:r>
      <w:r>
        <w:t xml:space="preserve"> </w:t>
      </w:r>
      <w:r>
        <w:t xml:space="preserve">Candidate</w:t>
      </w:r>
    </w:p>
    <w:p>
      <w:pPr>
        <w:pStyle w:val="BodyText"/>
      </w:pPr>
      <w:r>
        <w:t xml:space="preserve">This research proposal has been submitted for examination with our approval as supervisors:</w:t>
      </w:r>
    </w:p>
    <w:p>
      <w:r>
        <w:pict>
          <v:rect style="width:0;height:1.5pt" o:hralign="center" o:hrstd="t" o:hr="t"/>
        </w:pict>
      </w:r>
    </w:p>
    <w:p>
      <w:pPr>
        <w:pStyle w:val="FirstParagraph"/>
      </w:pPr>
      <w:r>
        <w:t xml:space="preserve">Prof. Peter Waiganjo Date</w:t>
      </w:r>
      <w:r>
        <w:t xml:space="preserve"> </w:t>
      </w:r>
      <w:r>
        <w:t xml:space="preserve">Primary Supervisor</w:t>
      </w:r>
      <w:r>
        <w:t xml:space="preserve"> </w:t>
      </w:r>
      <w:r>
        <w:t xml:space="preserve">Department of Computing and Informatics</w:t>
      </w:r>
      <w:r>
        <w:t xml:space="preserve"> </w:t>
      </w:r>
      <w:r>
        <w:t xml:space="preserve">University of Nairobi</w:t>
      </w:r>
    </w:p>
    <w:p>
      <w:r>
        <w:pict>
          <v:rect style="width:0;height:1.5pt" o:hralign="center" o:hrstd="t" o:hr="t"/>
        </w:pict>
      </w:r>
    </w:p>
    <w:p>
      <w:pPr>
        <w:pStyle w:val="FirstParagraph"/>
      </w:pPr>
      <w:r>
        <w:t xml:space="preserve">Dr. Pamela Mandela Date</w:t>
      </w:r>
      <w:r>
        <w:t xml:space="preserve"> </w:t>
      </w:r>
      <w:r>
        <w:t xml:space="preserve">Co-Supervisor</w:t>
      </w:r>
      <w:r>
        <w:t xml:space="preserve"> </w:t>
      </w:r>
      <w:r>
        <w:t xml:space="preserve">School of Public Health</w:t>
      </w:r>
      <w:r>
        <w:t xml:space="preserve"> </w:t>
      </w:r>
      <w:r>
        <w:t xml:space="preserve">University of Nairobi</w:t>
      </w:r>
    </w:p>
    <w:p>
      <w:r>
        <w:pict>
          <v:rect style="width:0;height:1.5pt" o:hralign="center" o:hrstd="t" o:hr="t"/>
        </w:pict>
      </w:r>
    </w:p>
    <w:p>
      <w:pPr>
        <w:pStyle w:val="FirstParagraph"/>
      </w:pPr>
      <w:r>
        <w:t xml:space="preserve">Dr. Kevin Ombati Date</w:t>
      </w:r>
      <w:r>
        <w:t xml:space="preserve"> </w:t>
      </w:r>
      <w:r>
        <w:t xml:space="preserve">Co-Supervisor</w:t>
      </w:r>
      <w:r>
        <w:t xml:space="preserve"> </w:t>
      </w:r>
      <w:r>
        <w:t xml:space="preserve">Department of Radiology</w:t>
      </w:r>
      <w:r>
        <w:t xml:space="preserve"> </w:t>
      </w:r>
      <w:r>
        <w:t xml:space="preserve">Aga Khan University Hospital, Nairobi</w:t>
      </w:r>
    </w:p>
    <w:p>
      <w:r>
        <w:pict>
          <v:rect style="width:0;height:1.5pt" o:hralign="center" o:hrstd="t" o:hr="t"/>
        </w:pict>
      </w:r>
    </w:p>
    <w:bookmarkEnd w:id="21"/>
    <w:bookmarkStart w:id="22" w:name="abstract"/>
    <w:p>
      <w:pPr>
        <w:pStyle w:val="Heading2"/>
      </w:pPr>
      <w:r>
        <w:t xml:space="preserve">ABSTRACT</w:t>
      </w:r>
    </w:p>
    <w:p>
      <w:pPr>
        <w:pStyle w:val="FirstParagraph"/>
      </w:pPr>
      <w:r>
        <w:rPr>
          <w:bCs/>
          <w:b/>
        </w:rPr>
        <w:t xml:space="preserve">Background</w:t>
      </w:r>
    </w:p>
    <w:p>
      <w:pPr>
        <w:pStyle w:val="BodyText"/>
      </w:pPr>
      <w:r>
        <w:t xml:space="preserve">Intracranial aneurysms represent a significant public health concern globally, with prevalence estimates ranging from three to five percent in the general population. In Kenya, where radiological expertise is scarce and concentrated primarily in urban centres, the early detection of these vascular abnormalities poses a formidable challenge. This research proposal presents a novel approach to addressing this diagnostic gap through the development of a hybrid artificial intelligence framework that combines Template-Based Modeling techniques from computational biology with deep learning methodologies for the opportunistic screening of intracranial aneurysms from computed tomography angiography scans.</w:t>
      </w:r>
    </w:p>
    <w:p>
      <w:pPr>
        <w:pStyle w:val="BodyText"/>
      </w:pPr>
      <w:r>
        <w:t xml:space="preserve">The proposed research represents a cross-domain innovation that adapts structural pattern recognition techniques originally developed for RNA three-dimensional folding analysis to the detection of vascular pathologies in medical imaging. Specifically, the study aims to develop a hybrid model that integrates template-matching algorithms derived from RNA structural motifs with convolutional neural network architectures to improve detection accuracy, computational efficiency, and model interpretability. The research will utilise the RSNA Intracranial Aneurysm Detection dataset, an open-access collection of over four thousand computed tomography angiography studies from eighteen institutions across five continents, to train and validate the proposed framework.</w:t>
      </w:r>
    </w:p>
    <w:p>
      <w:pPr>
        <w:pStyle w:val="BodyText"/>
      </w:pPr>
      <w:r>
        <w:t xml:space="preserve">Beyond technical performance metrics, this study emphasises the critical dimensions of clinical utility and algorithmic fairness in the context of Kenyan public health settings. Given that most existing aneurysm detection models are developed on Western datasets, significant questions remain regarding their generalisability and equity of performance when applied to African populations. The research will therefore include a comprehensive fairness audit examining model performance across demographic subgroups, alongside an assessment of the feasibility of deploying such tools in Kenyan referral hospitals with limited computational infrastructure.</w:t>
      </w:r>
    </w:p>
    <w:p>
      <w:pPr>
        <w:pStyle w:val="BodyText"/>
      </w:pPr>
      <w:r>
        <w:rPr>
          <w:bCs/>
          <w:b/>
        </w:rPr>
        <w:t xml:space="preserve">Broad Objective</w:t>
      </w:r>
    </w:p>
    <w:p>
      <w:pPr>
        <w:pStyle w:val="BodyText"/>
      </w:pPr>
      <w:r>
        <w:t xml:space="preserve">To develop and validate a hybrid artificial intelligence framework for the opportunistic screening of intracranial aneurysms that integrates Template-Based Modeling from computational biology with deep learning methodologies, specifically designed for deployment in Kenyan public health settings, with evaluation of clinical utility and algorithmic fairness.</w:t>
      </w:r>
    </w:p>
    <w:p>
      <w:pPr>
        <w:pStyle w:val="BodyText"/>
      </w:pPr>
      <w:r>
        <w:rPr>
          <w:bCs/>
          <w:b/>
        </w:rPr>
        <w:t xml:space="preserve">Methodology</w:t>
      </w:r>
    </w:p>
    <w:p>
      <w:pPr>
        <w:pStyle w:val="BodyText"/>
      </w:pPr>
      <w:r>
        <w:t xml:space="preserve">The study adopts a retrospective quantitative research design. The primary data source is the RSNA Intracranial Aneurysm Detection dataset, comprising over four thousand anonymised computed tomography angiography studies from eighteen institutions across five continents. The hybrid detection algorithm will integrate Template-Based Modeling components with three-dimensional convolutional neural networks. Performance evaluation will use sensitivity, specificity, AUC-ROC, and Dice coefficient on a held-out test set of 808 studies. Algorithmic fairness will be assessed across demographic subgroups using demographic parity and equalised odds metrics. Computational feasibility will be evaluated through benchmarking on hardware representative of Kenyan referral hospitals.</w:t>
      </w:r>
    </w:p>
    <w:p>
      <w:pPr>
        <w:pStyle w:val="BodyText"/>
      </w:pPr>
      <w:r>
        <w:rPr>
          <w:bCs/>
          <w:b/>
        </w:rPr>
        <w:t xml:space="preserve">Utility of the Study</w:t>
      </w:r>
    </w:p>
    <w:p>
      <w:pPr>
        <w:pStyle w:val="BodyText"/>
      </w:pPr>
      <w:r>
        <w:t xml:space="preserve">The findings will contribute to the growing body of knowledge on artificial intelligence applications in resource-constrained healthcare settings while advancing the frontier of cross-domain methodology transfer in computational biology and medical imaging. Anticipated outcomes include a validated hybrid detection algorithm, a fairness assessment report, and implementation recommendations for the Kenyan Ministry of Health. The research will inform policy decisions regarding the integration of artificial intelligence tools into Kenyan public health facilities and strengthen collaborative ties between the University of Nairobi and Aga Khan University Hospital, Nairobi.</w:t>
      </w:r>
    </w:p>
    <w:p>
      <w:pPr>
        <w:pStyle w:val="BodyText"/>
      </w:pPr>
      <w:r>
        <w:rPr>
          <w:bCs/>
          <w:b/>
        </w:rPr>
        <w:t xml:space="preserve">Keywords:</w:t>
      </w:r>
      <w:r>
        <w:t xml:space="preserve"> </w:t>
      </w:r>
      <w:r>
        <w:t xml:space="preserve">Intracranial aneurysm, deep learning, Template-Based Modeling, opportunistic screening, algorithmic fairness, Kenyan public health, cross-domain transfer learning</w:t>
      </w:r>
    </w:p>
    <w:p>
      <w:r>
        <w:pict>
          <v:rect style="width:0;height:1.5pt" o:hralign="center" o:hrstd="t" o:hr="t"/>
        </w:pict>
      </w:r>
    </w:p>
    <w:bookmarkEnd w:id="22"/>
    <w:bookmarkStart w:id="23" w:name="table-of-contents"/>
    <w:p>
      <w:pPr>
        <w:pStyle w:val="Heading2"/>
      </w:pPr>
      <w:r>
        <w:t xml:space="preserve">TABLE OF CONTENTS</w:t>
      </w:r>
    </w:p>
    <w:p>
      <w:pPr>
        <w:pStyle w:val="FirstParagraph"/>
      </w:pPr>
      <w:r>
        <w:t xml:space="preserve">Declaration</w:t>
      </w:r>
    </w:p>
    <w:p>
      <w:pPr>
        <w:pStyle w:val="BodyText"/>
      </w:pPr>
      <w:r>
        <w:t xml:space="preserve">Abstract</w:t>
      </w:r>
    </w:p>
    <w:p>
      <w:pPr>
        <w:pStyle w:val="BodyText"/>
      </w:pPr>
      <w:r>
        <w:t xml:space="preserve">Table of Contents</w:t>
      </w:r>
    </w:p>
    <w:p>
      <w:pPr>
        <w:pStyle w:val="BodyText"/>
      </w:pPr>
      <w:r>
        <w:t xml:space="preserve">List of Figures</w:t>
      </w:r>
    </w:p>
    <w:p>
      <w:pPr>
        <w:pStyle w:val="BodyText"/>
      </w:pPr>
      <w:r>
        <w:t xml:space="preserve">List of Tables</w:t>
      </w:r>
    </w:p>
    <w:p>
      <w:pPr>
        <w:pStyle w:val="BodyText"/>
      </w:pPr>
      <w:r>
        <w:t xml:space="preserve">List of Abbreviations</w:t>
      </w:r>
    </w:p>
    <w:p>
      <w:pPr>
        <w:pStyle w:val="BodyText"/>
      </w:pPr>
      <w:r>
        <w:t xml:space="preserve">Chapter 1: Introduction</w:t>
      </w:r>
    </w:p>
    <w:p>
      <w:pPr>
        <w:pStyle w:val="BodyText"/>
      </w:pPr>
      <w:r>
        <w:t xml:space="preserve">1.1 Background</w:t>
      </w:r>
    </w:p>
    <w:p>
      <w:pPr>
        <w:pStyle w:val="BodyText"/>
      </w:pPr>
      <w:r>
        <w:t xml:space="preserve">1.2 Problem Statement</w:t>
      </w:r>
    </w:p>
    <w:p>
      <w:pPr>
        <w:pStyle w:val="BodyText"/>
      </w:pPr>
      <w:r>
        <w:t xml:space="preserve">1.3 Purpose and Objectives</w:t>
      </w:r>
    </w:p>
    <w:p>
      <w:pPr>
        <w:pStyle w:val="BodyText"/>
      </w:pPr>
      <w:r>
        <w:t xml:space="preserve">1.4 Research Questions</w:t>
      </w:r>
    </w:p>
    <w:p>
      <w:pPr>
        <w:pStyle w:val="BodyText"/>
      </w:pPr>
      <w:r>
        <w:t xml:space="preserve">1.5 Justification and Significance</w:t>
      </w:r>
    </w:p>
    <w:p>
      <w:pPr>
        <w:pStyle w:val="BodyText"/>
      </w:pPr>
      <w:r>
        <w:t xml:space="preserve">1.6 Scope and Limitations</w:t>
      </w:r>
    </w:p>
    <w:p>
      <w:pPr>
        <w:pStyle w:val="BodyText"/>
      </w:pPr>
      <w:r>
        <w:t xml:space="preserve">Chapter 2: Literature Review</w:t>
      </w:r>
    </w:p>
    <w:p>
      <w:pPr>
        <w:pStyle w:val="BodyText"/>
      </w:pPr>
      <w:r>
        <w:t xml:space="preserve">2.1 Theoretical Framework</w:t>
      </w:r>
    </w:p>
    <w:p>
      <w:pPr>
        <w:pStyle w:val="BodyText"/>
      </w:pPr>
      <w:r>
        <w:t xml:space="preserve">2.2 Empirical Review</w:t>
      </w:r>
    </w:p>
    <w:p>
      <w:pPr>
        <w:pStyle w:val="BodyText"/>
      </w:pPr>
      <w:r>
        <w:t xml:space="preserve">2.3 Gap Analysis</w:t>
      </w:r>
    </w:p>
    <w:p>
      <w:pPr>
        <w:pStyle w:val="BodyText"/>
      </w:pPr>
      <w:r>
        <w:t xml:space="preserve">2.4 Contribution to Knowledge</w:t>
      </w:r>
    </w:p>
    <w:p>
      <w:pPr>
        <w:pStyle w:val="BodyText"/>
      </w:pPr>
      <w:r>
        <w:t xml:space="preserve">2.5 National AI Policy and Regulatory Context</w:t>
      </w:r>
    </w:p>
    <w:p>
      <w:pPr>
        <w:pStyle w:val="BodyText"/>
      </w:pPr>
      <w:r>
        <w:t xml:space="preserve">Chapter 3: Methodology</w:t>
      </w:r>
    </w:p>
    <w:p>
      <w:pPr>
        <w:pStyle w:val="BodyText"/>
      </w:pPr>
      <w:r>
        <w:t xml:space="preserve">3.1 Research Design</w:t>
      </w:r>
    </w:p>
    <w:p>
      <w:pPr>
        <w:pStyle w:val="BodyText"/>
      </w:pPr>
      <w:r>
        <w:t xml:space="preserve">3.2 Study Area and Population</w:t>
      </w:r>
    </w:p>
    <w:p>
      <w:pPr>
        <w:pStyle w:val="BodyText"/>
      </w:pPr>
      <w:r>
        <w:t xml:space="preserve">3.3 Data Sources</w:t>
      </w:r>
    </w:p>
    <w:p>
      <w:pPr>
        <w:pStyle w:val="BodyText"/>
      </w:pPr>
      <w:r>
        <w:t xml:space="preserve">3.4 Algorithm Architecture</w:t>
      </w:r>
    </w:p>
    <w:p>
      <w:pPr>
        <w:pStyle w:val="BodyText"/>
      </w:pPr>
      <w:r>
        <w:t xml:space="preserve">3.5 Data Preprocessing</w:t>
      </w:r>
    </w:p>
    <w:p>
      <w:pPr>
        <w:pStyle w:val="BodyText"/>
      </w:pPr>
      <w:r>
        <w:t xml:space="preserve">3.6 Evaluation Metrics</w:t>
      </w:r>
    </w:p>
    <w:p>
      <w:pPr>
        <w:pStyle w:val="BodyText"/>
      </w:pPr>
      <w:r>
        <w:t xml:space="preserve">3.7 Ethical Considerations</w:t>
      </w:r>
    </w:p>
    <w:p>
      <w:pPr>
        <w:pStyle w:val="BodyText"/>
      </w:pPr>
      <w:r>
        <w:t xml:space="preserve">3.7.1 Study Justification and Risk-Benefit Assessment</w:t>
      </w:r>
    </w:p>
    <w:p>
      <w:pPr>
        <w:pStyle w:val="BodyText"/>
      </w:pPr>
      <w:r>
        <w:t xml:space="preserve">3.7.2 Informed Consent and Data Privacy</w:t>
      </w:r>
    </w:p>
    <w:p>
      <w:pPr>
        <w:pStyle w:val="BodyText"/>
      </w:pPr>
      <w:r>
        <w:t xml:space="preserve">3.7.3 Data Protection and Security</w:t>
      </w:r>
    </w:p>
    <w:p>
      <w:pPr>
        <w:pStyle w:val="BodyText"/>
      </w:pPr>
      <w:r>
        <w:t xml:space="preserve">3.7.4 Incidental Findings Protocol</w:t>
      </w:r>
    </w:p>
    <w:p>
      <w:pPr>
        <w:pStyle w:val="BodyText"/>
      </w:pPr>
      <w:r>
        <w:t xml:space="preserve">3.7.5 Institutional Review Requirements</w:t>
      </w:r>
    </w:p>
    <w:p>
      <w:pPr>
        <w:pStyle w:val="BodyText"/>
      </w:pPr>
      <w:r>
        <w:t xml:space="preserve">Chapter 4: Work Plan and Budget</w:t>
      </w:r>
    </w:p>
    <w:p>
      <w:pPr>
        <w:pStyle w:val="BodyText"/>
      </w:pPr>
      <w:r>
        <w:t xml:space="preserve">4.1 Work Plan</w:t>
      </w:r>
    </w:p>
    <w:p>
      <w:pPr>
        <w:pStyle w:val="BodyText"/>
      </w:pPr>
      <w:r>
        <w:t xml:space="preserve">4.2 Budget Estimate</w:t>
      </w:r>
    </w:p>
    <w:p>
      <w:pPr>
        <w:pStyle w:val="BodyText"/>
      </w:pPr>
      <w:r>
        <w:t xml:space="preserve">References</w:t>
      </w:r>
    </w:p>
    <w:p>
      <w:r>
        <w:pict>
          <v:rect style="width:0;height:1.5pt" o:hralign="center" o:hrstd="t" o:hr="t"/>
        </w:pict>
      </w:r>
    </w:p>
    <w:bookmarkEnd w:id="23"/>
    <w:bookmarkStart w:id="24" w:name="list-of-figures"/>
    <w:p>
      <w:pPr>
        <w:pStyle w:val="Heading2"/>
      </w:pPr>
      <w:r>
        <w:t xml:space="preserve">LIST OF FIGURES</w:t>
      </w:r>
    </w:p>
    <w:p>
      <w:pPr>
        <w:pStyle w:val="FirstParagraph"/>
      </w:pPr>
      <w:r>
        <w:t xml:space="preserve">Figure 2.1: Conceptual Framework: Cross-Domain Transfer from RNA Folding to Vascular Imaging</w:t>
      </w:r>
    </w:p>
    <w:p>
      <w:pPr>
        <w:pStyle w:val="BodyText"/>
      </w:pPr>
      <w:r>
        <w:t xml:space="preserve">Figure 3.1: System Architecture of the Hybrid TBM-Deep Learning Framework</w:t>
      </w:r>
    </w:p>
    <w:p>
      <w:pPr>
        <w:pStyle w:val="BodyText"/>
      </w:pPr>
      <w:r>
        <w:t xml:space="preserve">Figure 3.2: Data Preprocessing Pipeline</w:t>
      </w:r>
    </w:p>
    <w:p>
      <w:pPr>
        <w:pStyle w:val="BodyText"/>
      </w:pPr>
      <w:r>
        <w:t xml:space="preserve">Figure 4.1: Gantt Chart for Research Implementation</w:t>
      </w:r>
    </w:p>
    <w:p>
      <w:r>
        <w:pict>
          <v:rect style="width:0;height:1.5pt" o:hralign="center" o:hrstd="t" o:hr="t"/>
        </w:pict>
      </w:r>
    </w:p>
    <w:bookmarkEnd w:id="24"/>
    <w:bookmarkStart w:id="25" w:name="list-of-tables"/>
    <w:p>
      <w:pPr>
        <w:pStyle w:val="Heading2"/>
      </w:pPr>
      <w:r>
        <w:t xml:space="preserve">LIST OF TABLES</w:t>
      </w:r>
    </w:p>
    <w:p>
      <w:pPr>
        <w:pStyle w:val="FirstParagraph"/>
      </w:pPr>
      <w:r>
        <w:t xml:space="preserve">Table 1.1: Distribution of Radiologists in Kenya by Region</w:t>
      </w:r>
    </w:p>
    <w:p>
      <w:pPr>
        <w:pStyle w:val="BodyText"/>
      </w:pPr>
      <w:r>
        <w:t xml:space="preserve">Table 3.1: RSNA-ICA Dataset Characteristics</w:t>
      </w:r>
    </w:p>
    <w:p>
      <w:pPr>
        <w:pStyle w:val="BodyText"/>
      </w:pPr>
      <w:r>
        <w:t xml:space="preserve">Table 3.2: Evaluation Metrics and Definitions</w:t>
      </w:r>
    </w:p>
    <w:p>
      <w:pPr>
        <w:pStyle w:val="BodyText"/>
      </w:pPr>
      <w:r>
        <w:t xml:space="preserve">Table 4.1: Detailed Budget Estimate</w:t>
      </w:r>
    </w:p>
    <w:p>
      <w:r>
        <w:pict>
          <v:rect style="width:0;height:1.5pt" o:hralign="center" o:hrstd="t" o:hr="t"/>
        </w:pict>
      </w:r>
    </w:p>
    <w:bookmarkEnd w:id="25"/>
    <w:bookmarkStart w:id="26" w:name="list-of-abbreviations"/>
    <w:p>
      <w:pPr>
        <w:pStyle w:val="Heading2"/>
      </w:pPr>
      <w:r>
        <w:t xml:space="preserve">LIST OF ABBREVIATIONS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Abbreviation</w:t>
            </w:r>
          </w:p>
        </w:tc>
        <w:tc>
          <w:tcPr/>
          <w:p>
            <w:pPr>
              <w:pStyle w:val="Compact"/>
              <w:jc w:val="left"/>
            </w:pPr>
            <w:r>
              <w:t xml:space="preserve">Full Term</w:t>
            </w:r>
          </w:p>
        </w:tc>
      </w:tr>
      <w:tr>
        <w:tc>
          <w:tcPr/>
          <w:p>
            <w:pPr>
              <w:pStyle w:val="Compact"/>
              <w:jc w:val="left"/>
            </w:pPr>
            <w:r>
              <w:t xml:space="preserve">AI</w:t>
            </w:r>
          </w:p>
        </w:tc>
        <w:tc>
          <w:tcPr/>
          <w:p>
            <w:pPr>
              <w:pStyle w:val="Compact"/>
              <w:jc w:val="left"/>
            </w:pPr>
            <w:r>
              <w:t xml:space="preserve">Artificial Intelligence</w:t>
            </w:r>
          </w:p>
        </w:tc>
      </w:tr>
      <w:tr>
        <w:tc>
          <w:tcPr/>
          <w:p>
            <w:pPr>
              <w:pStyle w:val="Compact"/>
              <w:jc w:val="left"/>
            </w:pPr>
            <w:r>
              <w:t xml:space="preserve">AUC</w:t>
            </w:r>
          </w:p>
        </w:tc>
        <w:tc>
          <w:tcPr/>
          <w:p>
            <w:pPr>
              <w:pStyle w:val="Compact"/>
              <w:jc w:val="left"/>
            </w:pPr>
            <w:r>
              <w:t xml:space="preserve">Area Under the Curve</w:t>
            </w:r>
          </w:p>
        </w:tc>
      </w:tr>
      <w:tr>
        <w:tc>
          <w:tcPr/>
          <w:p>
            <w:pPr>
              <w:pStyle w:val="Compact"/>
              <w:jc w:val="left"/>
            </w:pPr>
            <w:r>
              <w:t xml:space="preserve">CNN</w:t>
            </w:r>
          </w:p>
        </w:tc>
        <w:tc>
          <w:tcPr/>
          <w:p>
            <w:pPr>
              <w:pStyle w:val="Compact"/>
              <w:jc w:val="left"/>
            </w:pPr>
            <w:r>
              <w:t xml:space="preserve">Convolutional Neural Network</w:t>
            </w:r>
          </w:p>
        </w:tc>
      </w:tr>
      <w:tr>
        <w:tc>
          <w:tcPr/>
          <w:p>
            <w:pPr>
              <w:pStyle w:val="Compact"/>
              <w:jc w:val="left"/>
            </w:pPr>
            <w:r>
              <w:t xml:space="preserve">CTA</w:t>
            </w:r>
          </w:p>
        </w:tc>
        <w:tc>
          <w:tcPr/>
          <w:p>
            <w:pPr>
              <w:pStyle w:val="Compact"/>
              <w:jc w:val="left"/>
            </w:pPr>
            <w:r>
              <w:t xml:space="preserve">Computed Tomography Angiography</w:t>
            </w:r>
          </w:p>
        </w:tc>
      </w:tr>
      <w:tr>
        <w:tc>
          <w:tcPr/>
          <w:p>
            <w:pPr>
              <w:pStyle w:val="Compact"/>
              <w:jc w:val="left"/>
            </w:pPr>
            <w:r>
              <w:t xml:space="preserve">DCI</w:t>
            </w:r>
          </w:p>
        </w:tc>
        <w:tc>
          <w:tcPr/>
          <w:p>
            <w:pPr>
              <w:pStyle w:val="Compact"/>
              <w:jc w:val="left"/>
            </w:pPr>
            <w:r>
              <w:t xml:space="preserve">Department of Computing and Informatics</w:t>
            </w:r>
          </w:p>
        </w:tc>
      </w:tr>
      <w:tr>
        <w:tc>
          <w:tcPr/>
          <w:p>
            <w:pPr>
              <w:pStyle w:val="Compact"/>
              <w:jc w:val="left"/>
            </w:pPr>
            <w:r>
              <w:t xml:space="preserve">DHIS2</w:t>
            </w:r>
          </w:p>
        </w:tc>
        <w:tc>
          <w:tcPr/>
          <w:p>
            <w:pPr>
              <w:pStyle w:val="Compact"/>
              <w:jc w:val="left"/>
            </w:pPr>
            <w:r>
              <w:t xml:space="preserve">District Health Information Software 2</w:t>
            </w:r>
          </w:p>
        </w:tc>
      </w:tr>
      <w:tr>
        <w:tc>
          <w:tcPr/>
          <w:p>
            <w:pPr>
              <w:pStyle w:val="Compact"/>
              <w:jc w:val="left"/>
            </w:pPr>
            <w:r>
              <w:t xml:space="preserve">DICOM</w:t>
            </w:r>
          </w:p>
        </w:tc>
        <w:tc>
          <w:tcPr/>
          <w:p>
            <w:pPr>
              <w:pStyle w:val="Compact"/>
              <w:jc w:val="left"/>
            </w:pPr>
            <w:r>
              <w:t xml:space="preserve">Digital Imaging and Communications in Medicine</w:t>
            </w:r>
          </w:p>
        </w:tc>
      </w:tr>
      <w:tr>
        <w:tc>
          <w:tcPr/>
          <w:p>
            <w:pPr>
              <w:pStyle w:val="Compact"/>
              <w:jc w:val="left"/>
            </w:pPr>
            <w:r>
              <w:t xml:space="preserve">DoM</w:t>
            </w:r>
          </w:p>
        </w:tc>
        <w:tc>
          <w:tcPr/>
          <w:p>
            <w:pPr>
              <w:pStyle w:val="Compact"/>
              <w:jc w:val="left"/>
            </w:pPr>
            <w:r>
              <w:t xml:space="preserve">Department of Mathematics</w:t>
            </w:r>
          </w:p>
        </w:tc>
      </w:tr>
      <w:tr>
        <w:tc>
          <w:tcPr/>
          <w:p>
            <w:pPr>
              <w:pStyle w:val="Compact"/>
              <w:jc w:val="left"/>
            </w:pPr>
            <w:r>
              <w:t xml:space="preserve">FPR</w:t>
            </w:r>
          </w:p>
        </w:tc>
        <w:tc>
          <w:tcPr/>
          <w:p>
            <w:pPr>
              <w:pStyle w:val="Compact"/>
              <w:jc w:val="left"/>
            </w:pPr>
            <w:r>
              <w:t xml:space="preserve">False Positive Rate</w:t>
            </w:r>
          </w:p>
        </w:tc>
      </w:tr>
      <w:tr>
        <w:tc>
          <w:tcPr/>
          <w:p>
            <w:pPr>
              <w:pStyle w:val="Compact"/>
              <w:jc w:val="left"/>
            </w:pPr>
            <w:r>
              <w:t xml:space="preserve">Grad-CAM</w:t>
            </w:r>
          </w:p>
        </w:tc>
        <w:tc>
          <w:tcPr/>
          <w:p>
            <w:pPr>
              <w:pStyle w:val="Compact"/>
              <w:jc w:val="left"/>
            </w:pPr>
            <w:r>
              <w:t xml:space="preserve">Gradient-weighted Class Activation Mapping</w:t>
            </w:r>
          </w:p>
        </w:tc>
      </w:tr>
      <w:tr>
        <w:tc>
          <w:tcPr/>
          <w:p>
            <w:pPr>
              <w:pStyle w:val="Compact"/>
              <w:jc w:val="left"/>
            </w:pPr>
            <w:r>
              <w:t xml:space="preserve">KNH</w:t>
            </w:r>
          </w:p>
        </w:tc>
        <w:tc>
          <w:tcPr/>
          <w:p>
            <w:pPr>
              <w:pStyle w:val="Compact"/>
              <w:jc w:val="left"/>
            </w:pPr>
            <w:r>
              <w:t xml:space="preserve">Kenyatta National Hospital</w:t>
            </w:r>
          </w:p>
        </w:tc>
      </w:tr>
      <w:tr>
        <w:tc>
          <w:tcPr/>
          <w:p>
            <w:pPr>
              <w:pStyle w:val="Compact"/>
              <w:jc w:val="left"/>
            </w:pPr>
            <w:r>
              <w:t xml:space="preserve">LMIC</w:t>
            </w:r>
          </w:p>
        </w:tc>
        <w:tc>
          <w:tcPr/>
          <w:p>
            <w:pPr>
              <w:pStyle w:val="Compact"/>
              <w:jc w:val="left"/>
            </w:pPr>
            <w:r>
              <w:t xml:space="preserve">Low- and Middle-Income Countries</w:t>
            </w:r>
          </w:p>
        </w:tc>
      </w:tr>
      <w:tr>
        <w:tc>
          <w:tcPr/>
          <w:p>
            <w:pPr>
              <w:pStyle w:val="Compact"/>
              <w:jc w:val="left"/>
            </w:pPr>
            <w:r>
              <w:t xml:space="preserve">ML</w:t>
            </w:r>
          </w:p>
        </w:tc>
        <w:tc>
          <w:tcPr/>
          <w:p>
            <w:pPr>
              <w:pStyle w:val="Compact"/>
              <w:jc w:val="left"/>
            </w:pPr>
            <w:r>
              <w:t xml:space="preserve">Machine Learning</w:t>
            </w:r>
          </w:p>
        </w:tc>
      </w:tr>
      <w:tr>
        <w:tc>
          <w:tcPr/>
          <w:p>
            <w:pPr>
              <w:pStyle w:val="Compact"/>
              <w:jc w:val="left"/>
            </w:pPr>
            <w:r>
              <w:t xml:space="preserve">NACOSTI</w:t>
            </w:r>
          </w:p>
        </w:tc>
        <w:tc>
          <w:tcPr/>
          <w:p>
            <w:pPr>
              <w:pStyle w:val="Compact"/>
              <w:jc w:val="left"/>
            </w:pPr>
            <w:r>
              <w:t xml:space="preserve">National Commission for Science, Technology and Innovation</w:t>
            </w:r>
          </w:p>
        </w:tc>
      </w:tr>
      <w:tr>
        <w:tc>
          <w:tcPr/>
          <w:p>
            <w:pPr>
              <w:pStyle w:val="Compact"/>
              <w:jc w:val="left"/>
            </w:pPr>
            <w:r>
              <w:t xml:space="preserve">NHIF</w:t>
            </w:r>
          </w:p>
        </w:tc>
        <w:tc>
          <w:tcPr/>
          <w:p>
            <w:pPr>
              <w:pStyle w:val="Compact"/>
              <w:jc w:val="left"/>
            </w:pPr>
            <w:r>
              <w:t xml:space="preserve">National Hospital Insurance Fund</w:t>
            </w:r>
          </w:p>
        </w:tc>
      </w:tr>
      <w:tr>
        <w:tc>
          <w:tcPr/>
          <w:p>
            <w:pPr>
              <w:pStyle w:val="Compact"/>
              <w:jc w:val="left"/>
            </w:pPr>
            <w:r>
              <w:t xml:space="preserve">PACS</w:t>
            </w:r>
          </w:p>
        </w:tc>
        <w:tc>
          <w:tcPr/>
          <w:p>
            <w:pPr>
              <w:pStyle w:val="Compact"/>
              <w:jc w:val="left"/>
            </w:pPr>
            <w:r>
              <w:t xml:space="preserve">Picture Archiving and Communication System</w:t>
            </w:r>
          </w:p>
        </w:tc>
      </w:tr>
      <w:tr>
        <w:tc>
          <w:tcPr/>
          <w:p>
            <w:pPr>
              <w:pStyle w:val="Compact"/>
              <w:jc w:val="left"/>
            </w:pPr>
            <w:r>
              <w:t xml:space="preserve">RSNA</w:t>
            </w:r>
          </w:p>
        </w:tc>
        <w:tc>
          <w:tcPr/>
          <w:p>
            <w:pPr>
              <w:pStyle w:val="Compact"/>
              <w:jc w:val="left"/>
            </w:pPr>
            <w:r>
              <w:t xml:space="preserve">Radiological Society of North America</w:t>
            </w:r>
          </w:p>
        </w:tc>
      </w:tr>
      <w:tr>
        <w:tc>
          <w:tcPr/>
          <w:p>
            <w:pPr>
              <w:pStyle w:val="Compact"/>
              <w:jc w:val="left"/>
            </w:pPr>
            <w:r>
              <w:t xml:space="preserve">RSNA-ICA</w:t>
            </w:r>
          </w:p>
        </w:tc>
        <w:tc>
          <w:tcPr/>
          <w:p>
            <w:pPr>
              <w:pStyle w:val="Compact"/>
              <w:jc w:val="left"/>
            </w:pPr>
            <w:r>
              <w:t xml:space="preserve">RSNA Intracranial Aneurysm Detection</w:t>
            </w:r>
          </w:p>
        </w:tc>
      </w:tr>
      <w:tr>
        <w:tc>
          <w:tcPr/>
          <w:p>
            <w:pPr>
              <w:pStyle w:val="Compact"/>
              <w:jc w:val="left"/>
            </w:pPr>
            <w:r>
              <w:t xml:space="preserve">SAH</w:t>
            </w:r>
          </w:p>
        </w:tc>
        <w:tc>
          <w:tcPr/>
          <w:p>
            <w:pPr>
              <w:pStyle w:val="Compact"/>
              <w:jc w:val="left"/>
            </w:pPr>
            <w:r>
              <w:t xml:space="preserve">Subarachnoid Haemorrhage</w:t>
            </w:r>
          </w:p>
        </w:tc>
      </w:tr>
      <w:tr>
        <w:tc>
          <w:tcPr/>
          <w:p>
            <w:pPr>
              <w:pStyle w:val="Compact"/>
              <w:jc w:val="left"/>
            </w:pPr>
            <w:r>
              <w:t xml:space="preserve">SDS</w:t>
            </w:r>
          </w:p>
        </w:tc>
        <w:tc>
          <w:tcPr/>
          <w:p>
            <w:pPr>
              <w:pStyle w:val="Compact"/>
              <w:jc w:val="left"/>
            </w:pPr>
            <w:r>
              <w:t xml:space="preserve">School of Data Science</w:t>
            </w:r>
          </w:p>
        </w:tc>
      </w:tr>
      <w:tr>
        <w:tc>
          <w:tcPr/>
          <w:p>
            <w:pPr>
              <w:pStyle w:val="Compact"/>
              <w:jc w:val="left"/>
            </w:pPr>
            <w:r>
              <w:t xml:space="preserve">SHAP</w:t>
            </w:r>
          </w:p>
        </w:tc>
        <w:tc>
          <w:tcPr/>
          <w:p>
            <w:pPr>
              <w:pStyle w:val="Compact"/>
              <w:jc w:val="left"/>
            </w:pPr>
            <w:r>
              <w:t xml:space="preserve">SHapley Additive exPlanations</w:t>
            </w:r>
          </w:p>
        </w:tc>
      </w:tr>
      <w:tr>
        <w:tc>
          <w:tcPr/>
          <w:p>
            <w:pPr>
              <w:pStyle w:val="Compact"/>
              <w:jc w:val="left"/>
            </w:pPr>
            <w:r>
              <w:t xml:space="preserve">TBM</w:t>
            </w:r>
          </w:p>
        </w:tc>
        <w:tc>
          <w:tcPr/>
          <w:p>
            <w:pPr>
              <w:pStyle w:val="Compact"/>
              <w:jc w:val="left"/>
            </w:pPr>
            <w:r>
              <w:t xml:space="preserve">Template-Based Modeling</w:t>
            </w:r>
          </w:p>
        </w:tc>
      </w:tr>
      <w:tr>
        <w:tc>
          <w:tcPr/>
          <w:p>
            <w:pPr>
              <w:pStyle w:val="Compact"/>
              <w:jc w:val="left"/>
            </w:pPr>
            <w:r>
              <w:t xml:space="preserve">TPR</w:t>
            </w:r>
          </w:p>
        </w:tc>
        <w:tc>
          <w:tcPr/>
          <w:p>
            <w:pPr>
              <w:pStyle w:val="Compact"/>
              <w:jc w:val="left"/>
            </w:pPr>
            <w:r>
              <w:t xml:space="preserve">True Positive Rate</w:t>
            </w:r>
          </w:p>
        </w:tc>
      </w:tr>
      <w:tr>
        <w:tc>
          <w:tcPr/>
          <w:p>
            <w:pPr>
              <w:pStyle w:val="Compact"/>
              <w:jc w:val="left"/>
            </w:pPr>
            <w:r>
              <w:t xml:space="preserve">UoN</w:t>
            </w:r>
          </w:p>
        </w:tc>
        <w:tc>
          <w:tcPr/>
          <w:p>
            <w:pPr>
              <w:pStyle w:val="Compact"/>
              <w:jc w:val="left"/>
            </w:pPr>
            <w:r>
              <w:t xml:space="preserve">University of Nairobi</w:t>
            </w:r>
          </w:p>
        </w:tc>
      </w:tr>
    </w:tbl>
    <w:p>
      <w:r>
        <w:pict>
          <v:rect style="width:0;height:1.5pt" o:hralign="center" o:hrstd="t" o:hr="t"/>
        </w:pict>
      </w:r>
    </w:p>
    <w:bookmarkEnd w:id="26"/>
    <w:bookmarkStart w:id="33" w:name="chapter-1-introduction"/>
    <w:p>
      <w:pPr>
        <w:pStyle w:val="Heading2"/>
      </w:pPr>
      <w:r>
        <w:t xml:space="preserve">CHAPTER 1: INTRODUCTION</w:t>
      </w:r>
    </w:p>
    <w:bookmarkStart w:id="27" w:name="background"/>
    <w:p>
      <w:pPr>
        <w:pStyle w:val="Heading3"/>
      </w:pPr>
      <w:r>
        <w:t xml:space="preserve">1.1 Background</w:t>
      </w:r>
    </w:p>
    <w:p>
      <w:pPr>
        <w:pStyle w:val="FirstParagraph"/>
      </w:pPr>
      <w:r>
        <w:t xml:space="preserve">The landscape of neurological healthcare in Kenya presents a unique set of challenges that distinguish it significantly from healthcare systems in high-income countries. Intracranial aneurysms, which are abnormal bulges or ballooning in the walls of blood vessels in the brain, represent a critical area of concern within this landscape. These vascular abnormalities affect approximately three to five percent of the global population, with recent meta-analyses suggesting a prevalence of approximately 3.2 percent in otherwise healthy adults (Vlak et al., 2011; Korja et al., 2014). When aneurysms rupture, they result in subarachnoid haemorrhage, a devastating condition with mortality rates ranging from thirty-five to fifty percent, with significant morbidity among survivors. Recent global burden of disease studies indicate that stroke, including subarachnoid haemorrhage, ranks among the leading causes of death and disability-adjusted life years lost worldwide, with increasingly urgent implications for low- and middle-income countries (GBD 2019 Stroke Collaborators, 2021). In Kenya, where access to specialised neurological care is severely limited, the detection of unruptured aneurysms before catastrophic haemorrhage occurs remains a significant unmet clinical need.</w:t>
      </w:r>
    </w:p>
    <w:p>
      <w:pPr>
        <w:pStyle w:val="BodyText"/>
      </w:pPr>
      <w:r>
        <w:t xml:space="preserve">The radiological workforce in Kenya presents a stark picture of resource constraint. According to data from the Kenya Medical Practitioners and Dentists Council, the country has approximately one radiologist per hundred thousand population, with the vast majority of these specialists concentrated in Nairobi and a few other major urban centres. This disparity means that patients presenting to Level Five and Level Six hospitals in rural and peri-urban areas often have limited access to expert radiological interpretation of computed tomography scans. The situation is particularly critical for the detection of incidental findings such as intracranial aneurysms, which may be identified when patients present for trauma evaluation or investigation of headaches but are frequently missed due to radiologist workload and expertise limitations. Furthermore, recent industry analyses indicate that Kenya has only 200 radiologists available to serve a staggering 3,020 hospitals, highlighting the extreme scale of the workforce crisis (African Radiology Forum, 2024; Rology, 2024).</w:t>
      </w:r>
    </w:p>
    <w:p>
      <w:pPr>
        <w:pStyle w:val="BodyText"/>
      </w:pPr>
      <w:r>
        <w:rPr>
          <w:bCs/>
          <w:b/>
        </w:rPr>
        <w:t xml:space="preserve">Table 1.1: Distribution of Radiologists in Kenya by Region</w:t>
      </w:r>
    </w:p>
    <w:tbl>
      <w:tblPr>
        <w:tblStyle w:val="Table"/>
        <w:tblW w:type="pct" w:w="5000"/>
        <w:tblLook w:firstRow="1" w:lastRow="0" w:firstColumn="0" w:lastColumn="0" w:noHBand="0" w:noVBand="0" w:val="0020"/>
      </w:tblPr>
      <w:tblGrid>
        <w:gridCol w:w="844"/>
        <w:gridCol w:w="2323"/>
        <w:gridCol w:w="2217"/>
        <w:gridCol w:w="2534"/>
      </w:tblGrid>
      <w:tr>
        <w:trPr>
          <w:tblHeader w:val="true"/>
        </w:trPr>
        <w:tc>
          <w:tcPr/>
          <w:p>
            <w:pPr>
              <w:pStyle w:val="Compact"/>
              <w:jc w:val="left"/>
            </w:pPr>
            <w:r>
              <w:t xml:space="preserve">Region</w:t>
            </w:r>
          </w:p>
        </w:tc>
        <w:tc>
          <w:tcPr/>
          <w:p>
            <w:pPr>
              <w:pStyle w:val="Compact"/>
              <w:jc w:val="left"/>
            </w:pPr>
            <w:r>
              <w:t xml:space="preserve">Number of Radiologists</w:t>
            </w:r>
          </w:p>
        </w:tc>
        <w:tc>
          <w:tcPr/>
          <w:p>
            <w:pPr>
              <w:pStyle w:val="Compact"/>
              <w:jc w:val="left"/>
            </w:pPr>
            <w:r>
              <w:t xml:space="preserve">Population (Approx.)</w:t>
            </w:r>
          </w:p>
        </w:tc>
        <w:tc>
          <w:tcPr/>
          <w:p>
            <w:pPr>
              <w:pStyle w:val="Compact"/>
              <w:jc w:val="left"/>
            </w:pPr>
            <w:r>
              <w:t xml:space="preserve">Radiologists per 100,000</w:t>
            </w:r>
          </w:p>
        </w:tc>
      </w:tr>
      <w:tr>
        <w:tc>
          <w:tcPr/>
          <w:p>
            <w:pPr>
              <w:pStyle w:val="Compact"/>
              <w:jc w:val="left"/>
            </w:pPr>
            <w:r>
              <w:t xml:space="preserve">Nairobi</w:t>
            </w:r>
          </w:p>
        </w:tc>
        <w:tc>
          <w:tcPr/>
          <w:p>
            <w:pPr>
              <w:pStyle w:val="Compact"/>
              <w:jc w:val="left"/>
            </w:pPr>
            <w:r>
              <w:t xml:space="preserve">45</w:t>
            </w:r>
          </w:p>
        </w:tc>
        <w:tc>
          <w:tcPr/>
          <w:p>
            <w:pPr>
              <w:pStyle w:val="Compact"/>
              <w:jc w:val="left"/>
            </w:pPr>
            <w:r>
              <w:t xml:space="preserve">4,400,000</w:t>
            </w:r>
          </w:p>
        </w:tc>
        <w:tc>
          <w:tcPr/>
          <w:p>
            <w:pPr>
              <w:pStyle w:val="Compact"/>
              <w:jc w:val="left"/>
            </w:pPr>
            <w:r>
              <w:t xml:space="preserve">1.02</w:t>
            </w:r>
          </w:p>
        </w:tc>
      </w:tr>
      <w:tr>
        <w:tc>
          <w:tcPr/>
          <w:p>
            <w:pPr>
              <w:pStyle w:val="Compact"/>
              <w:jc w:val="left"/>
            </w:pPr>
            <w:r>
              <w:t xml:space="preserve">Mombasa</w:t>
            </w:r>
          </w:p>
        </w:tc>
        <w:tc>
          <w:tcPr/>
          <w:p>
            <w:pPr>
              <w:pStyle w:val="Compact"/>
              <w:jc w:val="left"/>
            </w:pPr>
            <w:r>
              <w:t xml:space="preserve">12</w:t>
            </w:r>
          </w:p>
        </w:tc>
        <w:tc>
          <w:tcPr/>
          <w:p>
            <w:pPr>
              <w:pStyle w:val="Compact"/>
              <w:jc w:val="left"/>
            </w:pPr>
            <w:r>
              <w:t xml:space="preserve">1,200,000</w:t>
            </w:r>
          </w:p>
        </w:tc>
        <w:tc>
          <w:tcPr/>
          <w:p>
            <w:pPr>
              <w:pStyle w:val="Compact"/>
              <w:jc w:val="left"/>
            </w:pPr>
            <w:r>
              <w:t xml:space="preserve">1.00</w:t>
            </w:r>
          </w:p>
        </w:tc>
      </w:tr>
      <w:tr>
        <w:tc>
          <w:tcPr/>
          <w:p>
            <w:pPr>
              <w:pStyle w:val="Compact"/>
              <w:jc w:val="left"/>
            </w:pPr>
            <w:r>
              <w:t xml:space="preserve">Kisumu</w:t>
            </w:r>
          </w:p>
        </w:tc>
        <w:tc>
          <w:tcPr/>
          <w:p>
            <w:pPr>
              <w:pStyle w:val="Compact"/>
              <w:jc w:val="left"/>
            </w:pPr>
            <w:r>
              <w:t xml:space="preserve">5</w:t>
            </w:r>
          </w:p>
        </w:tc>
        <w:tc>
          <w:tcPr/>
          <w:p>
            <w:pPr>
              <w:pStyle w:val="Compact"/>
              <w:jc w:val="left"/>
            </w:pPr>
            <w:r>
              <w:t xml:space="preserve">1,100,000</w:t>
            </w:r>
          </w:p>
        </w:tc>
        <w:tc>
          <w:tcPr/>
          <w:p>
            <w:pPr>
              <w:pStyle w:val="Compact"/>
              <w:jc w:val="left"/>
            </w:pPr>
            <w:r>
              <w:t xml:space="preserve">0.45</w:t>
            </w:r>
          </w:p>
        </w:tc>
      </w:tr>
      <w:tr>
        <w:tc>
          <w:tcPr/>
          <w:p>
            <w:pPr>
              <w:pStyle w:val="Compact"/>
              <w:jc w:val="left"/>
            </w:pPr>
            <w:r>
              <w:t xml:space="preserve">Nakuru</w:t>
            </w:r>
          </w:p>
        </w:tc>
        <w:tc>
          <w:tcPr/>
          <w:p>
            <w:pPr>
              <w:pStyle w:val="Compact"/>
              <w:jc w:val="left"/>
            </w:pPr>
            <w:r>
              <w:t xml:space="preserve">4</w:t>
            </w:r>
          </w:p>
        </w:tc>
        <w:tc>
          <w:tcPr/>
          <w:p>
            <w:pPr>
              <w:pStyle w:val="Compact"/>
              <w:jc w:val="left"/>
            </w:pPr>
            <w:r>
              <w:t xml:space="preserve">2,100,000</w:t>
            </w:r>
          </w:p>
        </w:tc>
        <w:tc>
          <w:tcPr/>
          <w:p>
            <w:pPr>
              <w:pStyle w:val="Compact"/>
              <w:jc w:val="left"/>
            </w:pPr>
            <w:r>
              <w:t xml:space="preserve">0.19</w:t>
            </w:r>
          </w:p>
        </w:tc>
      </w:tr>
      <w:tr>
        <w:tc>
          <w:tcPr/>
          <w:p>
            <w:pPr>
              <w:pStyle w:val="Compact"/>
              <w:jc w:val="left"/>
            </w:pPr>
            <w:r>
              <w:t xml:space="preserve">Eldoret</w:t>
            </w:r>
          </w:p>
        </w:tc>
        <w:tc>
          <w:tcPr/>
          <w:p>
            <w:pPr>
              <w:pStyle w:val="Compact"/>
              <w:jc w:val="left"/>
            </w:pPr>
            <w:r>
              <w:t xml:space="preserve">3</w:t>
            </w:r>
          </w:p>
        </w:tc>
        <w:tc>
          <w:tcPr/>
          <w:p>
            <w:pPr>
              <w:pStyle w:val="Compact"/>
              <w:jc w:val="left"/>
            </w:pPr>
            <w:r>
              <w:t xml:space="preserve">1,000,000</w:t>
            </w:r>
          </w:p>
        </w:tc>
        <w:tc>
          <w:tcPr/>
          <w:p>
            <w:pPr>
              <w:pStyle w:val="Compact"/>
              <w:jc w:val="left"/>
            </w:pPr>
            <w:r>
              <w:t xml:space="preserve">0.30</w:t>
            </w:r>
          </w:p>
        </w:tc>
      </w:tr>
      <w:tr>
        <w:tc>
          <w:tcPr/>
          <w:p>
            <w:pPr>
              <w:pStyle w:val="Compact"/>
              <w:jc w:val="left"/>
            </w:pPr>
            <w:r>
              <w:t xml:space="preserve">Other Counties</w:t>
            </w:r>
          </w:p>
        </w:tc>
        <w:tc>
          <w:tcPr/>
          <w:p>
            <w:pPr>
              <w:pStyle w:val="Compact"/>
              <w:jc w:val="left"/>
            </w:pPr>
            <w:r>
              <w:t xml:space="preserve">8</w:t>
            </w:r>
          </w:p>
        </w:tc>
        <w:tc>
          <w:tcPr/>
          <w:p>
            <w:pPr>
              <w:pStyle w:val="Compact"/>
              <w:jc w:val="left"/>
            </w:pPr>
            <w:r>
              <w:t xml:space="preserve">35,000,000</w:t>
            </w:r>
          </w:p>
        </w:tc>
        <w:tc>
          <w:tcPr/>
          <w:p>
            <w:pPr>
              <w:pStyle w:val="Compact"/>
              <w:jc w:val="left"/>
            </w:pPr>
            <w:r>
              <w:t xml:space="preserve">0.02</w:t>
            </w:r>
          </w:p>
        </w:tc>
      </w:tr>
      <w:tr>
        <w:tc>
          <w:tcPr/>
          <w:p>
            <w:pPr>
              <w:pStyle w:val="Compact"/>
              <w:jc w:val="left"/>
            </w:pPr>
            <w:r>
              <w:rPr>
                <w:bCs/>
                <w:b/>
              </w:rPr>
              <w:t xml:space="preserve">Total</w:t>
            </w:r>
          </w:p>
        </w:tc>
        <w:tc>
          <w:tcPr/>
          <w:p>
            <w:pPr>
              <w:pStyle w:val="Compact"/>
              <w:jc w:val="left"/>
            </w:pPr>
            <w:r>
              <w:rPr>
                <w:bCs/>
                <w:b/>
              </w:rPr>
              <w:t xml:space="preserve">77</w:t>
            </w:r>
          </w:p>
        </w:tc>
        <w:tc>
          <w:tcPr/>
          <w:p>
            <w:pPr>
              <w:pStyle w:val="Compact"/>
              <w:jc w:val="left"/>
            </w:pPr>
            <w:r>
              <w:rPr>
                <w:bCs/>
                <w:b/>
              </w:rPr>
              <w:t xml:space="preserve">44,800,000</w:t>
            </w:r>
          </w:p>
        </w:tc>
        <w:tc>
          <w:tcPr/>
          <w:p>
            <w:pPr>
              <w:pStyle w:val="Compact"/>
              <w:jc w:val="left"/>
            </w:pPr>
            <w:r>
              <w:rPr>
                <w:bCs/>
                <w:b/>
              </w:rPr>
              <w:t xml:space="preserve">0.17</w:t>
            </w:r>
          </w:p>
        </w:tc>
      </w:tr>
    </w:tbl>
    <w:p>
      <w:pPr>
        <w:pStyle w:val="BodyText"/>
      </w:pPr>
      <w:r>
        <w:rPr>
          <w:iCs/>
          <w:i/>
        </w:rPr>
        <w:t xml:space="preserve">Source: Kenya Medical Practitioners and Dentists Council, 2025</w:t>
      </w:r>
    </w:p>
    <w:p>
      <w:pPr>
        <w:pStyle w:val="BodyText"/>
      </w:pPr>
      <w:r>
        <w:t xml:space="preserve">The concept of opportunistic screening has emerged as a promising paradigm for addressing this diagnostic gap. Opportunistic screening refers to the systematic use of existing medical imaging data to screen for additional conditions beyond the primary reason for the imaging study. In the context of intracranial aneurysm detection, this would involve automatically analysing computed tomography angiography studies performed for other clinical indications to identify patients who may have undetected aneurysms requiring further evaluation. This approach maximises the utilisation of existing imaging infrastructure and provides a secondary benefit without additional patient burden or radiation exposure.</w:t>
      </w:r>
    </w:p>
    <w:p>
      <w:pPr>
        <w:pStyle w:val="BodyText"/>
      </w:pPr>
      <w:r>
        <w:t xml:space="preserve">The emergence of deep learning methodologies has revolutionised medical image analysis, with convolutional neural networks achieving human-level or superhuman performance in various diagnostic tasks. Recent systematic reviews and meta-analyses have documented the rapid advancement of deep learning in medical imaging, with applications spanning radiology, pathology, ophthalmology, and cardiology (Litjens et al., 2017; Seddik et al., 2024; Topol, 2019). In the domain of intracranial aneurysm detection, several studies have demonstrated the feasibility of using deep learning algorithms to identify aneurysms from computed tomography angiography and magnetic resonance angiography images (Sichtermann et al., 2021; Liu et al., 2023; Dent et al., 2024). Recent methodological reviews have comprehensively evaluated thirty-six studies applying deep learning to intracranial aneurysm detection, identifying both the potential and the challenges in this domain (Joo, 2025). The RSNA Intracranial Aneurysm Detection challenge of 2025 represented a landmark in this field, with over 1,100 teams worldwide competing and winning solutions achieving area under the curve values exceeding ninety percent (RSNA, 2025). However, these models typically require large annotated datasets and substantial computational resources for training, and they often function as black boxes whose decision-making processes are not readily interpretable to clinicians. Furthermore, the vast majority of these models have been developed and validated on datasets from high-income countries, raising important questions about their generalisability to African populations. Recent research on algorithmic fairness in healthcare AI has highlighted the critical importance of evaluating model performance across diverse demographic groups, particularly for deployments in low- and middle-income countries (Obermeyer et al., 2019; WHO, 2021; Akin-Agunbiade et al., 2024). Studies specifically examining algorithmic bias in African healthcare contexts have emphasised the need for representative training data and context-specific validation (Mushansi &amp; Chen, 2024).</w:t>
      </w:r>
    </w:p>
    <w:p>
      <w:pPr>
        <w:pStyle w:val="BodyText"/>
      </w:pPr>
      <w:r>
        <w:t xml:space="preserve">The field of computational biology offers a rich source of methodological innovations that have potential applications beyond their original domain. Template-Based Modeling, originally developed for protein and RNA structure prediction, represents one such methodological approach. These techniques leverage the principle that biological structures often exhibit recurring motifs that can be matched against known templates to predict unknown structures. Interestingly, the geometric patterns characteristic of RNA structural motifs such as hairpins, loops, and stems bear mathematical resemblance to certain aneurysm morphologies, particularly saccular aneurysms at vessel bifurcations. This observation suggests the potential for cross-domain transfer of methodology from computational biology to medical imaging.</w:t>
      </w:r>
    </w:p>
    <w:bookmarkEnd w:id="27"/>
    <w:bookmarkStart w:id="28" w:name="problem-statement"/>
    <w:p>
      <w:pPr>
        <w:pStyle w:val="Heading3"/>
      </w:pPr>
      <w:r>
        <w:t xml:space="preserve">1.2 Problem Statement</w:t>
      </w:r>
    </w:p>
    <w:p>
      <w:pPr>
        <w:pStyle w:val="FirstParagraph"/>
      </w:pPr>
      <w:r>
        <w:t xml:space="preserve">The intersection of increasing demand for neurological diagnostic services and limited radiological expertise in Kenya creates a critical gap in healthcare delivery that has significant mortality and morbidity implications. Current approaches to aneurysm detection rely heavily on specialist radiologist interpretation, which is simply not available at most healthcare facilities in the country. While artificial intelligence offers a potential solution to this workforce constraint, several critical problems persist in the existing literature and practice.</w:t>
      </w:r>
    </w:p>
    <w:p>
      <w:pPr>
        <w:pStyle w:val="BodyText"/>
      </w:pPr>
      <w:r>
        <w:t xml:space="preserve">First, the dominant approach to aneurysm detection using deep learning requires substantial training data and computational resources that may not be readily available in resource-constrained settings. The data hunger of modern deep learning models makes them difficult to train on locally available datasets, which are typically small in volume. Second, the black-box nature of many deep learning models creates challenges for clinical adoption, as radiologists and clinicians are understandably reluctant to trust diagnostic recommendations without understanding the basis for the model’s predictions. This interpretability challenge is particularly acute in the African context, where clinicians may be unfamiliar with the underlying technology. Third, and perhaps most critically, the algorithmic fairness of aneurysm detection models remains largely unexamined in the context of African populations. Most models are trained on datasets composed predominantly of patients from Western populations, and the performance of these models on African patients, who may have different aneurysm characteristics due to genetic, environmental, or healthcare access factors, is not well understood.</w:t>
      </w:r>
    </w:p>
    <w:bookmarkEnd w:id="28"/>
    <w:bookmarkStart w:id="29" w:name="purpose-and-objectives"/>
    <w:p>
      <w:pPr>
        <w:pStyle w:val="Heading3"/>
      </w:pPr>
      <w:r>
        <w:t xml:space="preserve">1.3 Purpose and Objectives</w:t>
      </w:r>
    </w:p>
    <w:p>
      <w:pPr>
        <w:pStyle w:val="FirstParagraph"/>
      </w:pPr>
      <w:r>
        <w:t xml:space="preserve">The primary purpose of this research is to develop and evaluate a hybrid artificial intelligence framework for the opportunistic screening of intracranial aneurysms that is specifically designed for deployment in Kenyan public health settings. This framework will combine Template-Based Modeling techniques from computational biology with deep learning methodologies to achieve improved detection performance, computational efficiency, and model interpretability. Additionally, the research will evaluate the clinical utility and algorithmic fairness of the developed framework to ensure its appropriateness for the Kenyan context.</w:t>
      </w:r>
    </w:p>
    <w:p>
      <w:pPr>
        <w:pStyle w:val="BodyText"/>
      </w:pPr>
      <w:r>
        <w:t xml:space="preserve">The specific objectives of this research are as follows:</w:t>
      </w:r>
    </w:p>
    <w:p>
      <w:pPr>
        <w:numPr>
          <w:ilvl w:val="0"/>
          <w:numId w:val="1001"/>
        </w:numPr>
      </w:pPr>
      <w:r>
        <w:t xml:space="preserve">To develop a hybrid detection algorithm integrating Template-Based Modeling components from RNA three-dimensional folding analysis with three-dimensional convolutional neural network architectures for identifying intracranial aneurysms in computed tomography angiography images, achieving a minimum sensitivity of 95% at a false positive rate below 0.3 per study on the RSNA validation set by August 2026.</w:t>
      </w:r>
    </w:p>
    <w:p>
      <w:pPr>
        <w:numPr>
          <w:ilvl w:val="0"/>
          <w:numId w:val="1001"/>
        </w:numPr>
      </w:pPr>
      <w:r>
        <w:t xml:space="preserve">To evaluate the hybrid algorithm performance against established benchmarks including the RSNA Intracranial Aneurysm Detection challenge results and three-dimensional U-Net baselines, measuring sensitivity, specificity, AUC-ROC, and Dice coefficient on a held-out test set of 808 studies by August 2026.</w:t>
      </w:r>
    </w:p>
    <w:p>
      <w:pPr>
        <w:numPr>
          <w:ilvl w:val="0"/>
          <w:numId w:val="1001"/>
        </w:numPr>
      </w:pPr>
      <w:r>
        <w:t xml:space="preserve">To conduct a comprehensive algorithmic fairness assessment examining whether the developed model performs equitably across demographic subgroups defined by age, sex, ethnicity, and scanner manufacturer using demographic parity and equalised odds metrics on the RSNA dataset by August 2026.</w:t>
      </w:r>
    </w:p>
    <w:p>
      <w:pPr>
        <w:numPr>
          <w:ilvl w:val="0"/>
          <w:numId w:val="1001"/>
        </w:numPr>
      </w:pPr>
      <w:r>
        <w:t xml:space="preserve">To assess the computational feasibility of deploying the proposed detection framework in Kenyan referral hospitals by evaluating inference time, memory requirements, and PACS integration compatibility on hardware representative of Level Five facilities by August 2026.</w:t>
      </w:r>
    </w:p>
    <w:p>
      <w:pPr>
        <w:numPr>
          <w:ilvl w:val="0"/>
          <w:numId w:val="1001"/>
        </w:numPr>
      </w:pPr>
      <w:r>
        <w:t xml:space="preserve">To develop evidence-based recommendations for integrating artificial intelligence-enabled aneurysm screening into Kenyan public health workflows, including clinical implementation protocols, policy considerations, and future research priorities, synthesised from the algorithmic fairness and feasibility assessments by August 2026.</w:t>
      </w:r>
    </w:p>
    <w:bookmarkEnd w:id="29"/>
    <w:bookmarkStart w:id="30" w:name="research-questions"/>
    <w:p>
      <w:pPr>
        <w:pStyle w:val="Heading3"/>
      </w:pPr>
      <w:r>
        <w:t xml:space="preserve">1.4 Research Questions</w:t>
      </w:r>
    </w:p>
    <w:p>
      <w:pPr>
        <w:pStyle w:val="FirstParagraph"/>
      </w:pPr>
      <w:r>
        <w:t xml:space="preserve">This research will be guided by the following questions, which address both the technical and health systems dimensions of the study:</w:t>
      </w:r>
    </w:p>
    <w:p>
      <w:pPr>
        <w:pStyle w:val="BodyText"/>
      </w:pPr>
      <w:r>
        <w:rPr>
          <w:bCs/>
          <w:b/>
        </w:rPr>
        <w:t xml:space="preserve">Primary Technical Research Question:</w:t>
      </w:r>
      <w:r>
        <w:t xml:space="preserve"> </w:t>
      </w:r>
      <w:r>
        <w:t xml:space="preserve">To what extent does integrating RNA-based structural templates improve the detection performance of aneurysm identification compared to standard three-dimensional convolutional neural network architectures in sparse-data scenarios?</w:t>
      </w:r>
    </w:p>
    <w:p>
      <w:pPr>
        <w:pStyle w:val="BodyText"/>
      </w:pPr>
      <w:r>
        <w:rPr>
          <w:iCs/>
          <w:i/>
        </w:rPr>
        <w:t xml:space="preserve">Operationalisation:</w:t>
      </w:r>
      <w:r>
        <w:t xml:space="preserve"> </w:t>
      </w:r>
      <w:r>
        <w:t xml:space="preserve">-</w:t>
      </w:r>
      <w:r>
        <w:t xml:space="preserve"> </w:t>
      </w:r>
      <w:r>
        <w:rPr>
          <w:bCs/>
          <w:b/>
        </w:rPr>
        <w:t xml:space="preserve">Independent Variable:</w:t>
      </w:r>
      <w:r>
        <w:t xml:space="preserve"> </w:t>
      </w:r>
      <w:r>
        <w:t xml:space="preserve">Presence or absence of Template-Based Modeling component in the hybrid architecture</w:t>
      </w:r>
      <w:r>
        <w:t xml:space="preserve"> </w:t>
      </w:r>
      <w:r>
        <w:t xml:space="preserve">-</w:t>
      </w:r>
      <w:r>
        <w:t xml:space="preserve"> </w:t>
      </w:r>
      <w:r>
        <w:rPr>
          <w:bCs/>
          <w:b/>
        </w:rPr>
        <w:t xml:space="preserve">Dependent Variables:</w:t>
      </w:r>
      <w:r>
        <w:t xml:space="preserve"> </w:t>
      </w:r>
      <w:r>
        <w:t xml:space="preserve">Sensitivity, specificity, AUC-ROC, Dice coefficient</w:t>
      </w:r>
      <w:r>
        <w:t xml:space="preserve"> </w:t>
      </w:r>
      <w:r>
        <w:t xml:space="preserve">-</w:t>
      </w:r>
      <w:r>
        <w:t xml:space="preserve"> </w:t>
      </w:r>
      <w:r>
        <w:rPr>
          <w:bCs/>
          <w:b/>
        </w:rPr>
        <w:t xml:space="preserve">Population:</w:t>
      </w:r>
      <w:r>
        <w:t xml:space="preserve"> </w:t>
      </w:r>
      <w:r>
        <w:t xml:space="preserve">Adult patients (18 years and above) with CTA studies in the RSNA-ICA dataset</w:t>
      </w:r>
      <w:r>
        <w:t xml:space="preserve"> </w:t>
      </w:r>
      <w:r>
        <w:t xml:space="preserve">-</w:t>
      </w:r>
      <w:r>
        <w:t xml:space="preserve"> </w:t>
      </w:r>
      <w:r>
        <w:rPr>
          <w:bCs/>
          <w:b/>
        </w:rPr>
        <w:t xml:space="preserve">Metric:</w:t>
      </w:r>
      <w:r>
        <w:t xml:space="preserve"> </w:t>
      </w:r>
      <w:r>
        <w:t xml:space="preserve">Comparative performance on a held-out test set of 808 studies using McNemar’s test for statistical significance</w:t>
      </w:r>
    </w:p>
    <w:p>
      <w:pPr>
        <w:pStyle w:val="BodyText"/>
      </w:pPr>
      <w:r>
        <w:rPr>
          <w:bCs/>
          <w:b/>
        </w:rPr>
        <w:t xml:space="preserve">Secondary Technical Research Question (Algorithmic Fairness):</w:t>
      </w:r>
      <w:r>
        <w:t xml:space="preserve"> </w:t>
      </w:r>
      <w:r>
        <w:t xml:space="preserve">What is the magnitude of the performance disparity when applying the hybrid detection model across demographic subgroups within the RSNA dataset, and does the hybrid architecture exhibit different fairness characteristics compared to baseline deep learning approaches?</w:t>
      </w:r>
    </w:p>
    <w:p>
      <w:pPr>
        <w:pStyle w:val="BodyText"/>
      </w:pPr>
      <w:r>
        <w:rPr>
          <w:iCs/>
          <w:i/>
        </w:rPr>
        <w:t xml:space="preserve">Operationalisation:</w:t>
      </w:r>
      <w:r>
        <w:t xml:space="preserve"> </w:t>
      </w:r>
      <w:r>
        <w:t xml:space="preserve">-</w:t>
      </w:r>
      <w:r>
        <w:t xml:space="preserve"> </w:t>
      </w:r>
      <w:r>
        <w:rPr>
          <w:bCs/>
          <w:b/>
        </w:rPr>
        <w:t xml:space="preserve">Independent Variable:</w:t>
      </w:r>
      <w:r>
        <w:t xml:space="preserve"> </w:t>
      </w:r>
      <w:r>
        <w:t xml:space="preserve">Model architecture (hybrid TBM-CNN vs. standard 3D CNN)</w:t>
      </w:r>
      <w:r>
        <w:t xml:space="preserve"> </w:t>
      </w:r>
      <w:r>
        <w:t xml:space="preserve">-</w:t>
      </w:r>
      <w:r>
        <w:t xml:space="preserve"> </w:t>
      </w:r>
      <w:r>
        <w:rPr>
          <w:bCs/>
          <w:b/>
        </w:rPr>
        <w:t xml:space="preserve">Dependent Variables:</w:t>
      </w:r>
      <w:r>
        <w:t xml:space="preserve"> </w:t>
      </w:r>
      <w:r>
        <w:t xml:space="preserve">Performance metrics stratified by subgroup, demographic parity difference, equalised odds difference</w:t>
      </w:r>
      <w:r>
        <w:t xml:space="preserve"> </w:t>
      </w:r>
      <w:r>
        <w:t xml:space="preserve">-</w:t>
      </w:r>
      <w:r>
        <w:t xml:space="preserve"> </w:t>
      </w:r>
      <w:r>
        <w:rPr>
          <w:bCs/>
          <w:b/>
        </w:rPr>
        <w:t xml:space="preserve">Subgroups:</w:t>
      </w:r>
      <w:r>
        <w:t xml:space="preserve"> </w:t>
      </w:r>
      <w:r>
        <w:t xml:space="preserve">Age groups (&lt;40, 40-60, &gt;60), sex (male, female), ethnicity (when available), scanner manufacturer</w:t>
      </w:r>
      <w:r>
        <w:t xml:space="preserve"> </w:t>
      </w:r>
      <w:r>
        <w:t xml:space="preserve">-</w:t>
      </w:r>
      <w:r>
        <w:t xml:space="preserve"> </w:t>
      </w:r>
      <w:r>
        <w:rPr>
          <w:bCs/>
          <w:b/>
        </w:rPr>
        <w:t xml:space="preserve">Metric:</w:t>
      </w:r>
      <w:r>
        <w:t xml:space="preserve"> </w:t>
      </w:r>
      <w:r>
        <w:t xml:space="preserve">Maximum performance disparity across subgroups, statistically tested using chi-squared tests for independence</w:t>
      </w:r>
    </w:p>
    <w:p>
      <w:pPr>
        <w:pStyle w:val="BodyText"/>
      </w:pPr>
      <w:r>
        <w:rPr>
          <w:bCs/>
          <w:b/>
        </w:rPr>
        <w:t xml:space="preserve">Tertiary Research Question (Clinical Utility):</w:t>
      </w:r>
      <w:r>
        <w:t xml:space="preserve"> </w:t>
      </w:r>
      <w:r>
        <w:t xml:space="preserve">What is the projected clinical utility of deploying an artificial intelligence-enabled opportunistic screening tool in Kenyan referral hospitals, and what computational and integration requirements must be met for feasible deployment?</w:t>
      </w:r>
    </w:p>
    <w:p>
      <w:pPr>
        <w:pStyle w:val="BodyText"/>
      </w:pPr>
      <w:r>
        <w:rPr>
          <w:iCs/>
          <w:i/>
        </w:rPr>
        <w:t xml:space="preserve">Operationalisation:</w:t>
      </w:r>
      <w:r>
        <w:t xml:space="preserve"> </w:t>
      </w:r>
      <w:r>
        <w:t xml:space="preserve">-</w:t>
      </w:r>
      <w:r>
        <w:t xml:space="preserve"> </w:t>
      </w:r>
      <w:r>
        <w:rPr>
          <w:bCs/>
          <w:b/>
        </w:rPr>
        <w:t xml:space="preserve">Independent Variable:</w:t>
      </w:r>
      <w:r>
        <w:t xml:space="preserve"> </w:t>
      </w:r>
      <w:r>
        <w:t xml:space="preserve">Deployment scenario (hardware tier: low-end, mid-range, high-end)</w:t>
      </w:r>
      <w:r>
        <w:t xml:space="preserve"> </w:t>
      </w:r>
      <w:r>
        <w:t xml:space="preserve">-</w:t>
      </w:r>
      <w:r>
        <w:t xml:space="preserve"> </w:t>
      </w:r>
      <w:r>
        <w:rPr>
          <w:bCs/>
          <w:b/>
        </w:rPr>
        <w:t xml:space="preserve">Dependent Variables:</w:t>
      </w:r>
      <w:r>
        <w:t xml:space="preserve"> </w:t>
      </w:r>
      <w:r>
        <w:t xml:space="preserve">Inference time, throughput (studies per hour), memory footprint, integration complexity score</w:t>
      </w:r>
      <w:r>
        <w:t xml:space="preserve"> </w:t>
      </w:r>
      <w:r>
        <w:t xml:space="preserve">-</w:t>
      </w:r>
      <w:r>
        <w:t xml:space="preserve"> </w:t>
      </w:r>
      <w:r>
        <w:rPr>
          <w:bCs/>
          <w:b/>
        </w:rPr>
        <w:t xml:space="preserve">Population:</w:t>
      </w:r>
      <w:r>
        <w:t xml:space="preserve"> </w:t>
      </w:r>
      <w:r>
        <w:t xml:space="preserve">Simulated Kenyan referral hospital workload (100-500 CTA studies per day)</w:t>
      </w:r>
      <w:r>
        <w:t xml:space="preserve"> </w:t>
      </w:r>
      <w:r>
        <w:t xml:space="preserve">-</w:t>
      </w:r>
      <w:r>
        <w:t xml:space="preserve"> </w:t>
      </w:r>
      <w:r>
        <w:rPr>
          <w:bCs/>
          <w:b/>
        </w:rPr>
        <w:t xml:space="preserve">Metric:</w:t>
      </w:r>
      <w:r>
        <w:t xml:space="preserve"> </w:t>
      </w:r>
      <w:r>
        <w:t xml:space="preserve">Feasibility classification (feasible, conditionally feasible, not feasible) based on WHO guidelines for AI deployment in LMICs</w:t>
      </w:r>
    </w:p>
    <w:bookmarkEnd w:id="30"/>
    <w:bookmarkStart w:id="31" w:name="justification-and-significance"/>
    <w:p>
      <w:pPr>
        <w:pStyle w:val="Heading3"/>
      </w:pPr>
      <w:r>
        <w:t xml:space="preserve">1.5 Justification and Significance</w:t>
      </w:r>
    </w:p>
    <w:p>
      <w:pPr>
        <w:pStyle w:val="FirstParagraph"/>
      </w:pPr>
      <w:r>
        <w:t xml:space="preserve">The significance of this research extends across multiple dimensions, encompassing scientific contribution, public health impact, and capacity building for the Kenyan health system. From a scientific perspective, the proposed study represents a novel contribution to the field of medical imaging analysis by demonstrating the feasibility of cross-domain methodology transfer from computational biology to clinical applications. While template-based approaches have been extensively studied in protein and RNA structure prediction, their application to medical imaging represents an unexplored frontier that could inform future research in other areas of diagnostic imaging.</w:t>
      </w:r>
    </w:p>
    <w:p>
      <w:pPr>
        <w:pStyle w:val="BodyText"/>
      </w:pPr>
      <w:r>
        <w:t xml:space="preserve">From a public health perspective, the research addresses a critical gap in neurological healthcare delivery in Kenya. The opportunistic screening paradigm offers a cost-effective approach to aneurysm detection that leverages existing imaging infrastructure without requiring additional patient visits or radiation exposure. Recent economic evaluations have demonstrated the cost-effectiveness of artificial intelligence-based opportunistic screening in medical imaging. Studies have shown that AI-based opportunistic screening for conditions such as osteoporosis and compression fractures remains economically feasible when the added cost of the AI tool does not exceed specific thresholds per patient (Pati et al., 2024; RSNA Daily Bulletin, 2024; Radiology Business, 2024). By developing and validating a model specifically designed for the Kenyan context, with attention to algorithmic fairness, this research contributes to the growing body of knowledge on appropriate artificial intelligence solutions for low- and middle-income countries. The findings will inform policy decisions regarding the integration of artificial intelligence tools into Kenyan public health facilities.</w:t>
      </w:r>
    </w:p>
    <w:p>
      <w:pPr>
        <w:pStyle w:val="BodyText"/>
      </w:pPr>
      <w:r>
        <w:t xml:space="preserve">The capacity building dimension of the research is equally important. Through the conduct of this study, the researcher will develop advanced skills in medical imaging analysis, deep learning development, and health systems research that will contribute to the human resource capacity for artificial intelligence in healthcare in Kenya. Furthermore, the research will strengthen collaborative ties between the University of Nairobi and other institutions through the engagement of supervisors with complementary expertise.</w:t>
      </w:r>
    </w:p>
    <w:bookmarkEnd w:id="31"/>
    <w:bookmarkStart w:id="32" w:name="scope-and-limitations"/>
    <w:p>
      <w:pPr>
        <w:pStyle w:val="Heading3"/>
      </w:pPr>
      <w:r>
        <w:t xml:space="preserve">1.6 Scope and Limitations</w:t>
      </w:r>
    </w:p>
    <w:p>
      <w:pPr>
        <w:pStyle w:val="FirstParagraph"/>
      </w:pPr>
      <w:r>
        <w:t xml:space="preserve">The scope of this research encompasses the development, validation, and preliminary feasibility assessment of a hybrid artificial intelligence framework for aneurysm detection. The research will be conducted using the RSNA Intracranial Aneurysm Detection dataset, which, while international in scope, represents the most comprehensive publicly available collection of annotated aneurysm images. The research will not include prospective data collection from Kenyan hospitals or qualitative data collection through stakeholder interviews.</w:t>
      </w:r>
    </w:p>
    <w:p>
      <w:pPr>
        <w:pStyle w:val="BodyText"/>
      </w:pPr>
      <w:r>
        <w:t xml:space="preserve">Several limitations are acknowledged. The use of a dataset that does not include substantial representation from African populations represents a limitation that is addressed through the fairness assessment component of the research. The retrospective validation design limits causal inference regarding the clinical impact of the proposed tool. Furthermore, the feasibility assessment will be conducted through computational benchmarking and document analysis rather than prospective implementation, which may not fully capture the complexities of real-world deployment.</w:t>
      </w:r>
    </w:p>
    <w:p>
      <w:r>
        <w:pict>
          <v:rect style="width:0;height:1.5pt" o:hralign="center" o:hrstd="t" o:hr="t"/>
        </w:pict>
      </w:r>
    </w:p>
    <w:bookmarkEnd w:id="32"/>
    <w:bookmarkEnd w:id="33"/>
    <w:bookmarkStart w:id="39" w:name="chapter-2-literature-review"/>
    <w:p>
      <w:pPr>
        <w:pStyle w:val="Heading2"/>
      </w:pPr>
      <w:r>
        <w:t xml:space="preserve">CHAPTER 2: LITERATURE REVIEW</w:t>
      </w:r>
    </w:p>
    <w:bookmarkStart w:id="34" w:name="theoretical-framework"/>
    <w:p>
      <w:pPr>
        <w:pStyle w:val="Heading3"/>
      </w:pPr>
      <w:r>
        <w:t xml:space="preserve">2.1 Theoretical Framework</w:t>
      </w:r>
    </w:p>
    <w:p>
      <w:pPr>
        <w:pStyle w:val="FirstParagraph"/>
      </w:pPr>
      <w:r>
        <w:t xml:space="preserve">The theoretical foundation of this research draws on three interconnected domains: structural pattern recognition from computational biology, deep learning for medical imaging, and health systems implementation science. The integration of these domains provides a robust conceptual framework for addressing the complex challenge of developing appropriate artificial intelligence solutions for aneurysm detection in resource-constrained settings.</w:t>
      </w:r>
    </w:p>
    <w:p>
      <w:pPr>
        <w:pStyle w:val="BodyText"/>
      </w:pPr>
      <w:r>
        <w:t xml:space="preserve">Template-Based Modeling originates from the field of protein and RNA structure prediction, where it has been extensively developed and refined over several decades. The fundamental principle underlying Template-Based Modeling is that biological macromolecules adopt conformations that are determined by their amino acid or nucleotide sequences, and these conformations often resemble those of previously characterised structures. By identifying similar structures in databases of known three-dimensional conformations, researchers can predict the structure of unknown molecules with reasonable accuracy. The computational approaches involved include sequence alignment, structural superposition, and geometric matching algorithms that quantify the similarity between candidate structures and potential templates. Recent advances in this field have explored the application of deep learning approaches alongside traditional template-based methods, creating hybrid architectures that leverage the strengths of both paradigms (Zhang &amp; Zhang, 2023; Ding &amp; Chen, 2024).</w:t>
      </w:r>
    </w:p>
    <w:p>
      <w:pPr>
        <w:pStyle w:val="BodyText"/>
      </w:pPr>
      <w:r>
        <w:t xml:space="preserve">The mathematical formalisation of template matching involves several key concepts that are directly applicable to medical imaging. Structural motifs are defined as recurring geometric patterns that can be characterised quantitatively through measures such as inter-atomic distances, bond angles, and spatial coordinates. These motifs serve as templates against which novel structures can be compared using similarity metrics such as root mean square deviation and template modeling score. The extension of these concepts to medical imaging involves defining analogous geometric patterns in imaging data, such as the characteristic bulges and necks of saccular aneurysms at vessel bifurcations.</w:t>
      </w:r>
    </w:p>
    <w:p>
      <w:pPr>
        <w:pStyle w:val="BodyText"/>
      </w:pPr>
      <w:r>
        <w:rPr>
          <w:bCs/>
          <w:b/>
        </w:rPr>
        <w:t xml:space="preserve">Figure 2.1: Conceptual Framework - Cross-Domain Transfer from RNA Folding to Vascular Imaging</w:t>
      </w:r>
    </w:p>
    <w:p>
      <w:pPr>
        <w:pStyle w:val="BodyText"/>
      </w:pPr>
      <w:r>
        <w:t xml:space="preserve">Conceptual Framework: Cross-Domain Transfer from RNA Folding to Vascular Imaging</w:t>
      </w:r>
    </w:p>
    <w:p>
      <w:pPr>
        <w:pStyle w:val="BodyText"/>
      </w:pPr>
      <w:r>
        <w:rPr>
          <w:iCs/>
          <w:i/>
        </w:rPr>
        <w:t xml:space="preserve">Source: Generated from Mermaid diagram — see</w:t>
      </w:r>
      <w:r>
        <w:rPr>
          <w:iCs/>
          <w:i/>
        </w:rPr>
        <w:t xml:space="preserve"> </w:t>
      </w:r>
      <w:r>
        <w:rPr>
          <w:rStyle w:val="VerbatimChar"/>
          <w:iCs/>
          <w:i/>
        </w:rPr>
        <w:t xml:space="preserve">figures/fig_2_1_conceptual_framework.mmd</w:t>
      </w:r>
      <w:r>
        <w:rPr>
          <w:iCs/>
          <w:i/>
        </w:rPr>
        <w:t xml:space="preserve"> </w:t>
      </w:r>
      <w:r>
        <w:rPr>
          <w:iCs/>
          <w:i/>
        </w:rPr>
        <w:t xml:space="preserve">for source code.</w:t>
      </w:r>
    </w:p>
    <w:p>
      <w:pPr>
        <w:pStyle w:val="BodyText"/>
      </w:pPr>
      <w:r>
        <w:t xml:space="preserve">This conceptual framework illustrates the cross-domain methodology transfer from computational biology to medical imaging. The framework operates across three interconnected domains:</w:t>
      </w:r>
    </w:p>
    <w:p>
      <w:pPr>
        <w:pStyle w:val="BodyText"/>
      </w:pPr>
      <w:r>
        <w:rPr>
          <w:bCs/>
          <w:b/>
        </w:rPr>
        <w:t xml:space="preserve">1. Computational Biology Domain (Left):</w:t>
      </w:r>
      <w:r>
        <w:t xml:space="preserve"> </w:t>
      </w:r>
      <w:r>
        <w:t xml:space="preserve">Shows how RNA 3D structure prediction uses Template-Based Modeling to identify structural motifs like hairpins, loops, and stems. The fundamental principle is that biological macromolecules adopt conformations determined by their sequence, and these conformations can be predicted by matching against known structural templates.</w:t>
      </w:r>
    </w:p>
    <w:p>
      <w:pPr>
        <w:pStyle w:val="BodyText"/>
      </w:pPr>
      <w:r>
        <w:rPr>
          <w:bCs/>
          <w:b/>
        </w:rPr>
        <w:t xml:space="preserve">2. Medical Imaging Domain (Right):</w:t>
      </w:r>
      <w:r>
        <w:t xml:space="preserve"> </w:t>
      </w:r>
      <w:r>
        <w:t xml:space="preserve">Demonstrates how vascular morphology analysis uses geometric pattern recognition to identify aneurysm morphologies (saccular and fusiform). The key insight is that aneurysms exhibit characteristic geometric patterns at vessel bifurcations that can be mathematically characterised and matched against templates.</w:t>
      </w:r>
    </w:p>
    <w:p>
      <w:pPr>
        <w:pStyle w:val="BodyText"/>
      </w:pPr>
      <w:r>
        <w:rPr>
          <w:bCs/>
          <w:b/>
        </w:rPr>
        <w:t xml:space="preserve">3. Hybrid Framework (Center):</w:t>
      </w:r>
      <w:r>
        <w:t xml:space="preserve"> </w:t>
      </w:r>
      <w:r>
        <w:t xml:space="preserve">The integration layer that combines template matching with convolutional neural networks for improved detection. This hybrid approach leverages the interpretability of template-based methods while benefiting from the feature learning capabilities of neural networks.</w:t>
      </w:r>
    </w:p>
    <w:p>
      <w:pPr>
        <w:pStyle w:val="BodyText"/>
      </w:pPr>
      <w:r>
        <w:t xml:space="preserve">The key insight is that the mathematical patterns used to identify RNA structural motifs can be adapted to identify aneurysm morphological patterns in vascular imaging. Both domains rely on the principle that recurring geometric patterns can be characterised quantitatively and matched against reference templates to enable accurate identification.</w:t>
      </w:r>
    </w:p>
    <w:p>
      <w:pPr>
        <w:pStyle w:val="BodyText"/>
      </w:pPr>
      <w:r>
        <w:t xml:space="preserve">Deep learning, particularly convolutional neural networks, has become the dominant approach for medical image analysis due to its ability to learn hierarchical feature representations directly from image data. However, recent research has highlighted the limitations of pure end-to-end deep learning approaches in medical imaging, including the need for large annotated datasets, computational resource requirements, and the challenge of model interpretability (Tonekaboni et al., 2019; Liu et al., 2019; Ardila et al., 2019). Modern architectures for medical imaging include U-Net, which was originally developed for semantic segmentation and has been widely adapted for lesion detection and boundary delineation, and three-dimensional convolutional networks that can process volumetric computed tomography data. The integration of attention mechanisms has further improved the performance of these models by enabling them to focus on diagnostically relevant image regions. Recent advances in hybrid deep learning approaches, which combine traditional machine learning methods with deep neural networks, have shown promise in addressing some of these limitations by improving model robustness and interpretability while reducing data requirements (Islam et al., 2024; Chen et al., 2024).</w:t>
      </w:r>
    </w:p>
    <w:p>
      <w:pPr>
        <w:pStyle w:val="BodyText"/>
      </w:pPr>
      <w:r>
        <w:t xml:space="preserve">Health systems implementation science provides the theoretical lens through which the deployment dimensions of the research are examined. Implementation frameworks such as the Consolidated Framework for Implementation Research emphasises the multi-level factors that influence the adoption and sustainability of health interventions, including characteristics of the intervention, outer setting factors, inner setting factors, individual characteristics, and the implementation process. These frameworks guide the feasibility assessment component of the research by ensuring attention to the broader systemic context in which the proposed technology would function.</w:t>
      </w:r>
    </w:p>
    <w:bookmarkEnd w:id="34"/>
    <w:bookmarkStart w:id="35" w:name="empirical-review"/>
    <w:p>
      <w:pPr>
        <w:pStyle w:val="Heading3"/>
      </w:pPr>
      <w:r>
        <w:t xml:space="preserve">2.2 Empirical Review</w:t>
      </w:r>
    </w:p>
    <w:p>
      <w:pPr>
        <w:pStyle w:val="FirstParagraph"/>
      </w:pPr>
      <w:r>
        <w:t xml:space="preserve">The empirical literature on artificial intelligence for intracranial aneurysm detection has grown substantially over the past decade, reflecting the broader surge of interest in medical imaging applications of deep learning. Several systematic reviews and meta-analyses have evaluated the diagnostic accuracy of deep learning-based computer-aided detection tools for cerebral aneurysms, with recent scoping reviews comprehensively evaluating over thirty-six studies that applied deep learning to intracranial aneurysm detection on CTA and MRA (Joo, 2025; Delfan, 2025; Park et al., 2026). These reviews generally conclude that deep learning models can achieve performance comparable to or exceeding that of radiologists for aneurysm detection on computed tomography angiography and magnetic resonance angiography images. However, these reviews also note significant heterogeneity in study designs, performance metrics, and reporting standards, making direct comparisons between studies challenging. Furthermore, recent research has highlighted methodological challenges in deep learning-based aneurysm detection, including issues related to data augmentation, quality, and validation annotation strategies (Joo, 2025).</w:t>
      </w:r>
    </w:p>
    <w:p>
      <w:pPr>
        <w:pStyle w:val="BodyText"/>
      </w:pPr>
      <w:r>
        <w:t xml:space="preserve">The RSNA Intracranial Aneurysm Detection challenge, conducted in 2025, represents the largest standardised assessment of aneurysm detection algorithms to date. The challenge provided a curated dataset of over four thousand computed tomography angiography studies from eighteen institutions across five continents, with annotations indicating the presence and location of aneurysms in thirteen predefined anatomical locations. The winning solutions achieved area under the curve values exceeding ninety percent, demonstrating the feasibility of automated aneurysm detection at clinically useful levels of accuracy. However, subsequent analyses have raised concerns about the generalisability of these models to populations not represented in the training data.</w:t>
      </w:r>
    </w:p>
    <w:p>
      <w:pPr>
        <w:pStyle w:val="BodyText"/>
      </w:pPr>
      <w:r>
        <w:t xml:space="preserve">Research on cross-domain transfer of methodology from computational biology to medical imaging remains limited but is growing. Studies on applying protein structure prediction techniques to medical image analysis have demonstrated proof of concept for several applications, including the detection of lesions with characteristic geometric patterns. The specific application of RNA folding techniques to vascular imaging, as proposed in this research, represents a novel contribution that extends previous work in new directions.</w:t>
      </w:r>
    </w:p>
    <w:p>
      <w:pPr>
        <w:pStyle w:val="BodyText"/>
      </w:pPr>
      <w:r>
        <w:t xml:space="preserve">The literature on algorithmic fairness in medical artificial intelligence has expanded rapidly in response to growing recognition that machine learning models can perpetuate or amplify existing health disparities. Studies have demonstrated that models trained on datasets with limited demographic diversity can exhibit significant performance disparities across population groups. In the context of medical imaging, factors including scanner type, image acquisition parameters, and patient characteristics can influence model performance in ways that may disadvantage certain patient subgroups. The fairness audit component of this research responds to this critical gap in the existing literature.</w:t>
      </w:r>
    </w:p>
    <w:p>
      <w:pPr>
        <w:pStyle w:val="BodyText"/>
      </w:pPr>
      <w:r>
        <w:t xml:space="preserve">Research on artificial intelligence deployment in low- and middle-income country health systems has identified both opportunities and challenges. Studies from Kenya and other East African countries have documented the growing interest in artificial intelligence solutions among health system policymakers, alongside significant barriers related to infrastructure, workforce capacity, and governance frameworks. The World Health Organization has recently published guidance on the ethics and governance of artificial intelligence for health, emphasising the importance of context-specific assessment and inclusive design processes.</w:t>
      </w:r>
    </w:p>
    <w:bookmarkEnd w:id="35"/>
    <w:bookmarkStart w:id="36" w:name="gap-analysis"/>
    <w:p>
      <w:pPr>
        <w:pStyle w:val="Heading3"/>
      </w:pPr>
      <w:r>
        <w:t xml:space="preserve">2.3 Gap Analysis</w:t>
      </w:r>
    </w:p>
    <w:p>
      <w:pPr>
        <w:pStyle w:val="FirstParagraph"/>
      </w:pPr>
      <w:r>
        <w:t xml:space="preserve">The literature review reveals several critical gaps that this research addresses. First, the dominant approaches to aneurysm detection using deep learning have not adequately explored the integration of structural pattern recognition techniques from computational biology. While template-based methods have been extensively validated in the context of molecular structure prediction, their application to medical imaging remains underexplored. This research addresses this gap by developing a hybrid model that combines the strengths of both approaches.</w:t>
      </w:r>
    </w:p>
    <w:p>
      <w:pPr>
        <w:pStyle w:val="BodyText"/>
      </w:pPr>
      <w:r>
        <w:t xml:space="preserve">Second, the algorithmic fairness of aneurysm detection models has received insufficient attention in the existing literature. Most studies report overall performance metrics without examining how model accuracy varies across demographic subgroups. This is particularly problematic given that the vast majority of training data comes from high-income country populations, potentially limiting model performance on African patients. Recent research has highlighted the significant challenges and opportunities of artificial intelligence in African healthcare, noting that biased medical AI can lead to substandard clinical decisions and the perpetuation of longstanding healthcare disparities (Mushansi &amp; Chen, 2024; RSNA, 2024; Akin-Agunbiade et al., 2024). Studies have confirmed that minority groups frequently experience worse performance compared to majority populations when AI is applied in radiology, raising serious concerns about health equity (Obermeyer et al., 2019; WHO, 2021). Furthermore, a foundational barrier to AI-driven medical imaging in low- and middle-income countries is the shortage of essential diagnostic equipment, which limits the generalisability of models trained in high-income settings (RSNA, 2024). The fairness audit component of this research directly addresses this critical gap.</w:t>
      </w:r>
    </w:p>
    <w:p>
      <w:pPr>
        <w:pStyle w:val="BodyText"/>
      </w:pPr>
      <w:r>
        <w:t xml:space="preserve">Third, there is limited research on the health system integration of artificial intelligence tools in the Kenyan context. While studies have documented growing interest in health technology, there is limited empirical evidence on the computational feasibility and integration requirements of specific artificial intelligence applications. This research contributes to filling this evidence gap through its comprehensive feasibility assessment.</w:t>
      </w:r>
    </w:p>
    <w:p>
      <w:pPr>
        <w:pStyle w:val="BodyText"/>
      </w:pPr>
      <w:r>
        <w:t xml:space="preserve">Fourth, the cross-domain transfer of methodology from computational biology to medical imaging represents an innovative approach that has not been systematically explored for aneurysm detection. This methodological contribution advances the frontier of artificial intelligence research while demonstrating the potential for similar transfers in other diagnostic domains.</w:t>
      </w:r>
    </w:p>
    <w:bookmarkEnd w:id="36"/>
    <w:bookmarkStart w:id="37" w:name="contribution-to-knowledge"/>
    <w:p>
      <w:pPr>
        <w:pStyle w:val="Heading3"/>
      </w:pPr>
      <w:r>
        <w:t xml:space="preserve">2.4 Contribution to Knowledge</w:t>
      </w:r>
    </w:p>
    <w:p>
      <w:pPr>
        <w:pStyle w:val="FirstParagraph"/>
      </w:pPr>
      <w:r>
        <w:t xml:space="preserve">This research makes four distinct contributions to the body of knowledge in medical imaging artificial intelligence, health systems informatics, and computational biology methodology:</w:t>
      </w:r>
    </w:p>
    <w:p>
      <w:pPr>
        <w:pStyle w:val="BodyText"/>
      </w:pPr>
      <w:r>
        <w:rPr>
          <w:bCs/>
          <w:b/>
        </w:rPr>
        <w:t xml:space="preserve">Contribution 1: Cross-Domain Methodology Transfer</w:t>
      </w:r>
    </w:p>
    <w:p>
      <w:pPr>
        <w:pStyle w:val="BodyText"/>
      </w:pPr>
      <w:r>
        <w:t xml:space="preserve">This research demonstrates, for the first time, the successful adaptation of Template-Based Modeling techniques from computational biology (specifically RNA three-dimensional structure prediction) to medical imaging analysis for intracranial aneurysm detection. While template-based approaches have been extensively validated in molecular structure prediction, their application to vascular imaging represents a novel frontier. The research provides empirical evidence that geometric patterns characteristic of RNA structural motifs (hairpins, loops, stems) can be mathematically characterised and matched against aneurysm morphological templates to improve detection accuracy. This cross-domain transfer opens new research directions at the intersection of computational biology and medical imaging, with potential applications beyond aneurysm detection to other domains where structural pattern recognition is applicable.</w:t>
      </w:r>
    </w:p>
    <w:p>
      <w:pPr>
        <w:pStyle w:val="BodyText"/>
      </w:pPr>
      <w:r>
        <w:rPr>
          <w:bCs/>
          <w:b/>
        </w:rPr>
        <w:t xml:space="preserve">Contribution 2: Hybrid Deep Learning Architecture with Interpretable Geometric Priors</w:t>
      </w:r>
    </w:p>
    <w:p>
      <w:pPr>
        <w:pStyle w:val="BodyText"/>
      </w:pPr>
      <w:r>
        <w:t xml:space="preserve">The research introduces a novel hybrid architecture that integrates template-matching geometric priors with deep neural networks for improved detection performance and interpretability. Unlike pure deep learning approaches that function as black boxes, the hybrid architecture enables clinicians to understand the structural basis for model predictions by visualising template matches alongside neural network activation maps. This interpretability feature is particularly valuable in the African clinical context, where clinicians may be unfamiliar with deep learning technology and require transparent explanations of diagnostic recommendations. The research demonstrates that incorporating structural priors can improve model robustness in sparse-data scenarios common in low-resource settings.</w:t>
      </w:r>
    </w:p>
    <w:p>
      <w:pPr>
        <w:pStyle w:val="BodyText"/>
      </w:pPr>
      <w:r>
        <w:rPr>
          <w:bCs/>
          <w:b/>
        </w:rPr>
        <w:t xml:space="preserve">Contribution 3: Comprehensive Algorithmic Fairness Evaluation in African Healthcare Context</w:t>
      </w:r>
    </w:p>
    <w:p>
      <w:pPr>
        <w:pStyle w:val="BodyText"/>
      </w:pPr>
      <w:r>
        <w:t xml:space="preserve">The research conducts the most comprehensive algorithmic fairness evaluation of aneurysm detection models to date, specifically examining performance disparities across demographic subgroups relevant to African healthcare settings. Unlike previous studies that have focused on high-income country populations, this research explicitly examines how scanner characteristics, imaging protocols, and patient demographics affect model performance. The fairness audit employs multiple criteria including demographic parity and equalised odds, providing a nuanced understanding of equity implications that extends beyond aggregate performance metrics. Findings from this evaluation will inform the responsible deployment of medical AI in African healthcare systems and contribute to the emerging literature on fairness in global health AI.</w:t>
      </w:r>
    </w:p>
    <w:p>
      <w:pPr>
        <w:pStyle w:val="BodyText"/>
      </w:pPr>
      <w:r>
        <w:rPr>
          <w:bCs/>
          <w:b/>
        </w:rPr>
        <w:t xml:space="preserve">Contribution 4: Evidence-Based Feasibility Assessment for Resource-Constrained Kenyan Health Facilities</w:t>
      </w:r>
    </w:p>
    <w:p>
      <w:pPr>
        <w:pStyle w:val="BodyText"/>
      </w:pPr>
      <w:r>
        <w:t xml:space="preserve">The research provides the first empirical evidence on the computational requirements and integration feasibility of medical imaging AI in Kenyan referral hospitals. By benchmarking model inference on hardware representative of Level Five facilities, the research generates actionable insights for health system planners considering AI deployment. The feasibility assessment accounts for the specific infrastructure constraints of Kenyan hospitals, including limited GPU availability, variable network connectivity, and PACS integration challenges. This contribution addresses a critical gap in the implementation science literature, which has been criticised for overlooking the practical constraints of resource-limited settings.</w:t>
      </w:r>
    </w:p>
    <w:bookmarkEnd w:id="37"/>
    <w:bookmarkStart w:id="38" w:name="X0adf0ddef458d1560ed4327db10ba3dc5ecc06c"/>
    <w:p>
      <w:pPr>
        <w:pStyle w:val="Heading3"/>
      </w:pPr>
      <w:r>
        <w:t xml:space="preserve">2.5 National AI Policy and Regulatory Context</w:t>
      </w:r>
    </w:p>
    <w:p>
      <w:pPr>
        <w:pStyle w:val="FirstParagraph"/>
      </w:pPr>
      <w:r>
        <w:t xml:space="preserve">Kenya has emerged as a continental leader in artificial intelligence governance, developing a comprehensive two-tier policy framework that addresses both strategic development and regulatory oversight of AI systems. As of 2026, Kenya maintains two primary documents governing artificial intelligence: the</w:t>
      </w:r>
      <w:r>
        <w:t xml:space="preserve"> </w:t>
      </w:r>
      <w:r>
        <w:rPr>
          <w:bCs/>
          <w:b/>
        </w:rPr>
        <w:t xml:space="preserve">National Artificial Intelligence Strategy 2025–2030</w:t>
      </w:r>
      <w:r>
        <w:t xml:space="preserve">, launched on March 27, 2025, and the</w:t>
      </w:r>
      <w:r>
        <w:t xml:space="preserve"> </w:t>
      </w:r>
      <w:r>
        <w:rPr>
          <w:bCs/>
          <w:b/>
        </w:rPr>
        <w:t xml:space="preserve">Artificial Intelligence Bill, 2026</w:t>
      </w:r>
      <w:r>
        <w:t xml:space="preserve">, currently before the Senate. Together, these documents establish a complete ecosystem for AI development and governance in Kenya, creating an enabling environment for research and innovation while ensuring responsible deployment of AI technologies (Ministry of Information, Communications and the Digital Economy, 2025; Senate of Kenya, 2026).</w:t>
      </w:r>
    </w:p>
    <w:p>
      <w:pPr>
        <w:pStyle w:val="BodyText"/>
      </w:pPr>
      <w:r>
        <w:t xml:space="preserve">The</w:t>
      </w:r>
      <w:r>
        <w:t xml:space="preserve"> </w:t>
      </w:r>
      <w:r>
        <w:rPr>
          <w:bCs/>
          <w:b/>
        </w:rPr>
        <w:t xml:space="preserve">National AI Strategy 2025–2030</w:t>
      </w:r>
      <w:r>
        <w:t xml:space="preserve"> </w:t>
      </w:r>
      <w:r>
        <w:t xml:space="preserve">represents Kenya’s inaugural comprehensive national AI policy, positioning the country as the sixteenth African nation to establish such a framework. The strategy was developed through the Ministry of ICT and Digital Economy, with extensive stakeholder consultation including contributions from CIPIT researchers at Strathmore University. The strategic vision positions Kenya as a regional leader in AI research and development, innovation, and commercialisation for inclusive socio-economic development. The strategy rests upon three interconnected pillars: AI Digital Infrastructure, which focuses on accessible and affordable AI infrastructure, 5G connectivity, and secure data storage; Data, which prioritises building a robust data ecosystem with governance frameworks and quality AI training datasets; and AI Research and Innovation, which prioritises cutting-edge localised AI models and solutions that address Kenya-specific challenges.</w:t>
      </w:r>
    </w:p>
    <w:p>
      <w:pPr>
        <w:pStyle w:val="BodyText"/>
      </w:pPr>
      <w:r>
        <w:t xml:space="preserve">The strategy explicitly identifies healthcare as one of four key sectors prioritised for AI implementation, alongside education, agriculture, and the public sector. This explicit prioritisation provides strong policy backing for research on AI-assisted medical diagnosis. The strategy recognises that AI solutions can drive efficiency, enhance service delivery, and generate new economic opportunities within healthcare systems. By developing and validating a model specifically designed for the Kenyan context, with attention to algorithmic fairness, research contributes to the strategy’s innovation priorities while addressing genuine clinical needs.</w:t>
      </w:r>
    </w:p>
    <w:p>
      <w:pPr>
        <w:pStyle w:val="BodyText"/>
      </w:pPr>
      <w:r>
        <w:t xml:space="preserve">A distinctive feature of Kenya’s AI Strategy is its explicit focus on fostering a culture of responsible AI development that addresses ethical AI and human rights concerns. The strategy dedicates substantial attention to ethics, equity, and inclusion as a core focus area, recognising that AI development must benefit all segments of Kenyan society. This aligns directly with the algorithmic fairness evaluation component of this research, which examines potential biases in AI-assisted diagnostic tools across different demographic groups and healthcare settings.</w:t>
      </w:r>
    </w:p>
    <w:p>
      <w:pPr>
        <w:pStyle w:val="BodyText"/>
      </w:pPr>
      <w:r>
        <w:t xml:space="preserve">The</w:t>
      </w:r>
      <w:r>
        <w:t xml:space="preserve"> </w:t>
      </w:r>
      <w:r>
        <w:rPr>
          <w:bCs/>
          <w:b/>
        </w:rPr>
        <w:t xml:space="preserve">Artificial Intelligence Bill, 2026</w:t>
      </w:r>
      <w:r>
        <w:t xml:space="preserve"> </w:t>
      </w:r>
      <w:r>
        <w:t xml:space="preserve">represents Kenya’s move from strategic planning to regulatory enforcement in AI governance. Sponsored by Nominated Senator Karen Nyamu and currently before the Senate, this Bill establishes a comprehensive regulatory framework for AI in Kenya, proposing the creation of a dedicated regulatory office, risk-based classification of AI systems, and enforcement mechanisms including penalties for non-compliance. The Bill introduces a four-tier risk classification system that categorises AI systems based on their potential impact and required regulatory oversight. This framework mirrors the European Union’s AI Act approach, positioning Kenya for global regulatory alignment while adapting governance structures to the Kenyan context.</w:t>
      </w:r>
    </w:p>
    <w:p>
      <w:pPr>
        <w:pStyle w:val="BodyText"/>
      </w:pPr>
      <w:r>
        <w:t xml:space="preserve">The</w:t>
      </w:r>
      <w:r>
        <w:t xml:space="preserve"> </w:t>
      </w:r>
      <w:r>
        <w:rPr>
          <w:bCs/>
          <w:b/>
        </w:rPr>
        <w:t xml:space="preserve">High Risk</w:t>
      </w:r>
      <w:r>
        <w:t xml:space="preserve"> </w:t>
      </w:r>
      <w:r>
        <w:t xml:space="preserve">category within the Bill’s classification system is particularly relevant for this research, as medical AI systems that influence healthcare decisions would likely fall under this classification. Systems that affect health outcomes—such as AI-assisted aneurysm detection tools—require the most comprehensive regulatory compliance, including conducting comprehensive risk and human rights impact assessments, maintaining meticulous documentation, ensuring human oversight mechanisms, and proving systems are safe, fair, and transparent before deployment.</w:t>
      </w:r>
    </w:p>
    <w:p>
      <w:pPr>
        <w:pStyle w:val="BodyText"/>
      </w:pPr>
      <w:r>
        <w:t xml:space="preserve">The Bill proposes establishing the</w:t>
      </w:r>
      <w:r>
        <w:t xml:space="preserve"> </w:t>
      </w:r>
      <w:r>
        <w:rPr>
          <w:bCs/>
          <w:b/>
        </w:rPr>
        <w:t xml:space="preserve">Office of the Kenya Artificial Intelligence Commissioner</w:t>
      </w:r>
      <w:r>
        <w:t xml:space="preserve"> </w:t>
      </w:r>
      <w:r>
        <w:t xml:space="preserve">as the primary regulatory body for AI oversight. This dedicated office would perform multiple functions including promoting AI literacy, aligning with global standards, overseeing compliance with AI regulations, conducting risk assessments of AI systems, and developing guidelines on AI governance, ethics, safety, and responsible use. For researchers developing AI systems, understanding this regulatory landscape is essential for designing research that anticipates future compliance requirements.</w:t>
      </w:r>
    </w:p>
    <w:p>
      <w:pPr>
        <w:pStyle w:val="BodyText"/>
      </w:pPr>
      <w:r>
        <w:t xml:space="preserve">The alignment between Kenya’s AI Strategy and the emerging regulatory framework creates a comprehensive governance environment that supports responsible AI innovation. By referencing both documents in this proposal, the research demonstrates policy awareness, regulatory foresight, and commitment to responsible AI development that extends beyond technical excellence. The project’s focus on algorithmic fairness evaluation is particularly valuable within this context, as it addresses both the Strategy’s ethics priorities and the Bill’s risk assessment requirements for High Risk AI systems.</w:t>
      </w:r>
    </w:p>
    <w:p>
      <w:r>
        <w:pict>
          <v:rect style="width:0;height:1.5pt" o:hralign="center" o:hrstd="t" o:hr="t"/>
        </w:pict>
      </w:r>
    </w:p>
    <w:bookmarkEnd w:id="38"/>
    <w:bookmarkEnd w:id="39"/>
    <w:bookmarkStart w:id="52" w:name="chapter-3-methodology"/>
    <w:p>
      <w:pPr>
        <w:pStyle w:val="Heading2"/>
      </w:pPr>
      <w:r>
        <w:t xml:space="preserve">CHAPTER 3: METHODOLOGY</w:t>
      </w:r>
    </w:p>
    <w:bookmarkStart w:id="40" w:name="research-design"/>
    <w:p>
      <w:pPr>
        <w:pStyle w:val="Heading3"/>
      </w:pPr>
      <w:r>
        <w:t xml:space="preserve">3.1 Research Design</w:t>
      </w:r>
    </w:p>
    <w:p>
      <w:pPr>
        <w:pStyle w:val="FirstParagraph"/>
      </w:pPr>
      <w:r>
        <w:t xml:space="preserve">This research employs a retrospective quantitative research design focused on algorithm development, validation, and computational feasibility assessment. The study does not involve prospective data collection, human subjects research, or qualitative data collection through interviews or surveys.</w:t>
      </w:r>
    </w:p>
    <w:p>
      <w:pPr>
        <w:pStyle w:val="BodyText"/>
      </w:pPr>
      <w:r>
        <w:t xml:space="preserve">The technical component follows an experimental approach in which the hybrid detection algorithm is developed, trained, and evaluated using the RSNA Intracranial Aneurysm Detection dataset, with comparative assessment against established baseline methods. This retrospective quantitative design ensures rigorous performance evaluation while avoiding the ethical complexities and resource requirements of prospective data collection.</w:t>
      </w:r>
    </w:p>
    <w:p>
      <w:pPr>
        <w:pStyle w:val="BodyText"/>
      </w:pPr>
      <w:r>
        <w:t xml:space="preserve">The health systems feasibility component employs computational benchmarking and document analysis to assess implementation requirements. This approach evaluates the computational characteristics of the developed algorithm on hardware representative of Kenyan referral hospitals, along with analysis of existing health system policies and infrastructure documents. The feasibility assessment produces actionable recommendations without requiring prospective deployment or field research.</w:t>
      </w:r>
    </w:p>
    <w:p>
      <w:pPr>
        <w:pStyle w:val="BodyText"/>
      </w:pPr>
      <w:r>
        <w:t xml:space="preserve">This design is appropriate for an MSc research project as it enables comprehensive technical evaluation within resource and time constraints while producing findings that directly inform future implementation research.</w:t>
      </w:r>
    </w:p>
    <w:bookmarkEnd w:id="40"/>
    <w:bookmarkStart w:id="41" w:name="study-area-and-population"/>
    <w:p>
      <w:pPr>
        <w:pStyle w:val="Heading3"/>
      </w:pPr>
      <w:r>
        <w:t xml:space="preserve">3.2 Study Area and Population</w:t>
      </w:r>
    </w:p>
    <w:p>
      <w:pPr>
        <w:pStyle w:val="FirstParagraph"/>
      </w:pPr>
      <w:r>
        <w:t xml:space="preserve">The technical development and validation component of the research will be conducted using the RSNA Intracranial Aneurysm Detection dataset, which is stored and accessed through cloud computing infrastructure with GPU resources provided by KENET. The dataset comprises anonymised computed tomography angiography studies from adult patients at participating institutions, with annotations indicating the presence, location, and characteristics of intracranial aneurysms.</w:t>
      </w:r>
    </w:p>
    <w:p>
      <w:pPr>
        <w:pStyle w:val="BodyText"/>
      </w:pPr>
      <w:r>
        <w:t xml:space="preserve">The RSNA-ICA dataset includes studies from eighteen institutions across five continents, representing diverse patient populations and scanner manufacturers. The international composition of the dataset enables evaluation of model generalisability across different clinical settings and demographic groups. However, the dataset has limited representation from African populations, which is addressed through the fairness audit component that explicitly examines performance disparities across available demographic subgroups.</w:t>
      </w:r>
    </w:p>
    <w:p>
      <w:pPr>
        <w:pStyle w:val="BodyText"/>
      </w:pPr>
      <w:r>
        <w:t xml:space="preserve">The computational feasibility assessment will evaluate deployment scenarios for Kenyan referral hospitals, with specific focus on:</w:t>
      </w:r>
    </w:p>
    <w:p>
      <w:pPr>
        <w:numPr>
          <w:ilvl w:val="0"/>
          <w:numId w:val="1002"/>
        </w:numPr>
        <w:pStyle w:val="Compact"/>
      </w:pPr>
      <w:r>
        <w:rPr>
          <w:bCs/>
          <w:b/>
        </w:rPr>
        <w:t xml:space="preserve">Aga Khan University Hospital, Nairobi (AKUH)</w:t>
      </w:r>
      <w:r>
        <w:t xml:space="preserve"> </w:t>
      </w:r>
      <w:r>
        <w:t xml:space="preserve">as the primary local validation site, representing a well-resourced private tertiary facility with established radiology infrastructure in Kenya</w:t>
      </w:r>
    </w:p>
    <w:p>
      <w:pPr>
        <w:numPr>
          <w:ilvl w:val="0"/>
          <w:numId w:val="1002"/>
        </w:numPr>
        <w:pStyle w:val="Compact"/>
      </w:pPr>
      <w:r>
        <w:rPr>
          <w:bCs/>
          <w:b/>
        </w:rPr>
        <w:t xml:space="preserve">Selected Level Five County Hospitals</w:t>
      </w:r>
      <w:r>
        <w:t xml:space="preserve"> </w:t>
      </w:r>
      <w:r>
        <w:t xml:space="preserve">representing typical referral facilities with moderate infrastructure capacity</w:t>
      </w:r>
    </w:p>
    <w:p>
      <w:pPr>
        <w:pStyle w:val="FirstParagraph"/>
      </w:pPr>
      <w:r>
        <w:t xml:space="preserve">The selection of AKUH as the primary feasibility assessment site is justified by Dr. Kevin Ombati’s role as Co-Supervisor and the hospital’s established radiology department with high-volume CTA investigations, making it the most feasible deployment setting for AI-assisted aneurysm screening in this study. The inclusion of Level Five hospitals ensures that feasibility recommendations account for the range of infrastructure capacity across the Kenyan health system.</w:t>
      </w:r>
    </w:p>
    <w:bookmarkEnd w:id="41"/>
    <w:bookmarkStart w:id="42" w:name="data-sources"/>
    <w:p>
      <w:pPr>
        <w:pStyle w:val="Heading3"/>
      </w:pPr>
      <w:r>
        <w:t xml:space="preserve">3.3 Data Sources</w:t>
      </w:r>
    </w:p>
    <w:p>
      <w:pPr>
        <w:pStyle w:val="FirstParagraph"/>
      </w:pPr>
      <w:r>
        <w:t xml:space="preserve">The primary data source for this research is the RSNA Intracranial Aneurysm Detection dataset, accessed through the RSNA Imaging Portal as an open-access dataset. This dataset comprises over four thousand computed tomography angiography studies from eighteen institutions across five continents, representing diverse patient populations and scanner manufacturers. Each study includes the three-dimensional volumetric imaging data along with annotations indicating the presence and precise location of aneurysms in thirteen predefined anatomical locations within the intracranial circulation.</w:t>
      </w:r>
    </w:p>
    <w:p>
      <w:pPr>
        <w:pStyle w:val="BodyText"/>
      </w:pPr>
      <w:r>
        <w:t xml:space="preserve">The dataset characteristics are summarised in Table 3.1. The inclusion criteria for the original dataset were adult patients undergoing computed tomography angiography for clinical indications, while studies with prior aneurysm treatment or poor image quality were excluded. The dataset has been pre-processed to remove identifying information in accordance with privacy protection regulations.</w:t>
      </w:r>
    </w:p>
    <w:p>
      <w:pPr>
        <w:pStyle w:val="BodyText"/>
      </w:pPr>
      <w:r>
        <w:rPr>
          <w:bCs/>
          <w:b/>
        </w:rPr>
        <w:t xml:space="preserve">Table 3.1: RSNA-ICA Dataset Characteristics</w:t>
      </w:r>
    </w:p>
    <w:tbl>
      <w:tblPr>
        <w:tblStyle w:val="Table"/>
        <w:tblW w:type="pct" w:w="5000"/>
        <w:tblLook w:firstRow="1" w:lastRow="0" w:firstColumn="0" w:lastColumn="0" w:noHBand="0" w:noVBand="0" w:val="0020"/>
      </w:tblPr>
      <w:tblGrid>
        <w:gridCol w:w="4369"/>
        <w:gridCol w:w="3550"/>
      </w:tblGrid>
      <w:tr>
        <w:trPr>
          <w:tblHeader w:val="true"/>
        </w:trPr>
        <w:tc>
          <w:tcPr/>
          <w:p>
            <w:pPr>
              <w:pStyle w:val="Compact"/>
              <w:jc w:val="left"/>
            </w:pPr>
            <w:r>
              <w:t xml:space="preserve">Characteristic</w:t>
            </w:r>
          </w:p>
        </w:tc>
        <w:tc>
          <w:tcPr/>
          <w:p>
            <w:pPr>
              <w:pStyle w:val="Compact"/>
              <w:jc w:val="left"/>
            </w:pPr>
            <w:r>
              <w:t xml:space="preserve">Description</w:t>
            </w:r>
          </w:p>
        </w:tc>
      </w:tr>
      <w:tr>
        <w:tc>
          <w:tcPr/>
          <w:p>
            <w:pPr>
              <w:pStyle w:val="Compact"/>
              <w:jc w:val="left"/>
            </w:pPr>
            <w:r>
              <w:t xml:space="preserve">Total Studies</w:t>
            </w:r>
          </w:p>
        </w:tc>
        <w:tc>
          <w:tcPr/>
          <w:p>
            <w:pPr>
              <w:pStyle w:val="Compact"/>
              <w:jc w:val="left"/>
            </w:pPr>
            <w:r>
              <w:t xml:space="preserve">Over 4,000 CT angiography studies</w:t>
            </w:r>
          </w:p>
        </w:tc>
      </w:tr>
      <w:tr>
        <w:tc>
          <w:tcPr/>
          <w:p>
            <w:pPr>
              <w:pStyle w:val="Compact"/>
              <w:jc w:val="left"/>
            </w:pPr>
            <w:r>
              <w:t xml:space="preserve">Institutions</w:t>
            </w:r>
          </w:p>
        </w:tc>
        <w:tc>
          <w:tcPr/>
          <w:p>
            <w:pPr>
              <w:pStyle w:val="Compact"/>
              <w:jc w:val="left"/>
            </w:pPr>
            <w:r>
              <w:t xml:space="preserve">18 sites across 5 continents</w:t>
            </w:r>
          </w:p>
        </w:tc>
      </w:tr>
      <w:tr>
        <w:tc>
          <w:tcPr/>
          <w:p>
            <w:pPr>
              <w:pStyle w:val="Compact"/>
              <w:jc w:val="left"/>
            </w:pPr>
            <w:r>
              <w:t xml:space="preserve">Patient Demographics</w:t>
            </w:r>
          </w:p>
        </w:tc>
        <w:tc>
          <w:tcPr/>
          <w:p>
            <w:pPr>
              <w:pStyle w:val="Compact"/>
              <w:jc w:val="left"/>
            </w:pPr>
            <w:r>
              <w:t xml:space="preserve">Diverse age, sex, and ethnicity</w:t>
            </w:r>
          </w:p>
        </w:tc>
      </w:tr>
      <w:tr>
        <w:tc>
          <w:tcPr/>
          <w:p>
            <w:pPr>
              <w:pStyle w:val="Compact"/>
              <w:jc w:val="left"/>
            </w:pPr>
            <w:r>
              <w:t xml:space="preserve">Scanner Types</w:t>
            </w:r>
          </w:p>
        </w:tc>
        <w:tc>
          <w:tcPr/>
          <w:p>
            <w:pPr>
              <w:pStyle w:val="Compact"/>
              <w:jc w:val="left"/>
            </w:pPr>
            <w:r>
              <w:t xml:space="preserve">Multiple manufacturers (GE, Siemens, Philips, Toshiba)</w:t>
            </w:r>
          </w:p>
        </w:tc>
      </w:tr>
      <w:tr>
        <w:tc>
          <w:tcPr/>
          <w:p>
            <w:pPr>
              <w:pStyle w:val="Compact"/>
              <w:jc w:val="left"/>
            </w:pPr>
            <w:r>
              <w:t xml:space="preserve">Annotation Standard</w:t>
            </w:r>
          </w:p>
        </w:tc>
        <w:tc>
          <w:tcPr/>
          <w:p>
            <w:pPr>
              <w:pStyle w:val="Compact"/>
              <w:jc w:val="left"/>
            </w:pPr>
            <w:r>
              <w:t xml:space="preserve">13 anatomical locations</w:t>
            </w:r>
          </w:p>
        </w:tc>
      </w:tr>
      <w:tr>
        <w:tc>
          <w:tcPr/>
          <w:p>
            <w:pPr>
              <w:pStyle w:val="Compact"/>
              <w:jc w:val="left"/>
            </w:pPr>
            <w:r>
              <w:t xml:space="preserve">Image Format</w:t>
            </w:r>
          </w:p>
        </w:tc>
        <w:tc>
          <w:tcPr/>
          <w:p>
            <w:pPr>
              <w:pStyle w:val="Compact"/>
              <w:jc w:val="left"/>
            </w:pPr>
            <w:r>
              <w:t xml:space="preserve">DICOM (3D volumes)</w:t>
            </w:r>
          </w:p>
        </w:tc>
      </w:tr>
    </w:tbl>
    <w:p>
      <w:pPr>
        <w:pStyle w:val="BodyText"/>
      </w:pPr>
      <w:r>
        <w:t xml:space="preserve">The retrospective nature of this research means that the RSNA dataset was collected under the original participating institutions’ protocols with appropriate patient consent obtained at that time. The dataset is publicly available for research purposes and has been de-identified in compliance with privacy protection regulations. No additional patient consent is required for the retrospective analysis of this anonymised dataset.</w:t>
      </w:r>
    </w:p>
    <w:p>
      <w:pPr>
        <w:pStyle w:val="BodyText"/>
      </w:pPr>
      <w:r>
        <w:t xml:space="preserve">For the computational feasibility assessment, additional data will be collected through benchmark testing on representative hardware and analysis of existing infrastructure documentation from Kenyan health facilities. This component does not involve human subjects research.</w:t>
      </w:r>
    </w:p>
    <w:bookmarkEnd w:id="42"/>
    <w:bookmarkStart w:id="43" w:name="algorithm-architecture"/>
    <w:p>
      <w:pPr>
        <w:pStyle w:val="Heading3"/>
      </w:pPr>
      <w:r>
        <w:t xml:space="preserve">3.4 Algorithm Architecture</w:t>
      </w:r>
    </w:p>
    <w:p>
      <w:pPr>
        <w:pStyle w:val="FirstParagraph"/>
      </w:pPr>
      <w:r>
        <w:t xml:space="preserve">The proposed hybrid algorithm integrates two primary components: a Template-Based Modeling module adapted from RNA folding analysis and a three-dimensional convolutional neural network for feature extraction. The architecture is designed to leverage the complementary strengths of both approaches while addressing their individual limitations. Recent advances in three-dimensional convolutional neural networks for medical imaging have demonstrated the effectiveness of volumetric approaches for capturing spatial information in medical images (Chen et al., 2024; Wei et al., 2025).</w:t>
      </w:r>
    </w:p>
    <w:p>
      <w:pPr>
        <w:pStyle w:val="BodyText"/>
      </w:pPr>
      <w:r>
        <w:t xml:space="preserve">The Template-Based Modeling component operates on the principle that certain aneurysm morphologies exhibit geometric patterns analogous to structural motifs in RNA molecules. Specifically, saccular aneurysms at vessel bifurcations display characteristic bulbous structures with defined necks that can be mathematically characterised and matched against templates derived from known structures. The template library will be constructed by extracting geometric features from the RSNA training data, including measures of aneurysm size, shape, and relationship to parent vessels.</w:t>
      </w:r>
    </w:p>
    <w:p>
      <w:pPr>
        <w:pStyle w:val="BodyText"/>
      </w:pPr>
      <w:r>
        <w:t xml:space="preserve">The deep learning component employs a three-dimensional U-Net architecture with attention mechanisms to enable the model to focus on diagnostically relevant image regions. Recent studies have demonstrated the effectiveness of attention mechanisms in improving model performance for medical image analysis tasks (Johnson et al., 2024). The network processes three-dimensional computed tomography volumes and outputs probability maps indicating the likelihood of aneurysm presence at each voxel location. The attention mechanism is designed to incorporate information from the template matching component, enabling the model to leverage structural priors during inference. Recent developments in transformer-based architectures for medical imaging have shown promising results in capturing long-range dependencies in volumetric data (Thompson et al., 2025).</w:t>
      </w:r>
    </w:p>
    <w:p>
      <w:pPr>
        <w:pStyle w:val="BodyText"/>
      </w:pPr>
      <w:r>
        <w:t xml:space="preserve">The fusion strategy combines the outputs of both components through a learned weighting mechanism that adapts the relative contribution of template matching and deep learning based on the characteristics of each input case. During training, the model learns optimal fusion parameters that maximise detection performance on the training data.</w:t>
      </w:r>
    </w:p>
    <w:p>
      <w:pPr>
        <w:pStyle w:val="BodyText"/>
      </w:pPr>
      <w:r>
        <w:t xml:space="preserve">Figure 3.1 presents the system architecture of the hybrid framework, illustrating the data flow from input computed tomography volumes through preprocessing, template matching, deep learning inference, and fusion to final detection output.</w:t>
      </w:r>
    </w:p>
    <w:p>
      <w:pPr>
        <w:pStyle w:val="BodyText"/>
      </w:pPr>
      <w:r>
        <w:rPr>
          <w:bCs/>
          <w:b/>
        </w:rPr>
        <w:t xml:space="preserve">Figure 3.1: System Architecture of the Hybrid TBM-Deep Learning Framework</w:t>
      </w:r>
    </w:p>
    <w:p>
      <w:pPr>
        <w:pStyle w:val="BodyText"/>
      </w:pPr>
      <w:r>
        <w:t xml:space="preserve">System Architecture of the Hybrid TBM-Deep Learning Framework</w:t>
      </w:r>
    </w:p>
    <w:p>
      <w:pPr>
        <w:pStyle w:val="BodyText"/>
      </w:pPr>
      <w:r>
        <w:rPr>
          <w:iCs/>
          <w:i/>
        </w:rPr>
        <w:t xml:space="preserve">Source: Generated from Mermaid diagram — see</w:t>
      </w:r>
      <w:r>
        <w:rPr>
          <w:iCs/>
          <w:i/>
        </w:rPr>
        <w:t xml:space="preserve"> </w:t>
      </w:r>
      <w:r>
        <w:rPr>
          <w:rStyle w:val="VerbatimChar"/>
          <w:iCs/>
          <w:i/>
        </w:rPr>
        <w:t xml:space="preserve">figures/fig_3_1_system_architecture.mmd</w:t>
      </w:r>
      <w:r>
        <w:rPr>
          <w:iCs/>
          <w:i/>
        </w:rPr>
        <w:t xml:space="preserve"> </w:t>
      </w:r>
      <w:r>
        <w:rPr>
          <w:iCs/>
          <w:i/>
        </w:rPr>
        <w:t xml:space="preserve">for source code.</w:t>
      </w:r>
    </w:p>
    <w:p>
      <w:pPr>
        <w:pStyle w:val="BodyText"/>
      </w:pPr>
      <w:r>
        <w:t xml:space="preserve">The system architecture comprises six key components that work together to enable accurate aneurysm detection:</w:t>
      </w:r>
    </w:p>
    <w:p>
      <w:pPr>
        <w:pStyle w:val="BodyText"/>
      </w:pPr>
      <w:r>
        <w:rPr>
          <w:bCs/>
          <w:b/>
        </w:rPr>
        <w:t xml:space="preserve">1. Input Layer:</w:t>
      </w:r>
      <w:r>
        <w:t xml:space="preserve"> </w:t>
      </w:r>
      <w:r>
        <w:t xml:space="preserve">The system accepts three-dimensional computed tomography angiography volumes as input, with standard dimensions of 512×512×D slices where D represents the number of axial slices in the scan. This volumetric input preserves the spatial relationships essential for accurate aneurysm detection.</w:t>
      </w:r>
    </w:p>
    <w:p>
      <w:pPr>
        <w:pStyle w:val="BodyText"/>
      </w:pPr>
      <w:r>
        <w:rPr>
          <w:bCs/>
          <w:b/>
        </w:rPr>
        <w:t xml:space="preserve">2. Preprocessing Module:</w:t>
      </w:r>
      <w:r>
        <w:t xml:space="preserve"> </w:t>
      </w:r>
      <w:r>
        <w:t xml:space="preserve">This module performs three critical operations. First, intensity normalisation standardises Hounsfield unit values across different scanner configurations to ensure consistent input quality. Second, windowing focuses on vascular structures using a range of 250-400 Hounsfield units to enhance vessel visibility while suppressing surrounding tissue. Third, volume reconstruction creates a proper three-dimensional representation from the axial slices.</w:t>
      </w:r>
    </w:p>
    <w:p>
      <w:pPr>
        <w:pStyle w:val="BodyText"/>
      </w:pPr>
      <w:r>
        <w:rPr>
          <w:bCs/>
          <w:b/>
        </w:rPr>
        <w:t xml:space="preserve">3. Template-Based Modeling Branch:</w:t>
      </w:r>
      <w:r>
        <w:t xml:space="preserve"> </w:t>
      </w:r>
      <w:r>
        <w:t xml:space="preserve">This component implements the structural pattern recognition from computational biology. It includes vessel segmentation using the Hessian-based Frangi filter to identify tubular structures, geometric feature extraction to compute size, shape, and neck parameters, template matching to compare extracted features against a library of known aneurysm morphologies, and confidence scoring to output similarity metrics for each candidate region.</w:t>
      </w:r>
    </w:p>
    <w:p>
      <w:pPr>
        <w:pStyle w:val="BodyText"/>
      </w:pPr>
      <w:r>
        <w:rPr>
          <w:bCs/>
          <w:b/>
        </w:rPr>
        <w:t xml:space="preserve">4. Deep Learning Branch:</w:t>
      </w:r>
      <w:r>
        <w:t xml:space="preserve"> </w:t>
      </w:r>
      <w:r>
        <w:t xml:space="preserve">This component employs a three-dimensional U-Net architecture with residual blocks and attention gates. The encoder path extracts hierarchical features while the decoder path enables precise localisation. Skip connections preserve spatial information throughout the network. The attention gates focus the model on diagnostically relevant regions, and probability maps provide voxel-wise aneurysm likelihood scores.</w:t>
      </w:r>
    </w:p>
    <w:p>
      <w:pPr>
        <w:pStyle w:val="BodyText"/>
      </w:pPr>
      <w:r>
        <w:rPr>
          <w:bCs/>
          <w:b/>
        </w:rPr>
        <w:t xml:space="preserve">5. Fusion Layer:</w:t>
      </w:r>
      <w:r>
        <w:t xml:space="preserve"> </w:t>
      </w:r>
      <w:r>
        <w:t xml:space="preserve">This integration component combines predictions from both branches using a learned weighting mechanism that adapts based on input characteristics. Attention-based feature integration enables the model to dynamically weight contributions from template matching and deep learning based on the confidence and characteristics of each detection.</w:t>
      </w:r>
    </w:p>
    <w:p>
      <w:pPr>
        <w:pStyle w:val="BodyText"/>
      </w:pPr>
      <w:r>
        <w:rPr>
          <w:bCs/>
          <w:b/>
        </w:rPr>
        <w:t xml:space="preserve">6. Output Layer:</w:t>
      </w:r>
      <w:r>
        <w:t xml:space="preserve"> </w:t>
      </w:r>
      <w:r>
        <w:t xml:space="preserve">The final component produces multiple outputs including binary detection results indicating aneurysm presence or absence, bounding box segmentation defining precise aneurysm locations, confidence scores providing probability estimates, and interpretability maps using Grad-CAM and SHAP to enable clinician review of model decisions.</w:t>
      </w:r>
    </w:p>
    <w:bookmarkEnd w:id="43"/>
    <w:bookmarkStart w:id="44" w:name="data-preprocessing"/>
    <w:p>
      <w:pPr>
        <w:pStyle w:val="Heading3"/>
      </w:pPr>
      <w:r>
        <w:t xml:space="preserve">3.5 Data Preprocessing</w:t>
      </w:r>
    </w:p>
    <w:p>
      <w:pPr>
        <w:pStyle w:val="FirstParagraph"/>
      </w:pPr>
      <w:r>
        <w:t xml:space="preserve">The preprocessing pipeline for the computed tomography angiography data follows established protocols for medical image analysis while incorporating specific adaptations for the proposed methodology. The preprocessing steps include intensity normalisation to standardise Hounsfield unit values across different scanner configurations, windowing to focus on vascular structures, and three-dimensional volume reconstruction from the axial slices.</w:t>
      </w:r>
    </w:p>
    <w:p>
      <w:pPr>
        <w:pStyle w:val="BodyText"/>
      </w:pPr>
      <w:r>
        <w:t xml:space="preserve">For the template matching component, preprocessing additionally includes vessel segmentation to isolate the intracranial vasculature, geometric feature extraction to characterise potential aneurysm locations, and template matching score computation. These preprocessing steps are implemented using a combination of established medical imaging libraries and custom code developed for this research.</w:t>
      </w:r>
    </w:p>
    <w:p>
      <w:pPr>
        <w:pStyle w:val="BodyText"/>
      </w:pPr>
      <w:r>
        <w:t xml:space="preserve">Figure 3.2 illustrates the complete preprocessing pipeline, showing the transformation of raw DICOM data through each processing stage to produce the inputs required by both the template matching and deep learning components.</w:t>
      </w:r>
    </w:p>
    <w:p>
      <w:pPr>
        <w:pStyle w:val="BodyText"/>
      </w:pPr>
      <w:r>
        <w:rPr>
          <w:bCs/>
          <w:b/>
        </w:rPr>
        <w:t xml:space="preserve">Figure 3.2: Data Preprocessing Pipeline</w:t>
      </w:r>
    </w:p>
    <w:p>
      <w:pPr>
        <w:pStyle w:val="BodyText"/>
      </w:pPr>
      <w:r>
        <w:t xml:space="preserve">Data Preprocessing Pipeline</w:t>
      </w:r>
    </w:p>
    <w:p>
      <w:pPr>
        <w:pStyle w:val="BodyText"/>
      </w:pPr>
      <w:r>
        <w:rPr>
          <w:iCs/>
          <w:i/>
        </w:rPr>
        <w:t xml:space="preserve">Source: Generated from Mermaid diagram — see</w:t>
      </w:r>
      <w:r>
        <w:rPr>
          <w:iCs/>
          <w:i/>
        </w:rPr>
        <w:t xml:space="preserve"> </w:t>
      </w:r>
      <w:r>
        <w:rPr>
          <w:rStyle w:val="VerbatimChar"/>
          <w:iCs/>
          <w:i/>
        </w:rPr>
        <w:t xml:space="preserve">figures/fig_3_2_data_preprocessing.mmd</w:t>
      </w:r>
      <w:r>
        <w:rPr>
          <w:iCs/>
          <w:i/>
        </w:rPr>
        <w:t xml:space="preserve"> </w:t>
      </w:r>
      <w:r>
        <w:rPr>
          <w:iCs/>
          <w:i/>
        </w:rPr>
        <w:t xml:space="preserve">for source code.</w:t>
      </w:r>
    </w:p>
    <w:p>
      <w:pPr>
        <w:pStyle w:val="BodyText"/>
      </w:pPr>
      <w:r>
        <w:t xml:space="preserve">The data preprocessing pipeline consists of five sequential stages that transform raw medical imaging data into inputs suitable for both the template matching and deep learning components:</w:t>
      </w:r>
    </w:p>
    <w:p>
      <w:pPr>
        <w:pStyle w:val="BodyText"/>
      </w:pPr>
      <w:r>
        <w:rPr>
          <w:bCs/>
          <w:b/>
        </w:rPr>
        <w:t xml:space="preserve">Stage 1: Raw Data Acquisition:</w:t>
      </w:r>
      <w:r>
        <w:t xml:space="preserve"> </w:t>
      </w:r>
      <w:r>
        <w:t xml:space="preserve">This initial stage involves downloading DICOM files from the RSNA-ICA dataset and extracting essential metadata including patient information, scanner parameters, and series information. The raw data serves as the foundation for all subsequent processing steps.</w:t>
      </w:r>
    </w:p>
    <w:p>
      <w:pPr>
        <w:pStyle w:val="BodyText"/>
      </w:pPr>
      <w:r>
        <w:rPr>
          <w:bCs/>
          <w:b/>
        </w:rPr>
        <w:t xml:space="preserve">Stage 2: Format Conversion and Quality Control:</w:t>
      </w:r>
      <w:r>
        <w:t xml:space="preserve"> </w:t>
      </w:r>
      <w:r>
        <w:t xml:space="preserve">This stage converts DICOM files to NIfTI format, which provides a more convenient representation for three-dimensional processing. Quality control procedures validate dimensions and data types while checking for artifacts or corruption that might affect detection accuracy.</w:t>
      </w:r>
    </w:p>
    <w:p>
      <w:pPr>
        <w:pStyle w:val="BodyText"/>
      </w:pPr>
      <w:r>
        <w:rPr>
          <w:bCs/>
          <w:b/>
        </w:rPr>
        <w:t xml:space="preserve">Stage 3: Intensity Normalisation:</w:t>
      </w:r>
      <w:r>
        <w:t xml:space="preserve"> </w:t>
      </w:r>
      <w:r>
        <w:t xml:space="preserve">This stage rescales Hounsfield units to a standardised range and applies Z-score normalisation with mean equal to zero and standard deviation equal to one. This normalisation ensures consistency across different scanner configurations and patient populations.</w:t>
      </w:r>
    </w:p>
    <w:p>
      <w:pPr>
        <w:pStyle w:val="BodyText"/>
      </w:pPr>
      <w:r>
        <w:rPr>
          <w:bCs/>
          <w:b/>
        </w:rPr>
        <w:t xml:space="preserve">Stage 4: Windowing and Volume Extraction:</w:t>
      </w:r>
      <w:r>
        <w:t xml:space="preserve"> </w:t>
      </w:r>
      <w:r>
        <w:t xml:space="preserve">This stage applies CT windowing specifically tuned for vascular structures and reconstructs three-dimensional volumes from the axial slices. The windowing parameters emphasise blood vessels while suppressing surrounding soft tissue and bone.</w:t>
      </w:r>
    </w:p>
    <w:p>
      <w:pPr>
        <w:pStyle w:val="BodyText"/>
      </w:pPr>
      <w:r>
        <w:rPr>
          <w:bCs/>
          <w:b/>
        </w:rPr>
        <w:t xml:space="preserve">Stage 5A: Template Matching Branch:</w:t>
      </w:r>
      <w:r>
        <w:t xml:space="preserve"> </w:t>
      </w:r>
      <w:r>
        <w:t xml:space="preserve">This stage segments vessels using the Frangi filter to identify tubular structures, extracts regions of interest corresponding to the Circle of Willis, computes geometric features including size and shape parameters, and calculates template matching scores by comparing against the aneurysm template library.</w:t>
      </w:r>
    </w:p>
    <w:p>
      <w:pPr>
        <w:pStyle w:val="BodyText"/>
      </w:pPr>
      <w:r>
        <w:rPr>
          <w:bCs/>
          <w:b/>
        </w:rPr>
        <w:t xml:space="preserve">Stage 5B: Deep Learning Branch:</w:t>
      </w:r>
      <w:r>
        <w:t xml:space="preserve"> </w:t>
      </w:r>
      <w:r>
        <w:t xml:space="preserve">This stage applies data augmentation including rotations, flips, and intensity variations to increase training data diversity, extracts three-dimensional patches for neural network input, and normalises patch intensities to the zero-to-one range for optimal neural network performance.</w:t>
      </w:r>
    </w:p>
    <w:bookmarkEnd w:id="44"/>
    <w:bookmarkStart w:id="45" w:name="evaluation-metrics"/>
    <w:p>
      <w:pPr>
        <w:pStyle w:val="Heading3"/>
      </w:pPr>
      <w:r>
        <w:t xml:space="preserve">3.6 Evaluation Metrics</w:t>
      </w:r>
    </w:p>
    <w:p>
      <w:pPr>
        <w:pStyle w:val="FirstParagraph"/>
      </w:pPr>
      <w:r>
        <w:t xml:space="preserve">The performance of the hybrid detection algorithm will be evaluated using standard metrics for medical image analysis tasks. Sensitivity, also known as recall or true positive rate, measures the proportion of actual aneurysms correctly identified by the model. Specificity measures the proportion of non-aneurysm cases correctly identified as negative. The area under the receiver operating characteristic curve provides a threshold-independent measure of discriminative performance, while the Dice coefficient quantifies the overlap between predicted and ground truth aneurysm regions.</w:t>
      </w:r>
    </w:p>
    <w:p>
      <w:pPr>
        <w:pStyle w:val="BodyText"/>
      </w:pPr>
      <w:r>
        <w:t xml:space="preserve">Beyond these standard metrics, the research will compute fairness-related metrics including performance stratification by demographic subgroups and statistical tests for significant performance disparities. The Specificity at High Sensitivity metric is particularly relevant for clinical applications, as it measures the false positive rate at operating points corresponding to high detection sensitivity suitable for screening contexts.</w:t>
      </w:r>
    </w:p>
    <w:p>
      <w:pPr>
        <w:pStyle w:val="BodyText"/>
      </w:pPr>
      <w:r>
        <w:rPr>
          <w:bCs/>
          <w:b/>
        </w:rPr>
        <w:t xml:space="preserve">Table 3.2: Evaluation Metrics and Definitions</w:t>
      </w:r>
    </w:p>
    <w:tbl>
      <w:tblPr>
        <w:tblStyle w:val="Table"/>
        <w:tblW w:type="pct" w:w="5000"/>
        <w:tblLook w:firstRow="1" w:lastRow="0" w:firstColumn="0" w:lastColumn="0" w:noHBand="0" w:noVBand="0" w:val="0020"/>
      </w:tblPr>
      <w:tblGrid>
        <w:gridCol w:w="1624"/>
        <w:gridCol w:w="2436"/>
        <w:gridCol w:w="3858"/>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Clinical Relevance</w:t>
            </w:r>
          </w:p>
        </w:tc>
      </w:tr>
      <w:tr>
        <w:tc>
          <w:tcPr/>
          <w:p>
            <w:pPr>
              <w:pStyle w:val="Compact"/>
              <w:jc w:val="left"/>
            </w:pPr>
            <w:r>
              <w:t xml:space="preserve">Sensitivity</w:t>
            </w:r>
          </w:p>
        </w:tc>
        <w:tc>
          <w:tcPr/>
          <w:p>
            <w:pPr>
              <w:pStyle w:val="Compact"/>
              <w:jc w:val="left"/>
            </w:pPr>
            <w:r>
              <w:t xml:space="preserve">TP / (TP + FN)</w:t>
            </w:r>
          </w:p>
        </w:tc>
        <w:tc>
          <w:tcPr/>
          <w:p>
            <w:pPr>
              <w:pStyle w:val="Compact"/>
              <w:jc w:val="left"/>
            </w:pPr>
            <w:r>
              <w:t xml:space="preserve">Missed detection rate</w:t>
            </w:r>
          </w:p>
        </w:tc>
      </w:tr>
      <w:tr>
        <w:tc>
          <w:tcPr/>
          <w:p>
            <w:pPr>
              <w:pStyle w:val="Compact"/>
              <w:jc w:val="left"/>
            </w:pPr>
            <w:r>
              <w:t xml:space="preserve">Specificity</w:t>
            </w:r>
          </w:p>
        </w:tc>
        <w:tc>
          <w:tcPr/>
          <w:p>
            <w:pPr>
              <w:pStyle w:val="Compact"/>
              <w:jc w:val="left"/>
            </w:pPr>
            <w:r>
              <w:t xml:space="preserve">TN / (TN + FP)</w:t>
            </w:r>
          </w:p>
        </w:tc>
        <w:tc>
          <w:tcPr/>
          <w:p>
            <w:pPr>
              <w:pStyle w:val="Compact"/>
              <w:jc w:val="left"/>
            </w:pPr>
            <w:r>
              <w:t xml:space="preserve">False alarm rate</w:t>
            </w:r>
          </w:p>
        </w:tc>
      </w:tr>
      <w:tr>
        <w:tc>
          <w:tcPr/>
          <w:p>
            <w:pPr>
              <w:pStyle w:val="Compact"/>
              <w:jc w:val="left"/>
            </w:pPr>
            <w:r>
              <w:t xml:space="preserve">AUC-ROC</w:t>
            </w:r>
          </w:p>
        </w:tc>
        <w:tc>
          <w:tcPr/>
          <w:p>
            <w:pPr>
              <w:pStyle w:val="Compact"/>
              <w:jc w:val="left"/>
            </w:pPr>
            <w:r>
              <w:t xml:space="preserve">Area under ROC curve</w:t>
            </w:r>
          </w:p>
        </w:tc>
        <w:tc>
          <w:tcPr/>
          <w:p>
            <w:pPr>
              <w:pStyle w:val="Compact"/>
              <w:jc w:val="left"/>
            </w:pPr>
            <w:r>
              <w:t xml:space="preserve">Overall discriminability</w:t>
            </w:r>
          </w:p>
        </w:tc>
      </w:tr>
      <w:tr>
        <w:tc>
          <w:tcPr/>
          <w:p>
            <w:pPr>
              <w:pStyle w:val="Compact"/>
              <w:jc w:val="left"/>
            </w:pPr>
            <w:r>
              <w:t xml:space="preserve">Dice Coefficient</w:t>
            </w:r>
          </w:p>
        </w:tc>
        <w:tc>
          <w:tcPr/>
          <w:p>
            <w:pPr>
              <w:pStyle w:val="Compact"/>
              <w:jc w:val="left"/>
            </w:pPr>
            <w:r>
              <w:t xml:space="preserve">2</w:t>
            </w:r>
          </w:p>
        </w:tc>
        <w:tc>
          <w:tcPr/>
          <w:p>
            <w:pPr>
              <w:pStyle w:val="Compact"/>
              <w:jc w:val="left"/>
            </w:pPr>
            <w:r>
              <w:t xml:space="preserve">A∩B</w:t>
            </w:r>
          </w:p>
        </w:tc>
      </w:tr>
      <w:tr>
        <w:tc>
          <w:tcPr/>
          <w:p>
            <w:pPr>
              <w:pStyle w:val="Compact"/>
              <w:jc w:val="left"/>
            </w:pPr>
            <w:r>
              <w:t xml:space="preserve">FPR at 95% TPR</w:t>
            </w:r>
          </w:p>
        </w:tc>
        <w:tc>
          <w:tcPr/>
          <w:p>
            <w:pPr>
              <w:pStyle w:val="Compact"/>
              <w:jc w:val="left"/>
            </w:pPr>
            <w:r>
              <w:t xml:space="preserve">FPR at 95% sensitivity</w:t>
            </w:r>
          </w:p>
        </w:tc>
        <w:tc>
          <w:tcPr/>
          <w:p>
            <w:pPr>
              <w:pStyle w:val="Compact"/>
              <w:jc w:val="left"/>
            </w:pPr>
            <w:r>
              <w:t xml:space="preserve">Screening-specific performance</w:t>
            </w:r>
          </w:p>
        </w:tc>
      </w:tr>
    </w:tbl>
    <w:bookmarkEnd w:id="45"/>
    <w:bookmarkStart w:id="51" w:name="ethical-considerations"/>
    <w:p>
      <w:pPr>
        <w:pStyle w:val="Heading3"/>
      </w:pPr>
      <w:r>
        <w:t xml:space="preserve">3.7 Ethical Considerations</w:t>
      </w:r>
    </w:p>
    <w:p>
      <w:pPr>
        <w:pStyle w:val="FirstParagraph"/>
      </w:pPr>
      <w:r>
        <w:t xml:space="preserve">This research involves retrospective analysis of existing anonymised medical imaging data and computational feasibility assessment. The study does not involve prospective data collection from human subjects, qualitative interviews, or any direct interaction with patients or healthcare workers.</w:t>
      </w:r>
    </w:p>
    <w:bookmarkStart w:id="46" w:name="Xa12177d39334449bbf51df897359f5f7d9491db"/>
    <w:p>
      <w:pPr>
        <w:pStyle w:val="Heading4"/>
      </w:pPr>
      <w:r>
        <w:t xml:space="preserve">3.7.1 Study Justification and Risk-Benefit Assessment</w:t>
      </w:r>
    </w:p>
    <w:p>
      <w:pPr>
        <w:pStyle w:val="FirstParagraph"/>
      </w:pPr>
      <w:r>
        <w:t xml:space="preserve">The research addresses a critical public health need in Kenya, where the scarcity of radiological expertise creates significant diagnostic gaps with mortality and morbidity implications. The retrospective analysis of anonymised data poses minimal risk to individuals, as the data has been de-identified and the research cannot be linked to any specific patient. The benefits of the research extend to the broader Kenyan population through the development of AI tools that could improve access to aneurysm detection in underserved areas. Given that no individual participants are directly involved, the risk-benefit assessment favors proceeding with the research.</w:t>
      </w:r>
    </w:p>
    <w:bookmarkEnd w:id="46"/>
    <w:bookmarkStart w:id="47" w:name="informed-consent-and-data-privacy"/>
    <w:p>
      <w:pPr>
        <w:pStyle w:val="Heading4"/>
      </w:pPr>
      <w:r>
        <w:t xml:space="preserve">3.7.2 Informed Consent and Data Privacy</w:t>
      </w:r>
    </w:p>
    <w:p>
      <w:pPr>
        <w:pStyle w:val="FirstParagraph"/>
      </w:pPr>
      <w:r>
        <w:t xml:space="preserve">The RSNA Intracranial Aneurysm Detection dataset was collected under protocols that obtained appropriate informed consent from patients at the original participating institutions. The dataset has been de-identified and made publicly available for research purposes. Since this research analyses pre-existing anonymised data, additional informed consent from individual patients is not required. The research complies with the principles of data minimisation and purpose limitation, using the data solely for the stated research objectives.</w:t>
      </w:r>
    </w:p>
    <w:bookmarkEnd w:id="47"/>
    <w:bookmarkStart w:id="48" w:name="data-protection-and-security"/>
    <w:p>
      <w:pPr>
        <w:pStyle w:val="Heading4"/>
      </w:pPr>
      <w:r>
        <w:t xml:space="preserve">3.7.3 Data Protection and Security</w:t>
      </w:r>
    </w:p>
    <w:p>
      <w:pPr>
        <w:pStyle w:val="FirstParagraph"/>
      </w:pPr>
      <w:r>
        <w:t xml:space="preserve">Data management practices will ensure secure storage and processing of all research data, with access restricted to the research team. No patient-identifying information will be retained or reported in any research outputs. The research will comply with the Kenya Data Protection Act 2019 and international standards for health data research. The Kenya Data Protection Act 2019 classifies health data as sensitive personal data requiring special protection, and the Office of the Data Protection Commissioner has issued specific guidance on the processing of health data for research purposes (ODPC, 2024; ODPC, 2025). All research activities will adhere to these regulatory requirements and the principles of data minimisation, purpose limitation, and storage limitation as enshrined in the Act.</w:t>
      </w:r>
    </w:p>
    <w:bookmarkEnd w:id="48"/>
    <w:bookmarkStart w:id="49" w:name="incidental-findings-protocol"/>
    <w:p>
      <w:pPr>
        <w:pStyle w:val="Heading4"/>
      </w:pPr>
      <w:r>
        <w:t xml:space="preserve">3.7.4 Incidental Findings Protocol</w:t>
      </w:r>
    </w:p>
    <w:p>
      <w:pPr>
        <w:pStyle w:val="FirstParagraph"/>
      </w:pPr>
      <w:r>
        <w:t xml:space="preserve">Since this research analyses retrospectively collected imaging data without prospective patient contact, the research team will not directly identify or report incidental findings. However, the algorithm developed in this research may be used in future clinical settings where incidental findings could be identified. In such contexts, deployment protocols should include clear guidelines for managing incidental findings, including verification by qualified radiologists and appropriate patient notification procedures. The responsibility for incidental findings management lies with the clinical teams deploying the algorithm, not with this research team.</w:t>
      </w:r>
    </w:p>
    <w:bookmarkEnd w:id="49"/>
    <w:bookmarkStart w:id="50" w:name="institutional-review-requirements"/>
    <w:p>
      <w:pPr>
        <w:pStyle w:val="Heading4"/>
      </w:pPr>
      <w:r>
        <w:t xml:space="preserve">3.7.5 Institutional Review Requirements</w:t>
      </w:r>
    </w:p>
    <w:p>
      <w:pPr>
        <w:pStyle w:val="FirstParagraph"/>
      </w:pPr>
      <w:r>
        <w:t xml:space="preserve">This research involves analysis of anonymised medical imaging data from an international dataset and computational feasibility assessment. The study does not constitute human subjects research as defined by institutional review frameworks, since the data is pre-existing, anonymised, and cannot be linked to individuals.</w:t>
      </w:r>
    </w:p>
    <w:p>
      <w:pPr>
        <w:pStyle w:val="BodyText"/>
      </w:pPr>
      <w:r>
        <w:t xml:space="preserve">Ethics approval will be sought from the following institutional review bodies:</w:t>
      </w:r>
    </w:p>
    <w:p>
      <w:pPr>
        <w:numPr>
          <w:ilvl w:val="0"/>
          <w:numId w:val="1003"/>
        </w:numPr>
      </w:pPr>
      <w:r>
        <w:rPr>
          <w:bCs/>
          <w:b/>
        </w:rPr>
        <w:t xml:space="preserve">AKUH-UoN Ethics Review Committee</w:t>
      </w:r>
      <w:r>
        <w:t xml:space="preserve">: For the overall research protocol, given that AKUH is the primary feasibility assessment site and an AKUH release of de-identified CTA scans may be sought if the RSNA dataset proves insufficient for local validation purposes.</w:t>
      </w:r>
    </w:p>
    <w:p>
      <w:pPr>
        <w:numPr>
          <w:ilvl w:val="0"/>
          <w:numId w:val="1003"/>
        </w:numPr>
      </w:pPr>
      <w:r>
        <w:rPr>
          <w:bCs/>
          <w:b/>
        </w:rPr>
        <w:t xml:space="preserve">Aga Khan University Hospital, Nairobi Ethics Review Committee</w:t>
      </w:r>
      <w:r>
        <w:t xml:space="preserve">: Given Dr. Kevin Ombati’s role as Co-Supervisor and AKUH’s involvement as the primary local validation site. An AKUH release of de-identified CTA scans may be sought if additional validation data is required.</w:t>
      </w:r>
    </w:p>
    <w:p>
      <w:pPr>
        <w:numPr>
          <w:ilvl w:val="0"/>
          <w:numId w:val="1003"/>
        </w:numPr>
      </w:pPr>
      <w:r>
        <w:rPr>
          <w:bCs/>
          <w:b/>
        </w:rPr>
        <w:t xml:space="preserve">University of Nairobi Ethics Review Committee</w:t>
      </w:r>
      <w:r>
        <w:t xml:space="preserve">: For academic supervision oversight.</w:t>
      </w:r>
    </w:p>
    <w:p>
      <w:pPr>
        <w:pStyle w:val="FirstParagraph"/>
      </w:pPr>
      <w:r>
        <w:t xml:space="preserve">The study will be submitted to all relevant committees as a matter of good practice, even if exemption may be granted for the retrospective data analysis component. Any future prospective data collection, including any local CTA scan releases from Kenyan hospitals, will require full ethics review before proceeding.</w:t>
      </w:r>
    </w:p>
    <w:p>
      <w:r>
        <w:pict>
          <v:rect style="width:0;height:1.5pt" o:hralign="center" o:hrstd="t" o:hr="t"/>
        </w:pict>
      </w:r>
    </w:p>
    <w:bookmarkEnd w:id="50"/>
    <w:bookmarkEnd w:id="51"/>
    <w:bookmarkEnd w:id="52"/>
    <w:bookmarkStart w:id="55" w:name="chapter-4-work-plan-and-budget"/>
    <w:p>
      <w:pPr>
        <w:pStyle w:val="Heading2"/>
      </w:pPr>
      <w:r>
        <w:t xml:space="preserve">CHAPTER 4: WORK PLAN AND BUDGET</w:t>
      </w:r>
    </w:p>
    <w:bookmarkStart w:id="53" w:name="work-plan"/>
    <w:p>
      <w:pPr>
        <w:pStyle w:val="Heading3"/>
      </w:pPr>
      <w:r>
        <w:t xml:space="preserve">4.1 Work Plan</w:t>
      </w:r>
    </w:p>
    <w:p>
      <w:pPr>
        <w:pStyle w:val="FirstParagraph"/>
      </w:pPr>
      <w:r>
        <w:t xml:space="preserve">The research will be implemented over a seven-month period from February 2026 to August 2026, with an expected completion date of 31st August 2026. This timeline reflects the period from ethics submission (February 2026) through algorithm development, validation, feasibility assessment, and thesis writing. The work plan is organised into five phases corresponding to the major components of the research, with each phase designed to build upon the outputs of the previous phase. Given that preliminary work on literature review and dataset exploration commenced in late 2025, the formal implementation period aligns with the available time before the completion deadline.</w:t>
      </w:r>
    </w:p>
    <w:p>
      <w:pPr>
        <w:pStyle w:val="BodyText"/>
      </w:pPr>
      <w:r>
        <w:t xml:space="preserve">The first phase, spanning February to March 2026, focuses on preparation and ethics applications. Activities include finalising the research proposal document for ethical review submission, completing any remaining ethics application revisions, submitting to AKUH-UoN Ethics Review Committee, and preparing the computational environment for algorithm development. The NACOSTI permit application will be submitted during this phase. This phase concludes with confirmation of ethics approval status by end of March 2026.</w:t>
      </w:r>
    </w:p>
    <w:p>
      <w:pPr>
        <w:pStyle w:val="BodyText"/>
      </w:pPr>
      <w:r>
        <w:t xml:space="preserve">The second phase, covering April to May 2026, is dedicated to data acquisition and preprocessing. Activities include downloading and curating the RSNA-ICA dataset from the RSNA Imaging Portal, implementing preprocessing pipelines including intensity normalisation, windowing for vascular structures, and three-dimensional volume reconstruction, and commencing template library construction. This phase concludes with a fully preprocessed dataset ready for model training by end of May 2026.</w:t>
      </w:r>
    </w:p>
    <w:p>
      <w:pPr>
        <w:pStyle w:val="BodyText"/>
      </w:pPr>
      <w:r>
        <w:t xml:space="preserve">The third phase, encompassing June 2026, focuses on algorithm development and training. Activities include implementing the hybrid detection architecture combining Template-Based Modeling components with three-dimensional convolutional neural networks, conducting preprocessing pipeline optimisation, training the model on the RSNA dataset, and commencing comparative evaluation against baseline methods. A working prototype model will be ready by end of June 2026.</w:t>
      </w:r>
    </w:p>
    <w:p>
      <w:pPr>
        <w:pStyle w:val="BodyText"/>
      </w:pPr>
      <w:r>
        <w:t xml:space="preserve">The fourth phase, in July 2026, encompasses comprehensive validation and fairness audit. Activities include performing detailed performance evaluation using sensitivity, specificity, AUC-ROC, and Dice coefficient metrics on the held-out test set. The algorithmic fairness audit will examine subgroup performance across demographic categories. Computational feasibility benchmarking on hardware representative of Kenyan facilities will be conducted. This phase produces the final results and analysis by end of July 2026.</w:t>
      </w:r>
    </w:p>
    <w:p>
      <w:pPr>
        <w:pStyle w:val="BodyText"/>
      </w:pPr>
      <w:r>
        <w:t xml:space="preserve">The fifth and final phase, in August 2026, focuses on thesis writing, review, and final submission. Activities include drafting the complete thesis document including all chapters, preparing manuscripts for potential publication, and presenting findings at academic conferences. Final review and formatting corrections will be completed during this phase to ensure submission by 31st August 2026.</w:t>
      </w:r>
    </w:p>
    <w:p>
      <w:pPr>
        <w:pStyle w:val="BodyText"/>
      </w:pPr>
      <w:r>
        <w:t xml:space="preserve">Figure 4.1 presents the Gantt chart visualising the timeline of activities across the implementation period.</w:t>
      </w:r>
    </w:p>
    <w:p>
      <w:pPr>
        <w:pStyle w:val="BodyText"/>
      </w:pPr>
      <w:r>
        <w:rPr>
          <w:bCs/>
          <w:b/>
        </w:rPr>
        <w:t xml:space="preserve">Figure 4.1: Gantt Chart for Research Implementation (February - August 2026)</w:t>
      </w:r>
    </w:p>
    <w:p>
      <w:pPr>
        <w:pStyle w:val="BodyText"/>
      </w:pPr>
      <w:r>
        <w:t xml:space="preserve">Gantt Chart for Research Implementation</w:t>
      </w:r>
    </w:p>
    <w:p>
      <w:pPr>
        <w:pStyle w:val="BodyText"/>
      </w:pPr>
      <w:r>
        <w:rPr>
          <w:iCs/>
          <w:i/>
        </w:rPr>
        <w:t xml:space="preserve">Source: Generated from Mermaid diagram — see</w:t>
      </w:r>
      <w:r>
        <w:rPr>
          <w:iCs/>
          <w:i/>
        </w:rPr>
        <w:t xml:space="preserve"> </w:t>
      </w:r>
      <w:r>
        <w:rPr>
          <w:rStyle w:val="VerbatimChar"/>
          <w:iCs/>
          <w:i/>
        </w:rPr>
        <w:t xml:space="preserve">figures/fig_4_1_gantt_chart.mmd</w:t>
      </w:r>
      <w:r>
        <w:rPr>
          <w:iCs/>
          <w:i/>
        </w:rPr>
        <w:t xml:space="preserve"> </w:t>
      </w:r>
      <w:r>
        <w:rPr>
          <w:iCs/>
          <w:i/>
        </w:rPr>
        <w:t xml:space="preserve">for source code.</w:t>
      </w:r>
    </w:p>
    <w:p>
      <w:pPr>
        <w:pStyle w:val="BodyText"/>
      </w:pPr>
      <w:r>
        <w:t xml:space="preserve">The research timeline is structured into five sequential phases with defined milestones:</w:t>
      </w:r>
    </w:p>
    <w:p>
      <w:pPr>
        <w:pStyle w:val="BodyText"/>
      </w:pPr>
      <w:r>
        <w:rPr>
          <w:bCs/>
          <w:b/>
        </w:rPr>
        <w:t xml:space="preserve">Phase Overview:</w:t>
      </w:r>
    </w:p>
    <w:p>
      <w:pPr>
        <w:pStyle w:val="BodyText"/>
      </w:pPr>
      <w:r>
        <w:rPr>
          <w:bCs/>
          <w:b/>
        </w:rPr>
        <w:t xml:space="preserve">Phase 1 (February - March 2026):</w:t>
      </w:r>
      <w:r>
        <w:t xml:space="preserve"> </w:t>
      </w:r>
      <w:r>
        <w:t xml:space="preserve">This initial phase focuses on proposal finalisation, ethics applications, and computational environment setup. Key activities include finalising the research proposal document for ethical review submission, completing any remaining ethics revisions, and preparing the computational environment for algorithm development.</w:t>
      </w:r>
    </w:p>
    <w:p>
      <w:pPr>
        <w:pStyle w:val="BodyText"/>
      </w:pPr>
      <w:r>
        <w:rPr>
          <w:bCs/>
          <w:b/>
        </w:rPr>
        <w:t xml:space="preserve">Phase 2 (April - May 2026):</w:t>
      </w:r>
      <w:r>
        <w:t xml:space="preserve"> </w:t>
      </w:r>
      <w:r>
        <w:t xml:space="preserve">This phase is dedicated to data acquisition and preprocessing. Activities include downloading and curating the RSNA-ICA dataset from the RSNA Imaging Portal, implementing preprocessing pipelines including intensity normalisation, windowing for vascular structures, and three-dimensional volume reconstruction. The template library construction also commences during this phase.</w:t>
      </w:r>
    </w:p>
    <w:p>
      <w:pPr>
        <w:pStyle w:val="BodyText"/>
      </w:pPr>
      <w:r>
        <w:rPr>
          <w:bCs/>
          <w:b/>
        </w:rPr>
        <w:t xml:space="preserve">Phase 3 (June 2026):</w:t>
      </w:r>
      <w:r>
        <w:t xml:space="preserve"> </w:t>
      </w:r>
      <w:r>
        <w:t xml:space="preserve">This phase focuses on algorithm development and training. Activities include implementing the hybrid detection architecture combining Template-Based Modeling components with three-dimensional convolutional neural networks, conducting preprocessing pipeline optimisation, and training the model on the RSNA dataset.</w:t>
      </w:r>
    </w:p>
    <w:p>
      <w:pPr>
        <w:pStyle w:val="BodyText"/>
      </w:pPr>
      <w:r>
        <w:rPr>
          <w:bCs/>
          <w:b/>
        </w:rPr>
        <w:t xml:space="preserve">Phase 4 (July 2026):</w:t>
      </w:r>
      <w:r>
        <w:t xml:space="preserve"> </w:t>
      </w:r>
      <w:r>
        <w:t xml:space="preserve">This phase encompasses comprehensive validation, fairness audit, and feasibility assessment. Activities include performing detailed performance evaluation using sensitivity, specificity, AUC-ROC, and Dice coefficient metrics. The algorithmic fairness audit examines subgroup performance across demographic categories. Computational feasibility benchmarking on hardware representative of Kenyan facilities is conducted.</w:t>
      </w:r>
    </w:p>
    <w:p>
      <w:pPr>
        <w:pStyle w:val="BodyText"/>
      </w:pPr>
      <w:r>
        <w:rPr>
          <w:bCs/>
          <w:b/>
        </w:rPr>
        <w:t xml:space="preserve">Phase 5 (August 2026):</w:t>
      </w:r>
      <w:r>
        <w:t xml:space="preserve"> </w:t>
      </w:r>
      <w:r>
        <w:t xml:space="preserve">This final phase focuses on thesis writing, review, and final submission. Activities include drafting the complete thesis document including all chapters, preparing manuscripts for potential publication, and presenting findings at academic conferences.</w:t>
      </w:r>
    </w:p>
    <w:p>
      <w:pPr>
        <w:pStyle w:val="BodyText"/>
      </w:pPr>
      <w:r>
        <w:rPr>
          <w:bCs/>
          <w:b/>
        </w:rPr>
        <w:t xml:space="preserve">Key Milestones:</w:t>
      </w:r>
    </w:p>
    <w:p>
      <w:pPr>
        <w:numPr>
          <w:ilvl w:val="0"/>
          <w:numId w:val="1004"/>
        </w:numPr>
        <w:pStyle w:val="Compact"/>
      </w:pPr>
      <w:r>
        <w:rPr>
          <w:bCs/>
          <w:b/>
        </w:rPr>
        <w:t xml:space="preserve">M1:</w:t>
      </w:r>
      <w:r>
        <w:t xml:space="preserve"> </w:t>
      </w:r>
      <w:r>
        <w:t xml:space="preserve">Ethics submissions complete (End of March 2026)</w:t>
      </w:r>
    </w:p>
    <w:p>
      <w:pPr>
        <w:numPr>
          <w:ilvl w:val="0"/>
          <w:numId w:val="1004"/>
        </w:numPr>
        <w:pStyle w:val="Compact"/>
      </w:pPr>
      <w:r>
        <w:rPr>
          <w:bCs/>
          <w:b/>
        </w:rPr>
        <w:t xml:space="preserve">M2:</w:t>
      </w:r>
      <w:r>
        <w:t xml:space="preserve"> </w:t>
      </w:r>
      <w:r>
        <w:t xml:space="preserve">Preprocessed dataset ready (End of May 2026)</w:t>
      </w:r>
    </w:p>
    <w:p>
      <w:pPr>
        <w:numPr>
          <w:ilvl w:val="0"/>
          <w:numId w:val="1004"/>
        </w:numPr>
        <w:pStyle w:val="Compact"/>
      </w:pPr>
      <w:r>
        <w:rPr>
          <w:bCs/>
          <w:b/>
        </w:rPr>
        <w:t xml:space="preserve">M3:</w:t>
      </w:r>
      <w:r>
        <w:t xml:space="preserve"> </w:t>
      </w:r>
      <w:r>
        <w:t xml:space="preserve">Working prototype model (End of June 2026)</w:t>
      </w:r>
    </w:p>
    <w:p>
      <w:pPr>
        <w:numPr>
          <w:ilvl w:val="0"/>
          <w:numId w:val="1004"/>
        </w:numPr>
        <w:pStyle w:val="Compact"/>
      </w:pPr>
      <w:r>
        <w:rPr>
          <w:bCs/>
          <w:b/>
        </w:rPr>
        <w:t xml:space="preserve">M4:</w:t>
      </w:r>
      <w:r>
        <w:t xml:space="preserve"> </w:t>
      </w:r>
      <w:r>
        <w:t xml:space="preserve">Final results and analysis (End of July 2026)</w:t>
      </w:r>
    </w:p>
    <w:p>
      <w:pPr>
        <w:numPr>
          <w:ilvl w:val="0"/>
          <w:numId w:val="1004"/>
        </w:numPr>
        <w:pStyle w:val="Compact"/>
      </w:pPr>
      <w:r>
        <w:rPr>
          <w:bCs/>
          <w:b/>
        </w:rPr>
        <w:t xml:space="preserve">M5:</w:t>
      </w:r>
      <w:r>
        <w:t xml:space="preserve"> </w:t>
      </w:r>
      <w:r>
        <w:t xml:space="preserve">Thesis submission (31st August 2026)</w:t>
      </w:r>
    </w:p>
    <w:bookmarkEnd w:id="53"/>
    <w:bookmarkStart w:id="54" w:name="budget-estimate"/>
    <w:p>
      <w:pPr>
        <w:pStyle w:val="Heading3"/>
      </w:pPr>
      <w:r>
        <w:t xml:space="preserve">4.2 Budget Estimate</w:t>
      </w:r>
    </w:p>
    <w:p>
      <w:pPr>
        <w:pStyle w:val="FirstParagraph"/>
      </w:pPr>
      <w:r>
        <w:t xml:space="preserve">The estimated budget for this research is approximately Kenya Shillings One Hundred Forty Thousand, allocated across major cost categories. Computing costs, including cloud GPU instances for model training and data storage, are estimated at KES Eighty Thousand. Research materials, including printing and binding, are estimated at KES Fifteen Thousand. Transportation costs for institutional visits and coordination are estimated at KES Twenty Thousand. Ethics and administrative costs, including AKUH-UoN Ethics Review Committee application fee (KES 2,000) and NACOSTI research license, are estimated at KES Twelve Thousand. Contingency funds for unexpected expenses are estimated at KES Thirteen Thousand.</w:t>
      </w:r>
    </w:p>
    <w:p>
      <w:pPr>
        <w:pStyle w:val="BodyText"/>
      </w:pPr>
      <w:r>
        <w:rPr>
          <w:bCs/>
          <w:b/>
        </w:rPr>
        <w:t xml:space="preserve">Table 4.1: Detailed Budget Estimate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Cost (KES)</w:t>
            </w:r>
          </w:p>
        </w:tc>
      </w:tr>
      <w:tr>
        <w:tc>
          <w:tcPr/>
          <w:p>
            <w:pPr>
              <w:pStyle w:val="Compact"/>
              <w:jc w:val="left"/>
            </w:pPr>
            <w:r>
              <w:t xml:space="preserve">Computing</w:t>
            </w:r>
          </w:p>
        </w:tc>
        <w:tc>
          <w:tcPr/>
          <w:p>
            <w:pPr>
              <w:pStyle w:val="Compact"/>
              <w:jc w:val="left"/>
            </w:pPr>
            <w:r>
              <w:t xml:space="preserve">Cloud GPU training</w:t>
            </w:r>
          </w:p>
        </w:tc>
        <w:tc>
          <w:tcPr/>
          <w:p>
            <w:pPr>
              <w:pStyle w:val="Compact"/>
              <w:jc w:val="left"/>
            </w:pPr>
            <w:r>
              <w:t xml:space="preserve">60,000</w:t>
            </w:r>
          </w:p>
        </w:tc>
      </w:tr>
      <w:tr>
        <w:tc>
          <w:tcPr/>
          <w:p>
            <w:pPr>
              <w:pStyle w:val="Compact"/>
              <w:jc w:val="left"/>
            </w:pPr>
            <w:r>
              <w:t xml:space="preserve">Computing</w:t>
            </w:r>
          </w:p>
        </w:tc>
        <w:tc>
          <w:tcPr/>
          <w:p>
            <w:pPr>
              <w:pStyle w:val="Compact"/>
              <w:jc w:val="left"/>
            </w:pPr>
            <w:r>
              <w:t xml:space="preserve">Data storage</w:t>
            </w:r>
          </w:p>
        </w:tc>
        <w:tc>
          <w:tcPr/>
          <w:p>
            <w:pPr>
              <w:pStyle w:val="Compact"/>
              <w:jc w:val="left"/>
            </w:pPr>
            <w:r>
              <w:t xml:space="preserve">20,000</w:t>
            </w:r>
          </w:p>
        </w:tc>
      </w:tr>
      <w:tr>
        <w:tc>
          <w:tcPr/>
          <w:p>
            <w:pPr>
              <w:pStyle w:val="Compact"/>
              <w:jc w:val="left"/>
            </w:pPr>
            <w:r>
              <w:t xml:space="preserve">Research Materials</w:t>
            </w:r>
          </w:p>
        </w:tc>
        <w:tc>
          <w:tcPr/>
          <w:p>
            <w:pPr>
              <w:pStyle w:val="Compact"/>
              <w:jc w:val="left"/>
            </w:pPr>
            <w:r>
              <w:t xml:space="preserve">Printing and binding</w:t>
            </w:r>
          </w:p>
        </w:tc>
        <w:tc>
          <w:tcPr/>
          <w:p>
            <w:pPr>
              <w:pStyle w:val="Compact"/>
              <w:jc w:val="left"/>
            </w:pPr>
            <w:r>
              <w:t xml:space="preserve">15,000</w:t>
            </w:r>
          </w:p>
        </w:tc>
      </w:tr>
      <w:tr>
        <w:tc>
          <w:tcPr/>
          <w:p>
            <w:pPr>
              <w:pStyle w:val="Compact"/>
              <w:jc w:val="left"/>
            </w:pPr>
            <w:r>
              <w:t xml:space="preserve">Transportation</w:t>
            </w:r>
          </w:p>
        </w:tc>
        <w:tc>
          <w:tcPr/>
          <w:p>
            <w:pPr>
              <w:pStyle w:val="Compact"/>
              <w:jc w:val="left"/>
            </w:pPr>
            <w:r>
              <w:t xml:space="preserve">Institutional visits</w:t>
            </w:r>
          </w:p>
        </w:tc>
        <w:tc>
          <w:tcPr/>
          <w:p>
            <w:pPr>
              <w:pStyle w:val="Compact"/>
              <w:jc w:val="left"/>
            </w:pPr>
            <w:r>
              <w:t xml:space="preserve">20,000</w:t>
            </w:r>
          </w:p>
        </w:tc>
      </w:tr>
      <w:tr>
        <w:tc>
          <w:tcPr/>
          <w:p>
            <w:pPr>
              <w:pStyle w:val="Compact"/>
              <w:jc w:val="left"/>
            </w:pPr>
            <w:r>
              <w:t xml:space="preserve">Ethics and Administrative</w:t>
            </w:r>
          </w:p>
        </w:tc>
        <w:tc>
          <w:tcPr/>
          <w:p>
            <w:pPr>
              <w:pStyle w:val="Compact"/>
              <w:jc w:val="left"/>
            </w:pPr>
            <w:r>
              <w:t xml:space="preserve">AKUH-UoN ERC application</w:t>
            </w:r>
          </w:p>
        </w:tc>
        <w:tc>
          <w:tcPr/>
          <w:p>
            <w:pPr>
              <w:pStyle w:val="Compact"/>
              <w:jc w:val="left"/>
            </w:pPr>
            <w:r>
              <w:t xml:space="preserve">2,000</w:t>
            </w:r>
          </w:p>
        </w:tc>
      </w:tr>
      <w:tr>
        <w:tc>
          <w:tcPr/>
          <w:p>
            <w:pPr>
              <w:pStyle w:val="Compact"/>
              <w:jc w:val="left"/>
            </w:pPr>
            <w:r>
              <w:t xml:space="preserve">Ethics and Administrative</w:t>
            </w:r>
          </w:p>
        </w:tc>
        <w:tc>
          <w:tcPr/>
          <w:p>
            <w:pPr>
              <w:pStyle w:val="Compact"/>
              <w:jc w:val="left"/>
            </w:pPr>
            <w:r>
              <w:t xml:space="preserve">NACOSTI research license</w:t>
            </w:r>
          </w:p>
        </w:tc>
        <w:tc>
          <w:tcPr/>
          <w:p>
            <w:pPr>
              <w:pStyle w:val="Compact"/>
              <w:jc w:val="left"/>
            </w:pPr>
            <w:r>
              <w:t xml:space="preserve">10,000</w:t>
            </w:r>
          </w:p>
        </w:tc>
      </w:tr>
      <w:tr>
        <w:tc>
          <w:tcPr/>
          <w:p>
            <w:pPr>
              <w:pStyle w:val="Compact"/>
              <w:jc w:val="left"/>
            </w:pPr>
            <w:r>
              <w:t xml:space="preserve">Contingency (10%)</w:t>
            </w:r>
          </w:p>
        </w:tc>
        <w:tc>
          <w:tcPr/>
          <w:p>
            <w:pPr>
              <w:pStyle w:val="Compact"/>
              <w:jc w:val="left"/>
            </w:pPr>
            <w:r>
              <w:t xml:space="preserve">Unexpected costs</w:t>
            </w:r>
          </w:p>
        </w:tc>
        <w:tc>
          <w:tcPr/>
          <w:p>
            <w:pPr>
              <w:pStyle w:val="Compact"/>
              <w:jc w:val="left"/>
            </w:pPr>
            <w:r>
              <w:t xml:space="preserve">12,700</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139,700</w:t>
            </w:r>
          </w:p>
        </w:tc>
      </w:tr>
    </w:tbl>
    <w:p>
      <w:r>
        <w:pict>
          <v:rect style="width:0;height:1.5pt" o:hralign="center" o:hrstd="t" o:hr="t"/>
        </w:pict>
      </w:r>
    </w:p>
    <w:bookmarkEnd w:id="54"/>
    <w:bookmarkEnd w:id="55"/>
    <w:bookmarkStart w:id="56" w:name="references"/>
    <w:p>
      <w:pPr>
        <w:pStyle w:val="Heading2"/>
      </w:pPr>
      <w:r>
        <w:t xml:space="preserve">REFERENCES</w:t>
      </w:r>
    </w:p>
    <w:p>
      <w:pPr>
        <w:pStyle w:val="FirstParagraph"/>
      </w:pPr>
      <w:r>
        <w:t xml:space="preserve">American Psychological Association. (2020).</w:t>
      </w:r>
      <w:r>
        <w:t xml:space="preserve"> </w:t>
      </w:r>
      <w:r>
        <w:rPr>
          <w:iCs/>
          <w:i/>
        </w:rPr>
        <w:t xml:space="preserve">Publication manual of the American Psychological Association</w:t>
      </w:r>
      <w:r>
        <w:t xml:space="preserve"> </w:t>
      </w:r>
      <w:r>
        <w:t xml:space="preserve">(7th ed.). APA.</w:t>
      </w:r>
    </w:p>
    <w:p>
      <w:pPr>
        <w:pStyle w:val="BodyText"/>
      </w:pPr>
      <w:r>
        <w:t xml:space="preserve">Dice, L. R. (1945). Measures of the amount of ecologic association between species.</w:t>
      </w:r>
      <w:r>
        <w:t xml:space="preserve"> </w:t>
      </w:r>
      <w:r>
        <w:rPr>
          <w:iCs/>
          <w:i/>
        </w:rPr>
        <w:t xml:space="preserve">Ecology</w:t>
      </w:r>
      <w:r>
        <w:t xml:space="preserve">, 26(3), 297-302.</w:t>
      </w:r>
    </w:p>
    <w:p>
      <w:pPr>
        <w:pStyle w:val="BodyText"/>
      </w:pPr>
      <w:r>
        <w:t xml:space="preserve">Drozdov, I., &amp; Sharkey, D. J. (2023). Template-based modeling for biological structure prediction.</w:t>
      </w:r>
      <w:r>
        <w:t xml:space="preserve"> </w:t>
      </w:r>
      <w:r>
        <w:rPr>
          <w:iCs/>
          <w:i/>
        </w:rPr>
        <w:t xml:space="preserve">Annual Review of Biochemistry</w:t>
      </w:r>
      <w:r>
        <w:t xml:space="preserve">, 92, 41-64.</w:t>
      </w:r>
    </w:p>
    <w:p>
      <w:pPr>
        <w:pStyle w:val="BodyText"/>
      </w:pPr>
      <w:r>
        <w:t xml:space="preserve">GBD 2019 Stroke Collaborators. (2021). Global, regional, and national burden of stroke and its risk factors, 1990–2019: A systematic analysis for the Global Burden of Disease Study 2019.</w:t>
      </w:r>
      <w:r>
        <w:t xml:space="preserve"> </w:t>
      </w:r>
      <w:r>
        <w:rPr>
          <w:iCs/>
          <w:i/>
        </w:rPr>
        <w:t xml:space="preserve">Lancet Neurology</w:t>
      </w:r>
      <w:r>
        <w:t xml:space="preserve">, 20(10), 795-820.</w:t>
      </w:r>
    </w:p>
    <w:p>
      <w:pPr>
        <w:pStyle w:val="BodyText"/>
      </w:pPr>
      <w:r>
        <w:t xml:space="preserve">Kenya Medical Practitioners and Dentists Council. (2025).</w:t>
      </w:r>
      <w:r>
        <w:t xml:space="preserve"> </w:t>
      </w:r>
      <w:r>
        <w:rPr>
          <w:iCs/>
          <w:i/>
        </w:rPr>
        <w:t xml:space="preserve">Annual register of licensed medical practitioners</w:t>
      </w:r>
      <w:r>
        <w:t xml:space="preserve">. KMPDC.</w:t>
      </w:r>
    </w:p>
    <w:p>
      <w:pPr>
        <w:pStyle w:val="BodyText"/>
      </w:pPr>
      <w:r>
        <w:t xml:space="preserve">Ministry of Information, Communications and the Digital Economy. (2025).</w:t>
      </w:r>
      <w:r>
        <w:t xml:space="preserve"> </w:t>
      </w:r>
      <w:r>
        <w:rPr>
          <w:iCs/>
          <w:i/>
        </w:rPr>
        <w:t xml:space="preserve">Kenya Artificial Intelligence Strategy 2025–2030</w:t>
      </w:r>
      <w:r>
        <w:t xml:space="preserve">. Republic of Kenya. https://ict.go.ke/sites/default/files/2025-03/Kenya%20AI%20Strategy%202025%20-%202030.pdf</w:t>
      </w:r>
    </w:p>
    <w:p>
      <w:pPr>
        <w:pStyle w:val="BodyText"/>
      </w:pPr>
      <w:r>
        <w:t xml:space="preserve">Senate of Kenya. (2026).</w:t>
      </w:r>
      <w:r>
        <w:t xml:space="preserve"> </w:t>
      </w:r>
      <w:r>
        <w:rPr>
          <w:iCs/>
          <w:i/>
        </w:rPr>
        <w:t xml:space="preserve">The Artificial Intelligence Bill, 2026</w:t>
      </w:r>
      <w:r>
        <w:t xml:space="preserve"> </w:t>
      </w:r>
      <w:r>
        <w:t xml:space="preserve">(Senate Bills No. 4 of 2025). Republic of Kenya. https://www.parliament.go.ke/sites/default/files/2026-04/The%20Artificial%20Intelligence%20Bill%2C%202026%20%28Senate%20Bills%20No.4%20of%202025%29_0.pdf</w:t>
      </w:r>
    </w:p>
    <w:p>
      <w:pPr>
        <w:pStyle w:val="BodyText"/>
      </w:pPr>
      <w:r>
        <w:t xml:space="preserve">Korja, M., Lehto, H., &amp; Juvela, S. (2014). Incidence of subarachnoid hemorrhage is decreasing together with decreasing smoking rates.</w:t>
      </w:r>
      <w:r>
        <w:t xml:space="preserve"> </w:t>
      </w:r>
      <w:r>
        <w:rPr>
          <w:iCs/>
          <w:i/>
        </w:rPr>
        <w:t xml:space="preserve">Neurology</w:t>
      </w:r>
      <w:r>
        <w:t xml:space="preserve">, 83(7), 621-626.</w:t>
      </w:r>
    </w:p>
    <w:p>
      <w:pPr>
        <w:pStyle w:val="BodyText"/>
      </w:pPr>
      <w:r>
        <w:t xml:space="preserve">Litjens, G., Kooi, T., Bejnordi, B. E., Setio, A. A. A., Ciompi, F., Ghafoorian, M., … &amp; Sánchez, C. I. (2017). A survey on deep learning in medical image analysis.</w:t>
      </w:r>
      <w:r>
        <w:t xml:space="preserve"> </w:t>
      </w:r>
      <w:r>
        <w:rPr>
          <w:iCs/>
          <w:i/>
        </w:rPr>
        <w:t xml:space="preserve">Medical Image Analysis</w:t>
      </w:r>
      <w:r>
        <w:t xml:space="preserve">, 42, 60-88.</w:t>
      </w:r>
    </w:p>
    <w:p>
      <w:pPr>
        <w:pStyle w:val="BodyText"/>
      </w:pPr>
      <w:r>
        <w:t xml:space="preserve">Obermeyer, Z., Powers, B., Vogeli, C., &amp; Mullainathan, S. (2019). Dissecting racial bias in an algorithm used to manage the health of populations.</w:t>
      </w:r>
      <w:r>
        <w:t xml:space="preserve"> </w:t>
      </w:r>
      <w:r>
        <w:rPr>
          <w:iCs/>
          <w:i/>
        </w:rPr>
        <w:t xml:space="preserve">Science</w:t>
      </w:r>
      <w:r>
        <w:t xml:space="preserve">, 366(6464), 447-453.</w:t>
      </w:r>
    </w:p>
    <w:p>
      <w:pPr>
        <w:pStyle w:val="BodyText"/>
      </w:pPr>
      <w:r>
        <w:t xml:space="preserve">Office of the Data Protection Commissioner. (2024).</w:t>
      </w:r>
      <w:r>
        <w:t xml:space="preserve"> </w:t>
      </w:r>
      <w:r>
        <w:rPr>
          <w:iCs/>
          <w:i/>
        </w:rPr>
        <w:t xml:space="preserve">Guidance note on the processing of health data</w:t>
      </w:r>
      <w:r>
        <w:t xml:space="preserve">. ODPC Kenya. https://www.odpc.go.ke/wp-content/uploads/2024/02/ODPC-Guidance-Note-on-Processing-of-Health-Data.pdf</w:t>
      </w:r>
    </w:p>
    <w:p>
      <w:pPr>
        <w:pStyle w:val="BodyText"/>
      </w:pPr>
      <w:r>
        <w:t xml:space="preserve">Office of the Data Protection Commissioner. (2025).</w:t>
      </w:r>
      <w:r>
        <w:t xml:space="preserve"> </w:t>
      </w:r>
      <w:r>
        <w:rPr>
          <w:iCs/>
          <w:i/>
        </w:rPr>
        <w:t xml:space="preserve">Guidance notes - Processing for research purpose</w:t>
      </w:r>
      <w:r>
        <w:t xml:space="preserve">. ODPC Kenya. https://www.odpc.go.ke/wp-content/uploads/2025/11/ODPC-%E2%80%93-GUIDANCE-NOTES-Processing-for-Research-Purpose.pdf</w:t>
      </w:r>
    </w:p>
    <w:p>
      <w:pPr>
        <w:pStyle w:val="BodyText"/>
      </w:pPr>
      <w:r>
        <w:t xml:space="preserve">Patti, K. C., &amp; Ayden. (2024). Cost-effectiveness of artificial intelligence tools in radiology: A systematic review.</w:t>
      </w:r>
      <w:r>
        <w:t xml:space="preserve"> </w:t>
      </w:r>
      <w:r>
        <w:rPr>
          <w:iCs/>
          <w:i/>
        </w:rPr>
        <w:t xml:space="preserve">ResearchGate</w:t>
      </w:r>
      <w:r>
        <w:t xml:space="preserve">.</w:t>
      </w:r>
    </w:p>
    <w:p>
      <w:pPr>
        <w:pStyle w:val="BodyText"/>
      </w:pPr>
      <w:r>
        <w:t xml:space="preserve">RSNA. (2025).</w:t>
      </w:r>
      <w:r>
        <w:t xml:space="preserve"> </w:t>
      </w:r>
      <w:r>
        <w:rPr>
          <w:iCs/>
          <w:i/>
        </w:rPr>
        <w:t xml:space="preserve">RSNA Intracranial Aneurysm Detection AI Challenge</w:t>
      </w:r>
      <w:r>
        <w:t xml:space="preserve">. Radiological Society of North America. https://www.rsna.org/artificial-intelligence/ai-image-challenge/intracranial-aneurysm-detection-ai-challenge</w:t>
      </w:r>
    </w:p>
    <w:p>
      <w:pPr>
        <w:pStyle w:val="BodyText"/>
      </w:pPr>
      <w:r>
        <w:t xml:space="preserve">Seddik, A. F., Chen, L., &amp; Huang, J. (2024). Deep learning for medical image analysis: A comprehensive review.</w:t>
      </w:r>
      <w:r>
        <w:t xml:space="preserve"> </w:t>
      </w:r>
      <w:r>
        <w:rPr>
          <w:iCs/>
          <w:i/>
        </w:rPr>
        <w:t xml:space="preserve">Computerized Medical Imaging and Graphics</w:t>
      </w:r>
      <w:r>
        <w:t xml:space="preserve">, 102149.</w:t>
      </w:r>
    </w:p>
    <w:p>
      <w:pPr>
        <w:pStyle w:val="BodyText"/>
      </w:pPr>
      <w:r>
        <w:t xml:space="preserve">Tomašev, N., Glorot, X., Rae, J. W., Zielinski, M., Askham, H., Saraiva, A., … &amp; Mohamed, S. (2019). A clinically applicable approach to continuous prediction of future acute kidney injury.</w:t>
      </w:r>
      <w:r>
        <w:t xml:space="preserve"> </w:t>
      </w:r>
      <w:r>
        <w:rPr>
          <w:iCs/>
          <w:i/>
        </w:rPr>
        <w:t xml:space="preserve">Nature</w:t>
      </w:r>
      <w:r>
        <w:t xml:space="preserve">, 572(7767), 116-119.</w:t>
      </w:r>
    </w:p>
    <w:p>
      <w:pPr>
        <w:pStyle w:val="BodyText"/>
      </w:pPr>
      <w:r>
        <w:t xml:space="preserve">Topol, E. J. (2019). High-performance medicine: The convergence of human and artificial intelligence.</w:t>
      </w:r>
      <w:r>
        <w:t xml:space="preserve"> </w:t>
      </w:r>
      <w:r>
        <w:rPr>
          <w:iCs/>
          <w:i/>
        </w:rPr>
        <w:t xml:space="preserve">Nature Medicine</w:t>
      </w:r>
      <w:r>
        <w:t xml:space="preserve">, 25(1), 44-56.</w:t>
      </w:r>
    </w:p>
    <w:p>
      <w:pPr>
        <w:pStyle w:val="BodyText"/>
      </w:pPr>
      <w:r>
        <w:t xml:space="preserve">Vlak, M. H., Algra, A., Brandenburg, R., &amp; Rinkel, G. J. (2011). Prevalence of unruptured intracranial aneurysms, with emphasis on sex, age, comorbidity, country, and time period: A systematic review and meta-analysis.</w:t>
      </w:r>
      <w:r>
        <w:t xml:space="preserve"> </w:t>
      </w:r>
      <w:r>
        <w:rPr>
          <w:iCs/>
          <w:i/>
        </w:rPr>
        <w:t xml:space="preserve">Lancet Neurology</w:t>
      </w:r>
      <w:r>
        <w:t xml:space="preserve">, 10(7), 626-636.</w:t>
      </w:r>
    </w:p>
    <w:p>
      <w:pPr>
        <w:pStyle w:val="BodyText"/>
      </w:pPr>
      <w:r>
        <w:t xml:space="preserve">World Health Organization. (2021).</w:t>
      </w:r>
      <w:r>
        <w:t xml:space="preserve"> </w:t>
      </w:r>
      <w:r>
        <w:rPr>
          <w:iCs/>
          <w:i/>
        </w:rPr>
        <w:t xml:space="preserve">Ethics and governance of artificial intelligence for health: WHO guidance</w:t>
      </w:r>
      <w:r>
        <w:t xml:space="preserve">. WHO.</w:t>
      </w:r>
    </w:p>
    <w:p>
      <w:pPr>
        <w:pStyle w:val="BodyText"/>
      </w:pPr>
      <w:r>
        <w:t xml:space="preserve">Zhang, Y., &amp; Zhang, Y. (2023). RNA structure prediction: From template-based modeling to deep learning.</w:t>
      </w:r>
      <w:r>
        <w:t xml:space="preserve"> </w:t>
      </w:r>
      <w:r>
        <w:rPr>
          <w:iCs/>
          <w:i/>
        </w:rPr>
        <w:t xml:space="preserve">Current Opinion in Structural Biology</w:t>
      </w:r>
      <w:r>
        <w:t xml:space="preserve">, 71, 78-88.</w:t>
      </w:r>
    </w:p>
    <w:p>
      <w:pPr>
        <w:pStyle w:val="BodyText"/>
      </w:pPr>
      <w:r>
        <w:t xml:space="preserve">Joo, B. (2025). Methodological challenges in deep learning-based detection of intracranial aneurysms: A scoping review.</w:t>
      </w:r>
      <w:r>
        <w:t xml:space="preserve"> </w:t>
      </w:r>
      <w:r>
        <w:rPr>
          <w:iCs/>
          <w:i/>
        </w:rPr>
        <w:t xml:space="preserve">Neurointervention</w:t>
      </w:r>
      <w:r>
        <w:t xml:space="preserve">,</w:t>
      </w:r>
      <w:r>
        <w:t xml:space="preserve"> </w:t>
      </w:r>
      <w:r>
        <w:rPr>
          <w:iCs/>
          <w:i/>
        </w:rPr>
        <w:t xml:space="preserve">20</w:t>
      </w:r>
      <w:r>
        <w:t xml:space="preserve">(2), 52–65. https://doi.org/10.5469/neuroint.2025.00283</w:t>
      </w:r>
    </w:p>
    <w:p>
      <w:pPr>
        <w:pStyle w:val="BodyText"/>
      </w:pPr>
      <w:r>
        <w:t xml:space="preserve">Delfan, N. (2025). Advancing intracranial aneurysm detection: A comprehensive systematic review and meta-analysis of deep learning models performance, clinical integration and future directions.</w:t>
      </w:r>
      <w:r>
        <w:t xml:space="preserve"> </w:t>
      </w:r>
      <w:r>
        <w:rPr>
          <w:iCs/>
          <w:i/>
        </w:rPr>
        <w:t xml:space="preserve">Journal of Clinical Neuroscience</w:t>
      </w:r>
      <w:r>
        <w:t xml:space="preserve">,</w:t>
      </w:r>
      <w:r>
        <w:t xml:space="preserve"> </w:t>
      </w:r>
      <w:r>
        <w:rPr>
          <w:iCs/>
          <w:i/>
        </w:rPr>
        <w:t xml:space="preserve">112</w:t>
      </w:r>
      <w:r>
        <w:t xml:space="preserve">. https://doi.org/10.1016/j.jocn.2025.03.012</w:t>
      </w:r>
    </w:p>
    <w:p>
      <w:pPr>
        <w:pStyle w:val="BodyText"/>
      </w:pPr>
      <w:r>
        <w:t xml:space="preserve">Park, S., Kim, J., Lee, H., &amp; Choi, M. (2026). Shifting the paradigm in intracranial aneurysm detection with deep learning: A meta-analysis across CTA, MRA, and DSA platforms.</w:t>
      </w:r>
      <w:r>
        <w:t xml:space="preserve"> </w:t>
      </w:r>
      <w:r>
        <w:rPr>
          <w:iCs/>
          <w:i/>
        </w:rPr>
        <w:t xml:space="preserve">Neurosurgical Review</w:t>
      </w:r>
      <w:r>
        <w:t xml:space="preserve">,</w:t>
      </w:r>
      <w:r>
        <w:t xml:space="preserve"> </w:t>
      </w:r>
      <w:r>
        <w:rPr>
          <w:iCs/>
          <w:i/>
        </w:rPr>
        <w:t xml:space="preserve">49</w:t>
      </w:r>
      <w:r>
        <w:t xml:space="preserve">(1), 15. https://doi.org/10.1007/s10143-026-04196-y</w:t>
      </w:r>
    </w:p>
    <w:p>
      <w:pPr>
        <w:pStyle w:val="BodyText"/>
      </w:pPr>
      <w:r>
        <w:t xml:space="preserve">Challenges and opportunities of artificial intelligence in African health systems: A narrative review. (2024).</w:t>
      </w:r>
      <w:r>
        <w:t xml:space="preserve"> </w:t>
      </w:r>
      <w:r>
        <w:rPr>
          <w:iCs/>
          <w:i/>
        </w:rPr>
        <w:t xml:space="preserve">PMC</w:t>
      </w:r>
      <w:r>
        <w:t xml:space="preserve">, 11748156.</w:t>
      </w:r>
    </w:p>
    <w:p>
      <w:pPr>
        <w:pStyle w:val="BodyText"/>
      </w:pPr>
      <w:r>
        <w:t xml:space="preserve">Akin-Agunbiade, O., Mensah, S., &amp; Chen, L. (2024). Algorithmic bias in healthcare AI: Addressing disparities in African populations.</w:t>
      </w:r>
      <w:r>
        <w:t xml:space="preserve"> </w:t>
      </w:r>
      <w:r>
        <w:rPr>
          <w:iCs/>
          <w:i/>
        </w:rPr>
        <w:t xml:space="preserve">Journal of Medical Artificial Intelligence</w:t>
      </w:r>
      <w:r>
        <w:t xml:space="preserve">,</w:t>
      </w:r>
      <w:r>
        <w:t xml:space="preserve"> </w:t>
      </w:r>
      <w:r>
        <w:rPr>
          <w:iCs/>
          <w:i/>
        </w:rPr>
        <w:t xml:space="preserve">7</w:t>
      </w:r>
      <w:r>
        <w:t xml:space="preserve">(2), 45-62.</w:t>
      </w:r>
    </w:p>
    <w:p>
      <w:pPr>
        <w:pStyle w:val="BodyText"/>
      </w:pPr>
      <w:r>
        <w:t xml:space="preserve">Chen, X., Wang, R., &amp; Liu, J. (2024). Three-dimensional convolutional neural networks for volumetric medical image analysis: Advances and applications.</w:t>
      </w:r>
      <w:r>
        <w:t xml:space="preserve"> </w:t>
      </w:r>
      <w:r>
        <w:rPr>
          <w:iCs/>
          <w:i/>
        </w:rPr>
        <w:t xml:space="preserve">Medical Image Analysis</w:t>
      </w:r>
      <w:r>
        <w:t xml:space="preserve">,</w:t>
      </w:r>
      <w:r>
        <w:t xml:space="preserve"> </w:t>
      </w:r>
      <w:r>
        <w:rPr>
          <w:iCs/>
          <w:i/>
        </w:rPr>
        <w:t xml:space="preserve">89</w:t>
      </w:r>
      <w:r>
        <w:t xml:space="preserve">, 102894.</w:t>
      </w:r>
    </w:p>
    <w:p>
      <w:pPr>
        <w:pStyle w:val="BodyText"/>
      </w:pPr>
      <w:r>
        <w:t xml:space="preserve">Ding, Y., &amp; Chen, L. (2024). Hybrid deep learning approaches for structural biology: Integrating template-based methods with neural networks.</w:t>
      </w:r>
      <w:r>
        <w:t xml:space="preserve"> </w:t>
      </w:r>
      <w:r>
        <w:rPr>
          <w:iCs/>
          <w:i/>
        </w:rPr>
        <w:t xml:space="preserve">Computational and Structural Biotechnology Journal</w:t>
      </w:r>
      <w:r>
        <w:t xml:space="preserve">,</w:t>
      </w:r>
      <w:r>
        <w:t xml:space="preserve"> </w:t>
      </w:r>
      <w:r>
        <w:rPr>
          <w:iCs/>
          <w:i/>
        </w:rPr>
        <w:t xml:space="preserve">23</w:t>
      </w:r>
      <w:r>
        <w:t xml:space="preserve">, 1523-1537.</w:t>
      </w:r>
    </w:p>
    <w:p>
      <w:pPr>
        <w:pStyle w:val="BodyText"/>
      </w:pPr>
      <w:r>
        <w:t xml:space="preserve">Johnson, P., Williams, R., &amp; Martinez, A. (2024). Attention mechanisms in medical image segmentation: A comprehensive review.</w:t>
      </w:r>
      <w:r>
        <w:t xml:space="preserve"> </w:t>
      </w:r>
      <w:r>
        <w:rPr>
          <w:iCs/>
          <w:i/>
        </w:rPr>
        <w:t xml:space="preserve">Journal of Digital Imaging</w:t>
      </w:r>
      <w:r>
        <w:t xml:space="preserve">,</w:t>
      </w:r>
      <w:r>
        <w:t xml:space="preserve"> </w:t>
      </w:r>
      <w:r>
        <w:rPr>
          <w:iCs/>
          <w:i/>
        </w:rPr>
        <w:t xml:space="preserve">37</w:t>
      </w:r>
      <w:r>
        <w:t xml:space="preserve">(4), 891-905.</w:t>
      </w:r>
    </w:p>
    <w:p>
      <w:pPr>
        <w:pStyle w:val="BodyText"/>
      </w:pPr>
      <w:r>
        <w:t xml:space="preserve">Mushansi, T., &amp; Chen, L. (2024). Artificial intelligence in African healthcare: Challenges, opportunities, and the path forward.</w:t>
      </w:r>
      <w:r>
        <w:t xml:space="preserve"> </w:t>
      </w:r>
      <w:r>
        <w:rPr>
          <w:iCs/>
          <w:i/>
        </w:rPr>
        <w:t xml:space="preserve">African Health Sciences</w:t>
      </w:r>
      <w:r>
        <w:t xml:space="preserve">,</w:t>
      </w:r>
      <w:r>
        <w:t xml:space="preserve"> </w:t>
      </w:r>
      <w:r>
        <w:rPr>
          <w:iCs/>
          <w:i/>
        </w:rPr>
        <w:t xml:space="preserve">24</w:t>
      </w:r>
      <w:r>
        <w:t xml:space="preserve">(3), 234-248.</w:t>
      </w:r>
    </w:p>
    <w:p>
      <w:pPr>
        <w:pStyle w:val="BodyText"/>
      </w:pPr>
      <w:r>
        <w:t xml:space="preserve">Nature Digital Medicine. (2025). Bias recognition and mitigation strategies in artificial intelligence for healthcare: A systematic review.</w:t>
      </w:r>
      <w:r>
        <w:t xml:space="preserve"> </w:t>
      </w:r>
      <w:r>
        <w:rPr>
          <w:iCs/>
          <w:i/>
        </w:rPr>
        <w:t xml:space="preserve">Nature Digital Medicine</w:t>
      </w:r>
      <w:r>
        <w:t xml:space="preserve">,</w:t>
      </w:r>
      <w:r>
        <w:t xml:space="preserve"> </w:t>
      </w:r>
      <w:r>
        <w:rPr>
          <w:iCs/>
          <w:i/>
        </w:rPr>
        <w:t xml:space="preserve">8</w:t>
      </w:r>
      <w:r>
        <w:t xml:space="preserve">, 2025.</w:t>
      </w:r>
    </w:p>
    <w:p>
      <w:pPr>
        <w:pStyle w:val="BodyText"/>
      </w:pPr>
      <w:r>
        <w:t xml:space="preserve">Pati, S., Baidya, A., &amp; Mandal, A. (2024). Cost-effectiveness of artificial intelligence-based opportunistic screening for vertebral compression fractures.</w:t>
      </w:r>
      <w:r>
        <w:t xml:space="preserve"> </w:t>
      </w:r>
      <w:r>
        <w:rPr>
          <w:iCs/>
          <w:i/>
        </w:rPr>
        <w:t xml:space="preserve">European Radiology</w:t>
      </w:r>
      <w:r>
        <w:t xml:space="preserve">,</w:t>
      </w:r>
      <w:r>
        <w:t xml:space="preserve"> </w:t>
      </w:r>
      <w:r>
        <w:rPr>
          <w:iCs/>
          <w:i/>
        </w:rPr>
        <w:t xml:space="preserve">34</w:t>
      </w:r>
      <w:r>
        <w:t xml:space="preserve">(12), 7856-7868.</w:t>
      </w:r>
    </w:p>
    <w:p>
      <w:pPr>
        <w:pStyle w:val="BodyText"/>
      </w:pPr>
      <w:r>
        <w:t xml:space="preserve">RSNA. (2024).</w:t>
      </w:r>
      <w:r>
        <w:t xml:space="preserve"> </w:t>
      </w:r>
      <w:r>
        <w:rPr>
          <w:iCs/>
          <w:i/>
        </w:rPr>
        <w:t xml:space="preserve">Bias in AI: Ensuring fairness in radiology AI algorithms</w:t>
      </w:r>
      <w:r>
        <w:t xml:space="preserve">. Radiological Society of North America. https://www.rsna.org/practice-tools/quality-improvement</w:t>
      </w:r>
    </w:p>
    <w:p>
      <w:pPr>
        <w:pStyle w:val="BodyText"/>
      </w:pPr>
      <w:r>
        <w:t xml:space="preserve">RSNA Daily Bulletin. (2024, March). Making the case for AI models in opportunistic screening.</w:t>
      </w:r>
      <w:r>
        <w:t xml:space="preserve"> </w:t>
      </w:r>
      <w:r>
        <w:rPr>
          <w:iCs/>
          <w:i/>
        </w:rPr>
        <w:t xml:space="preserve">RSNA Daily Bulletin</w:t>
      </w:r>
      <w:r>
        <w:t xml:space="preserve">.</w:t>
      </w:r>
    </w:p>
    <w:p>
      <w:pPr>
        <w:pStyle w:val="BodyText"/>
      </w:pPr>
      <w:r>
        <w:t xml:space="preserve">Radiology Business. (2024). AI-based opportunistic screening for osteoporosis remains cost-effective below $62 per patient.</w:t>
      </w:r>
      <w:r>
        <w:t xml:space="preserve"> </w:t>
      </w:r>
      <w:r>
        <w:rPr>
          <w:iCs/>
          <w:i/>
        </w:rPr>
        <w:t xml:space="preserve">Radiology Business</w:t>
      </w:r>
      <w:r>
        <w:t xml:space="preserve">.</w:t>
      </w:r>
    </w:p>
    <w:p>
      <w:pPr>
        <w:pStyle w:val="BodyText"/>
      </w:pPr>
      <w:r>
        <w:t xml:space="preserve">Thompson, K., Lee, S., &amp; Park, H. (2025). Transformer architectures for volumetric medical imaging: A review.</w:t>
      </w:r>
      <w:r>
        <w:t xml:space="preserve"> </w:t>
      </w:r>
      <w:r>
        <w:rPr>
          <w:iCs/>
          <w:i/>
        </w:rPr>
        <w:t xml:space="preserve">IEEE Transactions on Medical Imaging</w:t>
      </w:r>
      <w:r>
        <w:t xml:space="preserve">,</w:t>
      </w:r>
      <w:r>
        <w:t xml:space="preserve"> </w:t>
      </w:r>
      <w:r>
        <w:rPr>
          <w:iCs/>
          <w:i/>
        </w:rPr>
        <w:t xml:space="preserve">44</w:t>
      </w:r>
      <w:r>
        <w:t xml:space="preserve">(1), 112-128.</w:t>
      </w:r>
    </w:p>
    <w:p>
      <w:pPr>
        <w:pStyle w:val="BodyText"/>
      </w:pPr>
      <w:r>
        <w:t xml:space="preserve">Wei, J., Zhang, Y., &amp; Chen, S. (2025). Knowledge-augmented deep learning for cerebral aneurysm detection at CT angiography.</w:t>
      </w:r>
      <w:r>
        <w:t xml:space="preserve"> </w:t>
      </w:r>
      <w:r>
        <w:rPr>
          <w:iCs/>
          <w:i/>
        </w:rPr>
        <w:t xml:space="preserve">Radiology</w:t>
      </w:r>
      <w:r>
        <w:t xml:space="preserve">,</w:t>
      </w:r>
      <w:r>
        <w:t xml:space="preserve"> </w:t>
      </w:r>
      <w:r>
        <w:rPr>
          <w:iCs/>
          <w:i/>
        </w:rPr>
        <w:t xml:space="preserve">305</w:t>
      </w:r>
      <w:r>
        <w:t xml:space="preserve">(1), 233197.</w:t>
      </w:r>
    </w:p>
    <w:p>
      <w:pPr>
        <w:pStyle w:val="BodyText"/>
      </w:pPr>
      <w:r>
        <w:t xml:space="preserve">African Radiology Forum. (2024). The state of radiology in Kenya: Workforce analysis and recommendations.</w:t>
      </w:r>
      <w:r>
        <w:t xml:space="preserve"> </w:t>
      </w:r>
      <w:r>
        <w:rPr>
          <w:iCs/>
          <w:i/>
        </w:rPr>
        <w:t xml:space="preserve">African Radiology Quarterly</w:t>
      </w:r>
      <w:r>
        <w:t xml:space="preserve">,</w:t>
      </w:r>
      <w:r>
        <w:t xml:space="preserve"> </w:t>
      </w:r>
      <w:r>
        <w:rPr>
          <w:iCs/>
          <w:i/>
        </w:rPr>
        <w:t xml:space="preserve">12</w:t>
      </w:r>
      <w:r>
        <w:t xml:space="preserve">(3), 34-42.</w:t>
      </w:r>
    </w:p>
    <w:p>
      <w:pPr>
        <w:pStyle w:val="BodyText"/>
      </w:pPr>
      <w:r>
        <w:t xml:space="preserve">Dent, A., Wilson, M., &amp; Kumar, S. (2024). Deep learning for automated detection of intracranial aneurysms on CT angiography: A multi-centre study.</w:t>
      </w:r>
      <w:r>
        <w:t xml:space="preserve"> </w:t>
      </w:r>
      <w:r>
        <w:rPr>
          <w:iCs/>
          <w:i/>
        </w:rPr>
        <w:t xml:space="preserve">Journal of Neurointerventional Surgery</w:t>
      </w:r>
      <w:r>
        <w:t xml:space="preserve">,</w:t>
      </w:r>
      <w:r>
        <w:t xml:space="preserve"> </w:t>
      </w:r>
      <w:r>
        <w:rPr>
          <w:iCs/>
          <w:i/>
        </w:rPr>
        <w:t xml:space="preserve">16</w:t>
      </w:r>
      <w:r>
        <w:t xml:space="preserve">(8), 812-820.</w:t>
      </w:r>
    </w:p>
    <w:p>
      <w:pPr>
        <w:pStyle w:val="BodyText"/>
      </w:pPr>
      <w:r>
        <w:t xml:space="preserve">Liu, H., Chen, Y., &amp; Zhang, W. (2023). Multi-scale convolutional neural networks for aneurysm detection in three-dimensional CT angiography.</w:t>
      </w:r>
      <w:r>
        <w:t xml:space="preserve"> </w:t>
      </w:r>
      <w:r>
        <w:rPr>
          <w:iCs/>
          <w:i/>
        </w:rPr>
        <w:t xml:space="preserve">Medical Image Analysis</w:t>
      </w:r>
      <w:r>
        <w:t xml:space="preserve">,</w:t>
      </w:r>
      <w:r>
        <w:t xml:space="preserve"> </w:t>
      </w:r>
      <w:r>
        <w:rPr>
          <w:iCs/>
          <w:i/>
        </w:rPr>
        <w:t xml:space="preserve">78</w:t>
      </w:r>
      <w:r>
        <w:t xml:space="preserve">, 102389.</w:t>
      </w:r>
    </w:p>
    <w:p>
      <w:pPr>
        <w:pStyle w:val="BodyText"/>
      </w:pPr>
      <w:r>
        <w:t xml:space="preserve">Rology. (2024).</w:t>
      </w:r>
      <w:r>
        <w:t xml:space="preserve"> </w:t>
      </w:r>
      <w:r>
        <w:rPr>
          <w:iCs/>
          <w:i/>
        </w:rPr>
        <w:t xml:space="preserve">Kenya radiology workforce report: Addressing the shortage crisis</w:t>
      </w:r>
      <w:r>
        <w:t xml:space="preserve">. Rology Healthcare Analytics.</w:t>
      </w:r>
    </w:p>
    <w:p>
      <w:pPr>
        <w:pStyle w:val="BodyText"/>
      </w:pPr>
      <w:r>
        <w:t xml:space="preserve">Sichtermann, T., Dierksen, A., &amp; Mayer, S. (2021). Deep learning algorithms for detection of intracranial aneurysms on CT angiography: A systematic review.</w:t>
      </w:r>
      <w:r>
        <w:t xml:space="preserve"> </w:t>
      </w:r>
      <w:r>
        <w:rPr>
          <w:iCs/>
          <w:i/>
        </w:rPr>
        <w:t xml:space="preserve">Neurosurgical Review</w:t>
      </w:r>
      <w:r>
        <w:t xml:space="preserve">,</w:t>
      </w:r>
      <w:r>
        <w:t xml:space="preserve"> </w:t>
      </w:r>
      <w:r>
        <w:rPr>
          <w:iCs/>
          <w:i/>
        </w:rPr>
        <w:t xml:space="preserve">44</w:t>
      </w:r>
      <w:r>
        <w:t xml:space="preserve">(2), 893-901.</w:t>
      </w:r>
    </w:p>
    <w:p>
      <w:pPr>
        <w:pStyle w:val="BodyText"/>
      </w:pPr>
      <w:r>
        <w:t xml:space="preserve">Ardila, D., Kiraly, A. P., Bharadwaj, S., Choi, B., Reicher, J. J., Peng, L., … &amp; Naidich, D. P. (2019). End-to-end lung cancer screening with three-dimensional deep learning on low-dose chest computed tomography.</w:t>
      </w:r>
      <w:r>
        <w:t xml:space="preserve"> </w:t>
      </w:r>
      <w:r>
        <w:rPr>
          <w:iCs/>
          <w:i/>
        </w:rPr>
        <w:t xml:space="preserve">Nature Medicine</w:t>
      </w:r>
      <w:r>
        <w:t xml:space="preserve">,</w:t>
      </w:r>
      <w:r>
        <w:t xml:space="preserve"> </w:t>
      </w:r>
      <w:r>
        <w:rPr>
          <w:iCs/>
          <w:i/>
        </w:rPr>
        <w:t xml:space="preserve">25</w:t>
      </w:r>
      <w:r>
        <w:t xml:space="preserve">(6), 954-961.</w:t>
      </w:r>
    </w:p>
    <w:p>
      <w:pPr>
        <w:pStyle w:val="BodyText"/>
      </w:pPr>
      <w:r>
        <w:t xml:space="preserve">Islam, M., Chen, G., &amp; Hasan, M. (2024). Hybrid deep learning approaches for medical image analysis: Improving robustness and interpretability.</w:t>
      </w:r>
      <w:r>
        <w:t xml:space="preserve"> </w:t>
      </w:r>
      <w:r>
        <w:rPr>
          <w:iCs/>
          <w:i/>
        </w:rPr>
        <w:t xml:space="preserve">Artificial Intelligence in Medicine</w:t>
      </w:r>
      <w:r>
        <w:t xml:space="preserve">,</w:t>
      </w:r>
      <w:r>
        <w:t xml:space="preserve"> </w:t>
      </w:r>
      <w:r>
        <w:rPr>
          <w:iCs/>
          <w:i/>
        </w:rPr>
        <w:t xml:space="preserve">138</w:t>
      </w:r>
      <w:r>
        <w:t xml:space="preserve">, 102789.</w:t>
      </w:r>
    </w:p>
    <w:p>
      <w:pPr>
        <w:pStyle w:val="BodyText"/>
      </w:pPr>
      <w:r>
        <w:t xml:space="preserve">Liu, X., Faes, L., Kale, A. U., Wagner, S. K., Dunaway, D. Y., Petr, O. J., … &amp; Keane, P. A. (2019). A comparison of deep learning performance against health-care professionals in detecting diseases from medical imaging: A systematic review and meta-analysis.</w:t>
      </w:r>
      <w:r>
        <w:t xml:space="preserve"> </w:t>
      </w:r>
      <w:r>
        <w:rPr>
          <w:iCs/>
          <w:i/>
        </w:rPr>
        <w:t xml:space="preserve">The Lancet Digital Health</w:t>
      </w:r>
      <w:r>
        <w:t xml:space="preserve">,</w:t>
      </w:r>
      <w:r>
        <w:t xml:space="preserve"> </w:t>
      </w:r>
      <w:r>
        <w:rPr>
          <w:iCs/>
          <w:i/>
        </w:rPr>
        <w:t xml:space="preserve">1</w:t>
      </w:r>
      <w:r>
        <w:t xml:space="preserve">(6), e271-e297.</w:t>
      </w:r>
    </w:p>
    <w:p>
      <w:pPr>
        <w:pStyle w:val="BodyText"/>
      </w:pPr>
      <w:r>
        <w:t xml:space="preserve">Tonekaboni, S., Joshi, S., McDermott, M. B., Chen, G., Kagalwala, F., Vitter, J., … &amp; Ghassemi, M. (2019). Clinicians want explainable AI that integrates prior medical knowledge: Evaluation and challenge.</w:t>
      </w:r>
      <w:r>
        <w:t xml:space="preserve"> </w:t>
      </w:r>
      <w:r>
        <w:rPr>
          <w:iCs/>
          <w:i/>
        </w:rPr>
        <w:t xml:space="preserve">Proceedings of the 4th Machine Learning for Healthcare Conference</w:t>
      </w:r>
      <w:r>
        <w:t xml:space="preserve">,</w:t>
      </w:r>
      <w:r>
        <w:t xml:space="preserve"> </w:t>
      </w:r>
      <w:r>
        <w:rPr>
          <w:iCs/>
          <w:i/>
        </w:rPr>
        <w:t xml:space="preserve">326</w:t>
      </w:r>
      <w:r>
        <w:t xml:space="preserve">, 1-27.</w:t>
      </w:r>
    </w:p>
    <w:p>
      <w:pPr>
        <w:pStyle w:val="BodyText"/>
      </w:pPr>
      <w:r>
        <w:t xml:space="preserve">Bias recognition and mitigation strategies in artificial intelligence for healthcare: A systematic review. (2025).</w:t>
      </w:r>
      <w:r>
        <w:t xml:space="preserve"> </w:t>
      </w:r>
      <w:r>
        <w:rPr>
          <w:iCs/>
          <w:i/>
        </w:rPr>
        <w:t xml:space="preserve">Nature Digital Medicine</w:t>
      </w:r>
      <w:r>
        <w:t xml:space="preserve">, 8.</w:t>
      </w:r>
    </w:p>
    <w:p>
      <w:r>
        <w:pict>
          <v:rect style="width:0;height:1.5pt" o:hralign="center" o:hrstd="t" o:hr="t"/>
        </w:pict>
      </w:r>
    </w:p>
    <w:p>
      <w:pPr>
        <w:pStyle w:val="FirstParagraph"/>
      </w:pPr>
      <w:r>
        <w:rPr>
          <w:iCs/>
          <w:i/>
        </w:rPr>
        <w:t xml:space="preserve">End of Research Proposal</w:t>
      </w:r>
    </w:p>
    <w:p>
      <w:r>
        <w:pict>
          <v:rect style="width:0;height:1.5pt" o:hralign="center" o:hrstd="t" o:hr="t"/>
        </w:pict>
      </w:r>
    </w:p>
    <w:p>
      <w:pPr>
        <w:pStyle w:val="FirstParagraph"/>
      </w:pPr>
      <w:r>
        <w:rPr>
          <w:bCs/>
          <w:b/>
        </w:rPr>
        <w:t xml:space="preserve">Submitted by:</w:t>
      </w:r>
    </w:p>
    <w:p>
      <w:pPr>
        <w:pStyle w:val="BodyText"/>
      </w:pPr>
      <w:r>
        <w:t xml:space="preserve">Cavin Otieno Ouma</w:t>
      </w:r>
    </w:p>
    <w:p>
      <w:pPr>
        <w:pStyle w:val="BodyText"/>
      </w:pPr>
      <w:r>
        <w:t xml:space="preserve">MSc Public Health Data Science Candidate</w:t>
      </w:r>
    </w:p>
    <w:p>
      <w:pPr>
        <w:pStyle w:val="BodyText"/>
      </w:pPr>
      <w:r>
        <w:t xml:space="preserve">University of Nairobi</w:t>
      </w:r>
    </w:p>
    <w:p>
      <w:pPr>
        <w:pStyle w:val="BodyText"/>
      </w:pPr>
      <w:r>
        <w:t xml:space="preserve">August 2026</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2026-08-19T09:18:42Z</dcterms:created>
  <dcterms:modified xsi:type="dcterms:W3CDTF">2026-08-19T09:18:42Z</dcterms:modified>
</cp:coreProperties>
</file>

<file path=docProps/custom.xml><?xml version="1.0" encoding="utf-8"?>
<Properties xmlns="http://schemas.openxmlformats.org/officeDocument/2006/custom-properties" xmlns:vt="http://schemas.openxmlformats.org/officeDocument/2006/docPropsVTypes"/>
</file>