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p>
    <w:p>
      <w:pPr>
        <w:pStyle w:val="FirstParagraph"/>
      </w:pPr>
      <w:r>
        <w:t xml:space="preserve">UNIVERSITY OF NAIROBI</w:t>
      </w:r>
    </w:p>
    <w:p>
      <w:pPr>
        <w:pStyle w:val="BlockText"/>
      </w:pPr>
      <w:r>
        <w:rPr>
          <w:bCs/>
          <w:b/>
        </w:rPr>
        <w:t xml:space="preserve">Department of Mathematics</w:t>
      </w:r>
    </w:p>
    <w:p>
      <w:pPr>
        <w:pStyle w:val="BlockText"/>
      </w:pPr>
      <w:r>
        <w:rPr>
          <w:iCs/>
          <w:i/>
        </w:rPr>
        <w:t xml:space="preserve">A Hybrid Deep Learning Framework for Intracranial Aneurysms Detection: Algorithmic Development and Fairness Evaluation for Kenyan Public Health Settings</w:t>
      </w:r>
    </w:p>
    <w:p>
      <w:pPr>
        <w:pStyle w:val="BlockText"/>
      </w:pPr>
      <w:r>
        <w:rPr>
          <w:iCs/>
          <w:i/>
        </w:rPr>
        <w:t xml:space="preserve">By</w:t>
      </w:r>
    </w:p>
    <w:p>
      <w:pPr>
        <w:pStyle w:val="BlockText"/>
      </w:pPr>
      <w:r>
        <w:t xml:space="preserve">CAVIN OTIENO OUMA</w:t>
      </w:r>
    </w:p>
    <w:p>
      <w:pPr>
        <w:pStyle w:val="FirstParagraph"/>
      </w:pPr>
      <w:r>
        <w:rPr>
          <w:bCs/>
          <w:b/>
        </w:rPr>
        <w:t xml:space="preserve">SUPERVISORS:</w:t>
      </w:r>
    </w:p>
    <w:p>
      <w:pPr>
        <w:pStyle w:val="BodyText"/>
      </w:pPr>
      <w:r>
        <w:rPr>
          <w:bCs/>
          <w:b/>
        </w:rPr>
        <w:t xml:space="preserve">Prof. Peter Waiganjo</w:t>
      </w:r>
      <w:r>
        <w:t xml:space="preserve"> </w:t>
      </w:r>
      <w:r>
        <w:t xml:space="preserve">(Primary Supervisor)</w:t>
      </w:r>
    </w:p>
    <w:p>
      <w:pPr>
        <w:pStyle w:val="BlockText"/>
      </w:pPr>
      <w:r>
        <w:rPr>
          <w:bCs/>
          <w:b/>
        </w:rPr>
        <w:t xml:space="preserve">A Research Proposal Submitted in Partial Fulfilment of the Requirements for the Degree of Master of Science in Public Health Data Science</w:t>
      </w:r>
    </w:p>
    <w:p>
      <w:pPr>
        <w:pStyle w:val="BlockText"/>
      </w:pPr>
      <w:r>
        <w:rPr>
          <w:bCs/>
          <w:b/>
        </w:rPr>
        <w:t xml:space="preserve">MARCH 2026</w:t>
      </w:r>
    </w:p>
    <w:bookmarkStart w:id="20" w:name="declaration"/>
    <w:p>
      <w:pPr>
        <w:pStyle w:val="Heading2"/>
      </w:pPr>
      <w:r>
        <w:t xml:space="preserve">DECLARATION</w:t>
      </w:r>
    </w:p>
    <w:p>
      <w:pPr>
        <w:pStyle w:val="FirstParagraph"/>
      </w:pPr>
      <w:r>
        <w:t xml:space="preserve">This research proposal is my original work and has not been presented for the award of any degree in this or any other university.</w:t>
      </w:r>
    </w:p>
    <w:p>
      <w:pPr>
        <w:pStyle w:val="BodyText"/>
      </w:pPr>
      <w:r>
        <w:rPr>
          <w:u w:val="single"/>
        </w:rPr>
        <w:t xml:space="preserve">Sign:</w:t>
      </w:r>
      <w:r>
        <w:t xml:space="preserve"> </w:t>
      </w:r>
      <w:r>
        <w:t xml:space="preserve"> </w:t>
      </w:r>
      <w:r>
        <w:rPr>
          <w:u w:val="single"/>
        </w:rPr>
        <w:t xml:space="preserve">Date: 22/03/2026.</w:t>
      </w:r>
    </w:p>
    <w:p>
      <w:pPr>
        <w:pStyle w:val="BodyText"/>
      </w:pPr>
      <w:r>
        <w:t xml:space="preserve">Cavin Otieno Ouma</w:t>
      </w:r>
    </w:p>
    <w:p>
      <w:pPr>
        <w:pStyle w:val="BodyText"/>
      </w:pPr>
      <w:r>
        <w:t xml:space="preserve">Reg. No.: SDS6/46982/2024</w:t>
      </w:r>
    </w:p>
    <w:p>
      <w:pPr>
        <w:pStyle w:val="BodyText"/>
      </w:pPr>
      <w:r>
        <w:t xml:space="preserve">This research proposal has been submitted for examination with our approval as supervisors:</w:t>
      </w:r>
    </w:p>
    <w:p>
      <w:pPr>
        <w:pStyle w:val="BodyText"/>
      </w:pPr>
      <w:r>
        <w:t xml:space="preserve">Sign:</w:t>
      </w:r>
      <w:r>
        <w:t xml:space="preserve"> </w:t>
      </w:r>
      <w:r>
        <w:t xml:space="preserve"> </w:t>
      </w:r>
      <w:r>
        <w:t xml:space="preserve">Date:</w:t>
      </w:r>
      <w:r>
        <w:t xml:space="preserve"> </w:t>
      </w:r>
      <w:r>
        <w:rPr>
          <w:u w:val="single"/>
        </w:rPr>
        <w:t xml:space="preserve">19/04/2026</w:t>
      </w:r>
    </w:p>
    <w:p>
      <w:pPr>
        <w:pStyle w:val="BodyText"/>
      </w:pPr>
      <w:r>
        <w:rPr>
          <w:bCs/>
          <w:b/>
        </w:rPr>
        <w:t xml:space="preserve">Primary Supervisor:</w:t>
      </w:r>
      <w:r>
        <w:t xml:space="preserve"> </w:t>
      </w:r>
      <w:r>
        <w:rPr>
          <w:bCs/>
          <w:b/>
        </w:rPr>
        <w:t xml:space="preserve">Prof. Peter Waiganjo,</w:t>
      </w:r>
      <w:r>
        <w:t xml:space="preserve"> </w:t>
      </w:r>
      <w:r>
        <w:t xml:space="preserve">Department of Computing and Informatics, University of Nairobi</w:t>
      </w:r>
    </w:p>
    <w:bookmarkEnd w:id="20"/>
    <w:bookmarkStart w:id="21" w:name="abstract"/>
    <w:p>
      <w:pPr>
        <w:pStyle w:val="Heading2"/>
      </w:pPr>
      <w:r>
        <w:t xml:space="preserve">ABSTRACT</w:t>
      </w:r>
    </w:p>
    <w:p>
      <w:pPr>
        <w:pStyle w:val="FirstParagraph"/>
      </w:pPr>
      <w:r>
        <w:t xml:space="preserve">Intracranial aneurysms represent a significant public health concern globally, with prevalence estimates ranging from three to five percent in the general population (Vlak et al., 2011). In Kenya, where radiological expertise is scarce and concentrated primarily in urban centres (</w:t>
      </w:r>
      <w:r>
        <w:rPr>
          <w:iCs/>
          <w:i/>
        </w:rPr>
        <w:t xml:space="preserve">KMPDC</w:t>
      </w:r>
      <w:r>
        <w:t xml:space="preserve">, n.d., 2026; Wight, n.d., 2024), the early detection of these vascular abnormalities poses a formidable challenge. This research proposal presents a novel approach to addressing this diagnostic gap through the development of a hybrid artificial intelligence framework that combines Template-Based Modeling techniques from computational biology with deep learning methodologies for the opportunistic screening of intracranial aneurysms from computed tomography angiography (CTA) scans.</w:t>
      </w:r>
    </w:p>
    <w:p>
      <w:pPr>
        <w:pStyle w:val="BodyText"/>
      </w:pPr>
      <w:r>
        <w:t xml:space="preserve">The proposed research represents a cross-domain innovation that adapts structural pattern recognition techniques originally developed for RNA three-dimensional folding analysis to the detection of vascular pathologies in medical imaging. Specifically, the study aims to develop a hybrid model that integrates template-matching algorithms derived from RNA structural motifs with convolutional neural network architectures to improve detection accuracy, computational efficiency, and model interpretability. The research will utilize the RSNA Intracranial Aneurysm Detection dataset (</w:t>
      </w:r>
      <w:r>
        <w:rPr>
          <w:iCs/>
          <w:i/>
        </w:rPr>
        <w:t xml:space="preserve">RSNA Intracranial Aneurysm Detection AI Challenge (2025) </w:t>
      </w:r>
      <w:r>
        <w:t xml:space="preserve">, n.d.), an open-access collection of over four thousand computed tomography angiography (CTA) studies from eighteen institutions across five continents, to train and validate the proposed framework (AWS Registry, 2025). The methodological approach draws on recent advances in aneurysm detection, including the winning solutions from the RSNA 2025 challenge, which achieved AUC values exceeding 90% through robust coarse-to-fine pipelines utilizing vessel segmentation techniques (RSNA, 2025). The proposed hybrid framework integrates template-based modeling components from computational biology with state-of-the-art three-dimensional convolutional neural networks implemented using the MONAI (Medical Open Network for Artificial Intelligence) framework, which provides specialized tools for medical imaging analysis (Cardoso et al., 2022).</w:t>
      </w:r>
    </w:p>
    <w:p>
      <w:pPr>
        <w:pStyle w:val="BodyText"/>
      </w:pPr>
      <w:r>
        <w:t xml:space="preserve">Beyond technical performance metrics, this study emphasizes the critical dimensions of clinical utility and algorithmic fairness in the context of Kenyan public health settings. Given that most existing aneurysm detection models are developed on Western datasets, significant questions remain regarding their generalizability and equity of performance when applied to African populations (Obermeyer et al., 2019; Seyyed-Kalantari et al., 2021). Recent research has revealed that AI models can predict demographic information from medical images in ways that may lead to biased outcomes, underscoring the importance of fairness evaluation (Gichoya et al., 2022). The research will therefore include a comprehensive fairness audit examining model performance across demographic subgroups, alongside an assessment of the feasibility of deploying such tools in Kenyan referral hospitals with limited computational infrastructure. A key component of this research is the collaboration with the Aga Khan University Hospital, Nairobi, whose radiology department will provide a local Kenyan validation dataset to assess model generalizability to the target population. This collaboration ensures that the algorithmic fairness evaluation and performance assessment are grounded in locally relevant data, directly addressing the critical gap in understanding how aneurysm detection models perform on African patients.</w:t>
      </w:r>
    </w:p>
    <w:p>
      <w:pPr>
        <w:pStyle w:val="BodyText"/>
      </w:pPr>
      <w:r>
        <w:t xml:space="preserve">The study adopts an experimental research design combining algorithm development with cross-sectional validation, employing mixed methods that include quantitative performance evaluation and qualitative assessment of health system integration barriers. Anticipated outcomes include a validated hybrid detection algorithm, a fairness assessment report, and implementation recommendations for the Kenyan Ministry of Health. The findings are expected to contribute to the growing body of knowledge on artificial intelligence applications in resource-constrained healthcare settings while advancing the frontier of cross-domain methodology transfer in computational biology and medical imaging.</w:t>
      </w:r>
    </w:p>
    <w:p>
      <w:pPr>
        <w:pStyle w:val="BodyText"/>
      </w:pPr>
      <w:r>
        <w:rPr>
          <w:bCs/>
          <w:b/>
        </w:rPr>
        <w:t xml:space="preserve">Keywords:</w:t>
      </w:r>
      <w:r>
        <w:t xml:space="preserve"> </w:t>
      </w:r>
      <w:r>
        <w:t xml:space="preserve">Intracranial aneurysm, deep learning, Template-Based Modeling, opportunistic screening, algorithmic fairness, Kenyan public health, cross-domain transfer learning</w:t>
      </w:r>
    </w:p>
    <w:bookmarkEnd w:id="21"/>
    <w:bookmarkStart w:id="22" w:name="table-of-contents"/>
    <w:p>
      <w:pPr>
        <w:pStyle w:val="Heading2"/>
      </w:pPr>
      <w:r>
        <w:t xml:space="preserve">TABLE OF CONTENTS</w:t>
      </w:r>
    </w:p>
    <w:p>
      <w:pPr>
        <w:pStyle w:val="FirstParagraph"/>
      </w:pPr>
      <w:hyperlink w:anchor="declaration">
        <w:r>
          <w:rPr>
            <w:rStyle w:val="Hyperlink"/>
          </w:rPr>
          <w:t xml:space="preserve">DECLARATION [ii](#declaration)</w:t>
        </w:r>
      </w:hyperlink>
    </w:p>
    <w:p>
      <w:pPr>
        <w:pStyle w:val="BodyText"/>
      </w:pPr>
      <w:hyperlink w:anchor="abstract">
        <w:r>
          <w:rPr>
            <w:rStyle w:val="Hyperlink"/>
          </w:rPr>
          <w:t xml:space="preserve">ABSTRACT [iii](#abstract)</w:t>
        </w:r>
      </w:hyperlink>
    </w:p>
    <w:p>
      <w:pPr>
        <w:pStyle w:val="BodyText"/>
      </w:pPr>
      <w:hyperlink w:anchor="Xddd235932c25ce052fc16ae7d1283a98b92c029">
        <w:r>
          <w:rPr>
            <w:rStyle w:val="Hyperlink"/>
          </w:rPr>
          <w:t xml:space="preserve">TABLE OF CONTENTS [v](#_Toc232713437)</w:t>
        </w:r>
      </w:hyperlink>
    </w:p>
    <w:p>
      <w:pPr>
        <w:pStyle w:val="BodyText"/>
      </w:pPr>
      <w:hyperlink w:anchor="X878f58360fc89d93563c0a00689802e0bf05933">
        <w:r>
          <w:rPr>
            <w:rStyle w:val="Hyperlink"/>
          </w:rPr>
          <w:t xml:space="preserve">LIST OF FIGURES [vii](#_Toc232713438)</w:t>
        </w:r>
      </w:hyperlink>
    </w:p>
    <w:p>
      <w:pPr>
        <w:pStyle w:val="BodyText"/>
      </w:pPr>
      <w:hyperlink w:anchor="list-of-tables">
        <w:r>
          <w:rPr>
            <w:rStyle w:val="Hyperlink"/>
          </w:rPr>
          <w:t xml:space="preserve">LIST OF TABLES [vii](#list-of-tables)</w:t>
        </w:r>
      </w:hyperlink>
    </w:p>
    <w:p>
      <w:pPr>
        <w:pStyle w:val="BodyText"/>
      </w:pPr>
      <w:hyperlink w:anchor="list-of-abbreviations">
        <w:r>
          <w:rPr>
            <w:rStyle w:val="Hyperlink"/>
          </w:rPr>
          <w:t xml:space="preserve">LIST OF ABBREVIATIONS [viii](#list-of-abbreviations)</w:t>
        </w:r>
      </w:hyperlink>
    </w:p>
    <w:p>
      <w:pPr>
        <w:pStyle w:val="BodyText"/>
      </w:pPr>
      <w:hyperlink w:anchor="introduction">
        <w:r>
          <w:rPr>
            <w:rStyle w:val="Hyperlink"/>
          </w:rPr>
          <w:t xml:space="preserve">CHAPTER 1: INTRODUCTION [1](#introduction)</w:t>
        </w:r>
      </w:hyperlink>
    </w:p>
    <w:p>
      <w:pPr>
        <w:pStyle w:val="BodyText"/>
      </w:pPr>
      <w:hyperlink w:anchor="background">
        <w:r>
          <w:rPr>
            <w:rStyle w:val="Hyperlink"/>
          </w:rPr>
          <w:t xml:space="preserve">1.1 Background [1](#background)</w:t>
        </w:r>
      </w:hyperlink>
    </w:p>
    <w:p>
      <w:pPr>
        <w:pStyle w:val="BodyText"/>
      </w:pPr>
      <w:hyperlink w:anchor="problem-statement">
        <w:r>
          <w:rPr>
            <w:rStyle w:val="Hyperlink"/>
          </w:rPr>
          <w:t xml:space="preserve">1.2 Problem Statement [4](#problem-statement)</w:t>
        </w:r>
      </w:hyperlink>
    </w:p>
    <w:p>
      <w:pPr>
        <w:pStyle w:val="BodyText"/>
      </w:pPr>
      <w:hyperlink w:anchor="purpose-and-objectives">
        <w:r>
          <w:rPr>
            <w:rStyle w:val="Hyperlink"/>
          </w:rPr>
          <w:t xml:space="preserve">1.3 Purpose and Objectives [5](#purpose-and-objectives)</w:t>
        </w:r>
      </w:hyperlink>
    </w:p>
    <w:p>
      <w:pPr>
        <w:pStyle w:val="BodyText"/>
      </w:pPr>
      <w:hyperlink w:anchor="research-questions">
        <w:r>
          <w:rPr>
            <w:rStyle w:val="Hyperlink"/>
          </w:rPr>
          <w:t xml:space="preserve">1.4 Research Questions [6](#research-questions)</w:t>
        </w:r>
      </w:hyperlink>
    </w:p>
    <w:p>
      <w:pPr>
        <w:pStyle w:val="BodyText"/>
      </w:pPr>
      <w:hyperlink w:anchor="novel-contributions">
        <w:r>
          <w:rPr>
            <w:rStyle w:val="Hyperlink"/>
          </w:rPr>
          <w:t xml:space="preserve">1.5 Novel Contributions [6](#novel-contributions)</w:t>
        </w:r>
      </w:hyperlink>
    </w:p>
    <w:p>
      <w:pPr>
        <w:pStyle w:val="BodyText"/>
      </w:pPr>
      <w:hyperlink w:anchor="justification-and-significance">
        <w:r>
          <w:rPr>
            <w:rStyle w:val="Hyperlink"/>
          </w:rPr>
          <w:t xml:space="preserve">1.6 Justification and Significance [7](#justification-and-significance)</w:t>
        </w:r>
      </w:hyperlink>
    </w:p>
    <w:p>
      <w:pPr>
        <w:pStyle w:val="BodyText"/>
      </w:pPr>
      <w:hyperlink w:anchor="scope-and-limitations">
        <w:r>
          <w:rPr>
            <w:rStyle w:val="Hyperlink"/>
          </w:rPr>
          <w:t xml:space="preserve">1.7 Scope and Limitations [8](#scope-and-limitations)</w:t>
        </w:r>
      </w:hyperlink>
    </w:p>
    <w:p>
      <w:pPr>
        <w:pStyle w:val="BodyText"/>
      </w:pPr>
      <w:hyperlink w:anchor="literature-review">
        <w:r>
          <w:rPr>
            <w:rStyle w:val="Hyperlink"/>
          </w:rPr>
          <w:t xml:space="preserve">CHAPTER 2: LITERATURE REVIEW [10](#literature-review)</w:t>
        </w:r>
      </w:hyperlink>
    </w:p>
    <w:p>
      <w:pPr>
        <w:pStyle w:val="BodyText"/>
      </w:pPr>
      <w:hyperlink w:anchor="theoretical-framework">
        <w:r>
          <w:rPr>
            <w:rStyle w:val="Hyperlink"/>
          </w:rPr>
          <w:t xml:space="preserve">2.1 Theoretical Framework [10](#theoretical-framework)</w:t>
        </w:r>
      </w:hyperlink>
    </w:p>
    <w:p>
      <w:pPr>
        <w:pStyle w:val="BodyText"/>
      </w:pPr>
      <w:hyperlink w:anchor="empirical-review">
        <w:r>
          <w:rPr>
            <w:rStyle w:val="Hyperlink"/>
          </w:rPr>
          <w:t xml:space="preserve">2.2 Empirical Review [16](#empirical-review)</w:t>
        </w:r>
      </w:hyperlink>
    </w:p>
    <w:p>
      <w:pPr>
        <w:pStyle w:val="BodyText"/>
      </w:pPr>
      <w:hyperlink w:anchor="recent-methodological-advances-2024-2025">
        <w:r>
          <w:rPr>
            <w:rStyle w:val="Hyperlink"/>
          </w:rPr>
          <w:t xml:space="preserve">2.2.1 Recent Methodological Advances (2024-2025) [18](#recent-methodological-advances-2024-2025)</w:t>
        </w:r>
      </w:hyperlink>
    </w:p>
    <w:p>
      <w:pPr>
        <w:pStyle w:val="BodyText"/>
      </w:pPr>
      <w:hyperlink w:anchor="gap-analysis">
        <w:r>
          <w:rPr>
            <w:rStyle w:val="Hyperlink"/>
          </w:rPr>
          <w:t xml:space="preserve">2.3 Gap Analysis [19](#gap-analysis)</w:t>
        </w:r>
      </w:hyperlink>
    </w:p>
    <w:p>
      <w:pPr>
        <w:pStyle w:val="BodyText"/>
      </w:pPr>
      <w:hyperlink w:anchor="contribution-to-knowledge">
        <w:r>
          <w:rPr>
            <w:rStyle w:val="Hyperlink"/>
          </w:rPr>
          <w:t xml:space="preserve">2.4 Contribution to Knowledge [21](#contribution-to-knowledge)</w:t>
        </w:r>
      </w:hyperlink>
    </w:p>
    <w:p>
      <w:pPr>
        <w:pStyle w:val="BodyText"/>
      </w:pPr>
      <w:hyperlink w:anchor="X0adf0ddef458d1560ed4327db10ba3dc5ecc06c">
        <w:r>
          <w:rPr>
            <w:rStyle w:val="Hyperlink"/>
          </w:rPr>
          <w:t xml:space="preserve">2.5 National AI Policy and Regulatory Context [23](#national-ai-policy-and-regulatory-context)</w:t>
        </w:r>
      </w:hyperlink>
    </w:p>
    <w:p>
      <w:pPr>
        <w:pStyle w:val="BodyText"/>
      </w:pPr>
      <w:hyperlink w:anchor="methodology">
        <w:r>
          <w:rPr>
            <w:rStyle w:val="Hyperlink"/>
          </w:rPr>
          <w:t xml:space="preserve">CHAPTER 3: METHODOLOGY [25](#methodology)</w:t>
        </w:r>
      </w:hyperlink>
    </w:p>
    <w:p>
      <w:pPr>
        <w:pStyle w:val="BodyText"/>
      </w:pPr>
      <w:hyperlink w:anchor="research-design">
        <w:r>
          <w:rPr>
            <w:rStyle w:val="Hyperlink"/>
          </w:rPr>
          <w:t xml:space="preserve">3.1 Research Design [25](#research-design)</w:t>
        </w:r>
      </w:hyperlink>
    </w:p>
    <w:p>
      <w:pPr>
        <w:pStyle w:val="BodyText"/>
      </w:pPr>
      <w:hyperlink w:anchor="study-area-and-population">
        <w:r>
          <w:rPr>
            <w:rStyle w:val="Hyperlink"/>
          </w:rPr>
          <w:t xml:space="preserve">3.2 Study Area and Population [25](#study-area-and-population)</w:t>
        </w:r>
      </w:hyperlink>
    </w:p>
    <w:p>
      <w:pPr>
        <w:pStyle w:val="BodyText"/>
      </w:pPr>
      <w:hyperlink w:anchor="data-sources">
        <w:r>
          <w:rPr>
            <w:rStyle w:val="Hyperlink"/>
          </w:rPr>
          <w:t xml:space="preserve">3.3 Data Sources [25](#data-sources)</w:t>
        </w:r>
      </w:hyperlink>
    </w:p>
    <w:p>
      <w:pPr>
        <w:pStyle w:val="BodyText"/>
      </w:pPr>
      <w:hyperlink w:anchor="algorithm-architecture">
        <w:r>
          <w:rPr>
            <w:rStyle w:val="Hyperlink"/>
          </w:rPr>
          <w:t xml:space="preserve">3.4 Algorithm Architecture [30](#algorithm-architecture)</w:t>
        </w:r>
      </w:hyperlink>
    </w:p>
    <w:p>
      <w:pPr>
        <w:pStyle w:val="BodyText"/>
      </w:pPr>
      <w:hyperlink w:anchor="data-preprocessing">
        <w:r>
          <w:rPr>
            <w:rStyle w:val="Hyperlink"/>
          </w:rPr>
          <w:t xml:space="preserve">3.5 Data Preprocessing [33](#data-preprocessing)</w:t>
        </w:r>
      </w:hyperlink>
    </w:p>
    <w:p>
      <w:pPr>
        <w:pStyle w:val="BodyText"/>
      </w:pPr>
      <w:hyperlink w:anchor="evaluation-metrics">
        <w:r>
          <w:rPr>
            <w:rStyle w:val="Hyperlink"/>
          </w:rPr>
          <w:t xml:space="preserve">3.6 Evaluation Metrics [35](#evaluation-metrics)</w:t>
        </w:r>
      </w:hyperlink>
    </w:p>
    <w:p>
      <w:pPr>
        <w:pStyle w:val="BodyText"/>
      </w:pPr>
      <w:hyperlink w:anchor="two-phase-training-protocol">
        <w:r>
          <w:rPr>
            <w:rStyle w:val="Hyperlink"/>
          </w:rPr>
          <w:t xml:space="preserve">3.6.1 Two-Phase Training Protocol [36](#two-phase-training-protocol)</w:t>
        </w:r>
      </w:hyperlink>
    </w:p>
    <w:p>
      <w:pPr>
        <w:pStyle w:val="BodyText"/>
      </w:pPr>
      <w:hyperlink w:anchor="training-protocol">
        <w:r>
          <w:rPr>
            <w:rStyle w:val="Hyperlink"/>
          </w:rPr>
          <w:t xml:space="preserve">3.6.2 Training Protocol [37](#training-protocol)</w:t>
        </w:r>
      </w:hyperlink>
    </w:p>
    <w:p>
      <w:pPr>
        <w:pStyle w:val="BodyText"/>
      </w:pPr>
      <w:hyperlink w:anchor="threshold-optimization">
        <w:r>
          <w:rPr>
            <w:rStyle w:val="Hyperlink"/>
          </w:rPr>
          <w:t xml:space="preserve">3.6.3 Threshold Optimization [38](#threshold-optimization)</w:t>
        </w:r>
      </w:hyperlink>
    </w:p>
    <w:p>
      <w:pPr>
        <w:pStyle w:val="BodyText"/>
      </w:pPr>
      <w:hyperlink w:anchor="radiomic-feature-extraction-pipeline">
        <w:r>
          <w:rPr>
            <w:rStyle w:val="Hyperlink"/>
          </w:rPr>
          <w:t xml:space="preserve">3.6.4 Radiomic Feature Extraction Pipeline [38](#radiomic-feature-extraction-pipeline)</w:t>
        </w:r>
      </w:hyperlink>
    </w:p>
    <w:p>
      <w:pPr>
        <w:pStyle w:val="BodyText"/>
      </w:pPr>
      <w:hyperlink w:anchor="calibration-analysis-methodology">
        <w:r>
          <w:rPr>
            <w:rStyle w:val="Hyperlink"/>
          </w:rPr>
          <w:t xml:space="preserve">3.6.5 Calibration Analysis Methodology [40](#calibration-analysis-methodology)</w:t>
        </w:r>
      </w:hyperlink>
    </w:p>
    <w:p>
      <w:pPr>
        <w:pStyle w:val="BodyText"/>
      </w:pPr>
      <w:hyperlink w:anchor="ethical-considerations-1">
        <w:r>
          <w:rPr>
            <w:rStyle w:val="Hyperlink"/>
          </w:rPr>
          <w:t xml:space="preserve">3.7 Ethical Considerations [42](#ethical-considerations-1)</w:t>
        </w:r>
      </w:hyperlink>
    </w:p>
    <w:p>
      <w:pPr>
        <w:pStyle w:val="BodyText"/>
      </w:pPr>
      <w:hyperlink w:anchor="risk-assessment">
        <w:r>
          <w:rPr>
            <w:rStyle w:val="Hyperlink"/>
          </w:rPr>
          <w:t xml:space="preserve">3.8 Risk Assessment [43](#risk-assessment)</w:t>
        </w:r>
      </w:hyperlink>
    </w:p>
    <w:p>
      <w:pPr>
        <w:pStyle w:val="BodyText"/>
      </w:pPr>
      <w:hyperlink w:anchor="work-plan-and-budget">
        <w:r>
          <w:rPr>
            <w:rStyle w:val="Hyperlink"/>
          </w:rPr>
          <w:t xml:space="preserve">CHAPTER 4: WORK PLAN AND BUDGET [46](#work-plan-and-budget)</w:t>
        </w:r>
      </w:hyperlink>
    </w:p>
    <w:p>
      <w:pPr>
        <w:pStyle w:val="BodyText"/>
      </w:pPr>
      <w:hyperlink w:anchor="work-plan">
        <w:r>
          <w:rPr>
            <w:rStyle w:val="Hyperlink"/>
          </w:rPr>
          <w:t xml:space="preserve">4.1 Work Plan [46](#work-plan)</w:t>
        </w:r>
      </w:hyperlink>
    </w:p>
    <w:p>
      <w:pPr>
        <w:pStyle w:val="BodyText"/>
      </w:pPr>
      <w:hyperlink w:anchor="budget-estimate">
        <w:r>
          <w:rPr>
            <w:rStyle w:val="Hyperlink"/>
          </w:rPr>
          <w:t xml:space="preserve">4.2 Budget Estimate [49](#budget-estimate)</w:t>
        </w:r>
      </w:hyperlink>
    </w:p>
    <w:p>
      <w:pPr>
        <w:pStyle w:val="BodyText"/>
      </w:pPr>
      <w:hyperlink w:anchor="expected-outcomes">
        <w:r>
          <w:rPr>
            <w:rStyle w:val="Hyperlink"/>
          </w:rPr>
          <w:t xml:space="preserve">4.3 Expected Outcomes [51](#expected-outcomes)</w:t>
        </w:r>
      </w:hyperlink>
    </w:p>
    <w:p>
      <w:pPr>
        <w:pStyle w:val="BodyText"/>
      </w:pPr>
      <w:hyperlink w:anchor="contingency-planning">
        <w:r>
          <w:rPr>
            <w:rStyle w:val="Hyperlink"/>
          </w:rPr>
          <w:t xml:space="preserve">4.4 Contingency Planning [54](#contingency-planning)</w:t>
        </w:r>
      </w:hyperlink>
    </w:p>
    <w:p>
      <w:pPr>
        <w:pStyle w:val="BodyText"/>
      </w:pPr>
      <w:hyperlink w:anchor="phase-compression-strategies">
        <w:r>
          <w:rPr>
            <w:rStyle w:val="Hyperlink"/>
          </w:rPr>
          <w:t xml:space="preserve">4.4.1 Phase Compression Strategies [54](#phase-compression-strategies)</w:t>
        </w:r>
      </w:hyperlink>
    </w:p>
    <w:p>
      <w:pPr>
        <w:pStyle w:val="BodyText"/>
      </w:pPr>
      <w:hyperlink w:anchor="computational-resource-management">
        <w:r>
          <w:rPr>
            <w:rStyle w:val="Hyperlink"/>
          </w:rPr>
          <w:t xml:space="preserve">4.4.2 Computational Resource Management [54](#computational-resource-management)</w:t>
        </w:r>
      </w:hyperlink>
    </w:p>
    <w:p>
      <w:pPr>
        <w:pStyle w:val="BodyText"/>
      </w:pPr>
      <w:hyperlink w:anchor="minimum-viable-product-definition">
        <w:r>
          <w:rPr>
            <w:rStyle w:val="Hyperlink"/>
          </w:rPr>
          <w:t xml:space="preserve">4.4.3 Minimum Viable Product Definition [55](#minimum-viable-product-definition)</w:t>
        </w:r>
      </w:hyperlink>
    </w:p>
    <w:p>
      <w:pPr>
        <w:pStyle w:val="BodyText"/>
      </w:pPr>
      <w:hyperlink w:anchor="references">
        <w:r>
          <w:rPr>
            <w:rStyle w:val="Hyperlink"/>
          </w:rPr>
          <w:t xml:space="preserve">REFERENCES [57](#references)</w:t>
        </w:r>
      </w:hyperlink>
    </w:p>
    <w:bookmarkEnd w:id="22"/>
    <w:bookmarkStart w:id="23" w:name="list-of-figures"/>
    <w:p>
      <w:pPr>
        <w:pStyle w:val="Heading2"/>
      </w:pPr>
      <w:r>
        <w:t xml:space="preserve">LIST OF FIGURES</w:t>
      </w:r>
    </w:p>
    <w:p>
      <w:pPr>
        <w:pStyle w:val="FirstParagraph"/>
      </w:pPr>
      <w:hyperlink w:anchor="X97e41da854a4414cbed59d98bf2f8b71dea7426">
        <w:r>
          <w:rPr>
            <w:rStyle w:val="Hyperlink"/>
          </w:rPr>
          <w:t xml:space="preserve">Figure 2.1.1: Conceptual Framework - Cross-Domain Transfer from RNA Folding to Vascular Imaging [15](#_Toc232713479)</w:t>
        </w:r>
      </w:hyperlink>
    </w:p>
    <w:p>
      <w:pPr>
        <w:pStyle w:val="BodyText"/>
      </w:pPr>
      <w:hyperlink w:anchor="Xd297e8337ef3b768b0d6ccd097c009b87f35d8a">
        <w:r>
          <w:rPr>
            <w:rStyle w:val="Hyperlink"/>
          </w:rPr>
          <w:t xml:space="preserve">Figure 3.4.1: System Architecture of the Hybrid TBM-Deep Learning Framework [31](#_Toc232713480)</w:t>
        </w:r>
      </w:hyperlink>
    </w:p>
    <w:p>
      <w:pPr>
        <w:pStyle w:val="BodyText"/>
      </w:pPr>
      <w:hyperlink w:anchor="X28298bb16e483c53be5c120b6c3c28f6156ab0d">
        <w:r>
          <w:rPr>
            <w:rStyle w:val="Hyperlink"/>
          </w:rPr>
          <w:t xml:space="preserve">Figure 3.5.1: Data Preprocessing Pipeline [33](#_Toc232713481)</w:t>
        </w:r>
      </w:hyperlink>
    </w:p>
    <w:p>
      <w:pPr>
        <w:pStyle w:val="BodyText"/>
      </w:pPr>
      <w:hyperlink w:anchor="X93195826fee76fc44ef35ae5c6c7988ae6e7659">
        <w:r>
          <w:rPr>
            <w:rStyle w:val="Hyperlink"/>
          </w:rPr>
          <w:t xml:space="preserve">Figure 4.1.1: Gantt Chart for Research Implementation (February 2026 - May 2026) [47](#_Toc232713482)</w:t>
        </w:r>
      </w:hyperlink>
    </w:p>
    <w:bookmarkEnd w:id="23"/>
    <w:bookmarkStart w:id="24" w:name="list-of-tables"/>
    <w:p>
      <w:pPr>
        <w:pStyle w:val="Heading2"/>
      </w:pPr>
      <w:r>
        <w:t xml:space="preserve">LIST OF TABLES</w:t>
      </w:r>
    </w:p>
    <w:p>
      <w:pPr>
        <w:pStyle w:val="FirstParagraph"/>
      </w:pPr>
      <w:hyperlink w:anchor="X0ed3fba076580ad63815e36bcf7676f652339cc">
        <w:r>
          <w:rPr>
            <w:rStyle w:val="Hyperlink"/>
          </w:rPr>
          <w:t xml:space="preserve">Table 1‑1: Distribution of Radiologists in Kenya by Region [2](#_Toc232713483)</w:t>
        </w:r>
      </w:hyperlink>
    </w:p>
    <w:p>
      <w:pPr>
        <w:pStyle w:val="BodyText"/>
      </w:pPr>
      <w:hyperlink w:anchor="X8d7858b5de2bf84633cfc1a5d440350e2d240ea">
        <w:r>
          <w:rPr>
            <w:rStyle w:val="Hyperlink"/>
          </w:rPr>
          <w:t xml:space="preserve">Table 2‑1: Summary Table: Gap Identification and Research Response [21](#_Toc232713484)</w:t>
        </w:r>
      </w:hyperlink>
    </w:p>
    <w:p>
      <w:pPr>
        <w:pStyle w:val="BodyText"/>
      </w:pPr>
      <w:hyperlink w:anchor="X8b62e3107ae436eacf94ea643e102b3d7dd677e">
        <w:r>
          <w:rPr>
            <w:rStyle w:val="Hyperlink"/>
          </w:rPr>
          <w:t xml:space="preserve">Table 3‑1: RSNA-ICA Dataset Characteristics [26](#_Toc232713485)</w:t>
        </w:r>
      </w:hyperlink>
    </w:p>
    <w:p>
      <w:pPr>
        <w:pStyle w:val="BodyText"/>
      </w:pPr>
      <w:hyperlink w:anchor="Xf05e6892f1cff28b3167a072903dd67e0ca0f61">
        <w:r>
          <w:rPr>
            <w:rStyle w:val="Hyperlink"/>
          </w:rPr>
          <w:t xml:space="preserve">Table 3‑2: Evaluation Metrics and Definitions [35](#_Toc232713486)</w:t>
        </w:r>
      </w:hyperlink>
    </w:p>
    <w:p>
      <w:pPr>
        <w:pStyle w:val="BodyText"/>
      </w:pPr>
      <w:hyperlink w:anchor="ethical-considerations">
        <w:r>
          <w:rPr>
            <w:rStyle w:val="Hyperlink"/>
          </w:rPr>
          <w:t xml:space="preserve">Table 3‑3:Calibration Analysis Methods [36](#ethical-considerations)</w:t>
        </w:r>
      </w:hyperlink>
    </w:p>
    <w:p>
      <w:pPr>
        <w:pStyle w:val="BodyText"/>
      </w:pPr>
      <w:hyperlink w:anchor="Xa2a7401e93ce45e46e05d4f5e1e01356896a78a">
        <w:r>
          <w:rPr>
            <w:rStyle w:val="Hyperlink"/>
          </w:rPr>
          <w:t xml:space="preserve">Table 4‑1: Detailed Budget Estimate with Full and Effective Costs [51](#_Toc232713488)</w:t>
        </w:r>
      </w:hyperlink>
    </w:p>
    <w:bookmarkEnd w:id="24"/>
    <w:bookmarkStart w:id="25" w:name="list-of-abbreviations"/>
    <w:p>
      <w:pPr>
        <w:pStyle w:val="Heading2"/>
      </w:pPr>
      <w:r>
        <w:t xml:space="preserve">LIST OF ABBREVIATIONS</w:t>
      </w:r>
    </w:p>
    <w:tbl>
      <w:tblPr>
        <w:tblStyle w:val="Table"/>
        <w:tblW w:type="pct" w:w="5000"/>
        <w:tblLook w:firstRow="1" w:lastRow="0" w:firstColumn="0" w:lastColumn="0" w:noHBand="0" w:noVBand="0" w:val="0020"/>
        <w:tblBorders>
          <w:top w:val="single" w:sz="8" w:space="0" w:color="4A90C2"/>
          <w:left w:val="single" w:sz="8" w:space="0" w:color="4A90C2"/>
          <w:bottom w:val="single" w:sz="8" w:space="0" w:color="4A90C2"/>
          <w:right w:val="single" w:sz="8" w:space="0" w:color="4A90C2"/>
          <w:insideH w:val="single" w:sz="8" w:space="0" w:color="4A90C2"/>
          <w:insideV w:val="single" w:sz="8" w:space="0" w:color="4A90C2"/>
        </w:tblBorders>
      </w:tblPr>
      <w:tblGrid>
        <w:gridCol w:w="1552"/>
        <w:gridCol w:w="6211"/>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bCs/>
                <w:rFonts w:ascii="Times New Roman" w:hAnsi="Times New Roman"/>
                <w:b/>
                <w:color w:val="1F5C8B"/>
                <w:sz w:val="20"/>
              </w:rPr>
              <w:t xml:space="preserve">Abbreviation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bCs/>
                <w:rFonts w:ascii="Times New Roman" w:hAnsi="Times New Roman"/>
                <w:b/>
                <w:color w:val="1F5C8B"/>
                <w:sz w:val="20"/>
              </w:rPr>
              <w:t xml:space="preserve">Full Term</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Artificial Intelligence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AUC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Area Under the Curve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CNN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Convolutional Neural Network</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CTA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Computed Tomography Angiography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CHUI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Computational High-Performance Utility Infrastructure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DCI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Department of Computing and Informatics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DHIS2</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District Health Information Software 2</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DICOM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Digital Imaging and Communications in Medicine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DoM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Department of Mathematics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ERC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Ethics and Review Committee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FPR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False Positive Rate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Grad-CAM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Gradient-weighted Class Activation Mapping</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HPC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High-Performance Computing</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KENET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Kenya Education Network</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KNH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Kenyatta National Hospital</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LMIC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Low- and Middle-Income Countries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Machine Learning</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MONAI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Medical Open Network for Artificial Intelligence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NACOSTI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National Commission for Science, Technology and Innovation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NHIF</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National Hospital Insurance Fund</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PACS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Picture Archiving and Communication System</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Radiological Society of North America</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RSNA-ICA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 Intracranial Aneurysm Detection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SAH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Subarachnoid Haemorrhage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SDS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School of Data Science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SHAP</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SHapley Additive exPlanations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TBM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Template-Based Modeling</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TPR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True Positive Rate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University of Nairobi</w:t>
            </w:r>
          </w:p>
        </w:tc>
      </w:tr>
    </w:tbl>
    <w:bookmarkEnd w:id="25"/>
    <w:bookmarkStart w:id="34" w:name="introduction"/>
    <w:p>
      <w:pPr>
        <w:pStyle w:val="Heading1"/>
      </w:pPr>
      <w:r>
        <w:t xml:space="preserve">INTRODUCTION</w:t>
      </w:r>
    </w:p>
    <w:bookmarkStart w:id="26" w:name="background"/>
    <w:p>
      <w:pPr>
        <w:pStyle w:val="Heading2"/>
      </w:pPr>
      <w:r>
        <w:t xml:space="preserve">Background</w:t>
      </w:r>
    </w:p>
    <w:p>
      <w:pPr>
        <w:pStyle w:val="FirstParagraph"/>
      </w:pPr>
      <w:r>
        <w:t xml:space="preserve">The landscape of neurological healthcare in Kenya presents a unique set of challenges that distinguish it significantly from healthcare systems in high-income countries. Intracranial aneurysms, which are abnormal bulges or ballooning in the walls of blood vessels in the brain, represent a critical area of concern within this landscape. These vascular abnormalities affect approximately three to five percent of the global population, with recent meta-analyses suggesting a prevalence of approximately 3.2 percent in otherwise healthy adults (Vlak et al., 2011). When aneurysms rupture, they result in subarachnoid haemorrhage, a devastating condition with mortality rates ranging from thirty-five to fifty percent, with significant morbidity among survivors. Recent global burden of disease studies indicate that stroke, including subarachnoid haemorrhage, ranks among the leading causes of death and disability-adjusted life years lost worldwide, with increasingly urgent implications for low- and middle-income countries (GBD 2021 Stroke Collaborators, 2024).</w:t>
      </w:r>
    </w:p>
    <w:p>
      <w:pPr>
        <w:pStyle w:val="BodyText"/>
      </w:pPr>
      <w:r>
        <w:t xml:space="preserve">The radiological workforce in Kenya presents a stark picture of resource constraint that severely impacts diagnostic access. According to the Kenya Medical Practitioners and Dentists Council register, Kenya has only 225 licensed radiology specialists available to serve a population of over 55 million people, yielding a radiologist density of approximately 0.41 per 100,000 populations—significantly below the international recommendation of 10-12 per 100,000 (KMPDC, 2026). This figure represents less than 23% of the specialized health workforce threshold required by national norms to implement Universal Health Coverage (Ahmed et al., 2024). The vast majority of these specialists are concentrated within private tertiary centers in Nairobi and a few other major urban centers, leaving regional public facilities drastically underserved (Rology, 2024). This disparity means that patients presenting to Level Five and Level Six hospitals in rural and peri-urban areas—where approximately 72.5% of Kenya's population resides—often have limited or no access to expert radiological interpretation of computed tomography scans (Rology, 2024).</w:t>
      </w:r>
    </w:p>
    <w:p>
      <w:pPr>
        <w:pStyle w:val="BodyText"/>
      </w:pPr>
      <w:r>
        <w:t xml:space="preserve">The situation is particularly critical for the detection of incidental findings such as intracranial aneurysms, which may be identified when patients undergo imaging for trauma evaluation or investigation of headaches but are frequently missed due to high radiologist workload and expertise limitations. This high mortality rate, combined with the severe shortage of radiological expertise, creates a compelling case for automated detection tools that can assist healthcare workers in identifying aneurysms before catastrophic rupture occurs.</w:t>
      </w:r>
    </w:p>
    <w:p>
      <w:pPr>
        <w:pStyle w:val="BodyText"/>
      </w:pPr>
      <w:r>
        <w:t xml:space="preserve">[]{#_Toc232713483 .anchor}Table 1‑1: Distribution of Radiologists in Kenya by Region</w:t>
      </w:r>
    </w:p>
    <w:tbl>
      <w:tblPr>
        <w:tblStyle w:val="Table"/>
        <w:tblW w:type="pct" w:w="5000"/>
        <w:tblLook w:firstRow="1" w:lastRow="0" w:firstColumn="0" w:lastColumn="0" w:noHBand="0" w:noVBand="0" w:val="0020"/>
        <w:tblBorders>
          <w:top w:val="single" w:sz="8" w:space="0" w:color="4A90C2"/>
          <w:left w:val="single" w:sz="8" w:space="0" w:color="4A90C2"/>
          <w:bottom w:val="single" w:sz="8" w:space="0" w:color="4A90C2"/>
          <w:right w:val="single" w:sz="8" w:space="0" w:color="4A90C2"/>
          <w:insideH w:val="single" w:sz="8" w:space="0" w:color="4A90C2"/>
          <w:insideV w:val="single" w:sz="8" w:space="0" w:color="4A90C2"/>
        </w:tblBorders>
      </w:tblPr>
      <w:tblGrid>
        <w:gridCol w:w="1384"/>
        <w:gridCol w:w="2153"/>
        <w:gridCol w:w="1999"/>
        <w:gridCol w:w="2229"/>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Region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Number of Radiologists</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Population (Approx.)</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Radiologists per 100,000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Nairobi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119</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4,800,000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2.48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Mombasa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1,350,000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1.55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Kisumu</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1,250,000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0.80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Nakuru</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8</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2,300,000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0.34</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Eldoret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17</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1,250,000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Other Counties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45,000,000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0.09</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Total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~225</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56,000,000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0.41</w:t>
            </w:r>
          </w:p>
        </w:tc>
      </w:tr>
    </w:tbl>
    <w:p>
      <w:pPr>
        <w:pStyle w:val="BodyText"/>
      </w:pPr>
      <w:r>
        <w:rPr>
          <w:iCs/>
          <w:i/>
        </w:rPr>
        <w:t xml:space="preserve">Source: Kenya Medical Practitioners and Dentists Council (KMPDC), Specialist Register (Radiology), 2026</w:t>
      </w:r>
    </w:p>
    <w:p>
      <w:pPr>
        <w:pStyle w:val="BodyText"/>
      </w:pPr>
      <w:r>
        <w:t xml:space="preserve">The concept of opportunistic screening has emerged as a promising paradigm for addressing this diagnostic gap. Opportunistic screening refers to the systematic use of existing medical imaging data to screen for additional conditions beyond the primary reason for the imaging study. In the context of intracranial aneurysm detection, this would involve automatically analyzing computed tomography angiography (CTA) studies performed for other clinical indications to identify patients who may have undetected aneurysms requiring further evaluation. This approach maximizes the utilization of existing imaging infrastructure and provides a secondary benefit without additional patient burden or radiation exposure.</w:t>
      </w:r>
    </w:p>
    <w:p>
      <w:pPr>
        <w:pStyle w:val="BodyText"/>
      </w:pPr>
      <w:r>
        <w:t xml:space="preserve">The emergence of deep learning methodologies has revolutionized medical image analysis, with convolutional neural networks achieving human-level or superhuman performance in various diagnostic tasks. Recent systematic reviews and meta-analyses have documented the rapid advancement of deep learning in medical imaging, with applications spanning radiology, pathology, ophthalmology, and cardiology (Litjens et al., 2017; Topol, 2019). In the domain of intracranial aneurysm detection, several studies have demonstrated the feasibility of using deep learning algorithms to identify aneurysms from computed tomography angiography (CTA) and magnetic resonance angiography (MRA) images (Sichtermann et al., 2019; Delfan et al., 2025).</w:t>
      </w:r>
    </w:p>
    <w:p>
      <w:pPr>
        <w:pStyle w:val="BodyText"/>
      </w:pPr>
      <w:r>
        <w:t xml:space="preserve">Template matching approaches have been applied across various domains of medical imaging analysis, including the detection of intracranial aneurysms. These approaches typically involve extracting geometric features from imaging data and comparing them against reference templates using similarity metrics. The first-place solution in the RSNA Intracranial Aneurysm Detection challenge employed a robust coarse-to-fine pipeline that utilized vessel segmentation to guide detection, demonstrating the effectiveness of anatomically-informed approaches (Ceballos-Arroyo et al., 2024). Recent advances have explored the use of Mask R-CNN-based frameworks for aneurysm detection and segmentation, achieving high accuracy particularly for aneurysms larger than 3mm (Aykaç et al., 2025; Kreinovich et al., 2021). Studies have also demonstrated that anatomically-informed deep learning approaches with heuristic post-processing can significantly reduce false positive rates while maintaining high sensitivity (Indrakanti et al., 2025). The MONAI (Medical Open Network for Artificial Intelligence) framework provides specialized tools for implementing such approaches in medical imaging analysis (Cardoso et al., 2022).</w:t>
      </w:r>
    </w:p>
    <w:p>
      <w:pPr>
        <w:pStyle w:val="BodyText"/>
      </w:pPr>
      <w:r>
        <w:t xml:space="preserve">Recent methodological reviews have comprehensively evaluated thirty-six studies applying deep learning to intracranial aneurysm detection, identifying both the potential for clinical integration and the challenges in this domain (Joo, 2025). The RSNA Intracranial Aneurysm Detection challenge of 2025 represented a landmark in this field, with over 1,100 teams worldwide competing and winning solutions achieving area under the curve values exceeding ninety percent (RSNA, 2025). However, these models typically require large annotated datasets and substantial computational resources for training, and they often function as black boxes whose decision-making processes are not readily interpretable to clinicians. Furthermore, the vast majority of these models have been developed and validated on datasets from high-income countries, raising important questions about their generalizability to African populations (Alaran et al., 2025). Recent research on algorithmic fairness in healthcare AI has highlighted the critical importance of evaluating model performance across diverse demographic groups, particularly for deployments in low- and middle-income countries (Obermeyer et al., 2019; WHO, 2021; Hasanzadeh et al., 2025) Studies specifically examining algorithmic bias in African healthcare contexts have emphasized the need for representative training data and context-specific validation (Alaran et al., 2025 ; Zhou et al., 2024).</w:t>
      </w:r>
    </w:p>
    <w:p>
      <w:pPr>
        <w:pStyle w:val="BodyText"/>
      </w:pPr>
      <w:r>
        <w:t xml:space="preserve">The field of computational biology offers a rich source of methodological innovations that have potential applications beyond their original domain. Template-Based Modeling, originally developed for protein and RNA structure prediction, represents one such methodological approach. These techniques leverage the principle that biological structures often exhibit recurring motifs that can be matched against known templates to predict unknown structures. Interestingly, the geometric patterns characteristic of RNA structural motifs such as hairpins, loops, and stems bear mathematical resemblance to certain aneurysm morphologies, particularly saccular aneurysms at vessel bifurcations. This observation suggests the potential for cross-domain transfer of methodology from computational biology to medical imaging. Recent advances in this field have been dominated by AlphaFold, which has revolutionized protein structure prediction (Bowman, 2024), yet template-based approaches retain significant value for specific applications where interpretability and computational efficiency are paramount.</w:t>
      </w:r>
    </w:p>
    <w:bookmarkEnd w:id="26"/>
    <w:bookmarkStart w:id="27" w:name="problem-statement"/>
    <w:p>
      <w:pPr>
        <w:pStyle w:val="Heading2"/>
      </w:pPr>
      <w:r>
        <w:t xml:space="preserve">Problem Statement</w:t>
      </w:r>
    </w:p>
    <w:p>
      <w:pPr>
        <w:pStyle w:val="FirstParagraph"/>
      </w:pPr>
      <w:r>
        <w:t xml:space="preserve">Sub-Saharan Africa bears the highest stroke burden globally, with an estimated 316 cases per 100,000 persons and a steadily increasing incidence. Africa faces a disproportionately high stroke burden with approximately 29% of stroke patients dying from stroke-related complications (Waweru et al., 2021; Chukwudelunzu et al., 2024). In Kenya specifically, stroke burden is highest among middle-aged adults (40-79 years), who contribute approximately 78% of stroke cases (Kaduka et al., 2018). The epidemiological context creates urgent need for improved diagnostic capabilities, particularly for conditions like intracranial aneurysms that can lead to life-threatening subarachnoid haemorrhage when rupture occurs.</w:t>
      </w:r>
    </w:p>
    <w:p>
      <w:pPr>
        <w:pStyle w:val="BodyText"/>
      </w:pPr>
      <w:r>
        <w:t xml:space="preserve">Kenya faces a severe healthcare workforce crisis. According to the Kenya Medical Practitioners and Dentists Council, Kenya has only 225 licensed radiology specialists available to serve a population of over 56 million people, resulting in a radiologist density of 0.41 per 100,000 population (KMPDC, 2026). This compares unfavorably to the global average of 3.7 radiologists per 100,000 populations in high-income countries (WHO, 2022). The vast majority of Kenyan radiologists are concentrated in Nairobi and a few other major urban centers, leaving rural and peri-urban areas severely underserved. The supply-demand gap for radiologists is particularly critical, as demand for radiology services outpaces radiologist positions in most healthcare systems (RSNA Workforce Survey, 2024). In radiology specifically, the shortage means that radiologist expertise is unavailable in many facilities where computed tomography angiography (CTA) services exist, resulting in delayed diagnoses and missed opportunities for intervention. AI-assisted detection tools can partially address this gap by providing automated preliminary screening, enabling non-specialist healthcare workers to identify cases requiring urgent specialist review.</w:t>
      </w:r>
    </w:p>
    <w:p>
      <w:pPr>
        <w:pStyle w:val="BodyText"/>
      </w:pPr>
      <w:r>
        <w:t xml:space="preserve">The intersection of increasing demand for neurological diagnostic services and limited radiological expertise in Kenya creates a critical gap in healthcare delivery that has significant mortality and morbidity implications. Current approaches to aneurysm detection rely heavily on specialist radiologist interpretation, which is simply not available at most healthcare facilities in the country. While artificial intelligence offers a potential solution to this workforce constraint, several critical problems persist in the existing literature and practice.</w:t>
      </w:r>
    </w:p>
    <w:p>
      <w:pPr>
        <w:pStyle w:val="BodyText"/>
      </w:pPr>
      <w:r>
        <w:t xml:space="preserve">First, the dominant approach to aneurysm detection using deep learning requires substantial training data and computational resources that may not be readily available in resource-constrained settings (Litjens et al., 2017; Liu et al., 2019). The data hunger of modern deep learning models makes them difficult to train on locally available datasets, which are typically small in volume. Second, the black-box nature of many deep learning models creates challenges for clinical adoption, as radiologists and clinicians are understandably reluctant to trust diagnostic recommendations without understanding the basis for the model’s predictions (Tonekaboni et al., 2019). This interpretability challenge is particularly acute in the African context, where clinicians may be unfamiliar with the underlying technology. Third, and perhaps most critically, the algorithmic fairness of aneurysm detection models remains largely unexamined in the context of African populations (Obermeyer et al., 2019; WHO, 2021; Alaran et al., 2025). Most models are trained on datasets composed predominantly of patients from Western populations, and the performance of these models on African patients, who may have different aneurysm characteristics due to genetic, environmental, or healthcare access factors, is not well understood.</w:t>
      </w:r>
    </w:p>
    <w:bookmarkEnd w:id="27"/>
    <w:bookmarkStart w:id="28" w:name="purpose-and-objectives"/>
    <w:p>
      <w:pPr>
        <w:pStyle w:val="Heading2"/>
      </w:pPr>
      <w:r>
        <w:t xml:space="preserve">Purpose and Objectives</w:t>
      </w:r>
    </w:p>
    <w:p>
      <w:pPr>
        <w:pStyle w:val="FirstParagraph"/>
      </w:pPr>
      <w:r>
        <w:t xml:space="preserve">The primary purpose of this research is to develop and evaluate a hybrid artificial intelligence framework for the opportunistic screening of intracranial aneurysms that is specifically designed for deployment in Kenyan public health settings. This framework will combine Template-Based Modeling techniques from computational biology with deep learning methodologies to achieve improved detection performance, computational efficiency, and model interpretability. Additionally, the research will evaluate the clinical utility and algorithmic fairness of the developed framework to ensure its appropriateness for the Kenyan context.</w:t>
      </w:r>
    </w:p>
    <w:p>
      <w:pPr>
        <w:pStyle w:val="BodyText"/>
      </w:pPr>
      <w:r>
        <w:t xml:space="preserve">The specific objectives of this research are as follows:</w:t>
      </w:r>
    </w:p>
    <w:p>
      <w:pPr>
        <w:pStyle w:val="BodyText"/>
      </w:pPr>
      <w:r>
        <w:t xml:space="preserve">First, the research aims to develop a hybrid detection algorithm that integrates Template-Based Modeling components derived from RNA three-dimensional folding analysis (Zhang &amp; Zhang, 2023) with convolutional neural network architectures for the identification of intracranial aneurysms in computed tomography angiography (CTA) images. This novel algorithm will leverage the structural pattern recognition capabilities of template-matching approaches while benefiting from the feature extraction capabilities of deep learning.</w:t>
      </w:r>
    </w:p>
    <w:p>
      <w:pPr>
        <w:pStyle w:val="BodyText"/>
      </w:pPr>
      <w:r>
        <w:t xml:space="preserve">Second, the study seeks to evaluate the performance of the proposed hybrid algorithm against established benchmarks, including the results from the RSNA Intracranial Aneurysm Detection challenge and baseline three-dimensional U-Net architectures (Ronneberger et al., 2015). Performance will be assessed using standard metrics including sensitivity, specificity, area under the receiver operating characteristic curve, and Dice coefficient.</w:t>
      </w:r>
    </w:p>
    <w:p>
      <w:pPr>
        <w:pStyle w:val="BodyText"/>
      </w:pPr>
      <w:r>
        <w:t xml:space="preserve">Third, the research will conduct a comprehensive algorithmic fairness assessment to examine whether the developed model performs equitably across demographic subgroups defined by age, sex, and scanner characteristics. This assessment will employ multiple fairness criteria, including demographic parity and equalized odds (Verma &amp; Rubin, 2018), to identify any systematic performance disparities.</w:t>
      </w:r>
    </w:p>
    <w:p>
      <w:pPr>
        <w:pStyle w:val="BodyText"/>
      </w:pPr>
      <w:r>
        <w:t xml:space="preserve">Fourth, the study will assess the feasibility of deploying the proposed detection framework in Kenyan public health facilities by evaluating computational requirements, integration with existing picture archiving and communication systems, and health system barriers and facilitators. This assessment will draw on the health systems expertise of the co-supervisor to provide a comprehensive implementation perspective.</w:t>
      </w:r>
    </w:p>
    <w:p>
      <w:pPr>
        <w:pStyle w:val="BodyText"/>
      </w:pPr>
      <w:r>
        <w:t xml:space="preserve">Fifth, the research will develop evidence-based recommendations for the integration of artificial intelligence-enabled aneurysm screening into Kenyan public health workflows, including considerations for clinical implementation, policy development, and future research priorities.</w:t>
      </w:r>
    </w:p>
    <w:bookmarkEnd w:id="28"/>
    <w:bookmarkStart w:id="29" w:name="research-questions"/>
    <w:p>
      <w:pPr>
        <w:pStyle w:val="Heading2"/>
      </w:pPr>
      <w:r>
        <w:t xml:space="preserve">Research Questions</w:t>
      </w:r>
    </w:p>
    <w:p>
      <w:pPr>
        <w:pStyle w:val="FirstParagraph"/>
      </w:pPr>
      <w:r>
        <w:t xml:space="preserve">This research will be guided by the following questions, which address both the technical and health systems dimensions of the study:</w:t>
      </w:r>
    </w:p>
    <w:p>
      <w:pPr>
        <w:pStyle w:val="BodyText"/>
      </w:pPr>
      <w:r>
        <w:t xml:space="preserve">The primary technical research question asks: To what extent does integrating RNA-based structural templates improve the detection performance of aneurysm identification compared to standard three-dimensional convolutional neural network architectures in sparse-data scenarios? This question addresses the core methodological innovation of the study and will be answered through comparative performance evaluation on the RSNA Intracranial Aneurysm Detection dataset (RSNA, 2025).</w:t>
      </w:r>
    </w:p>
    <w:p>
      <w:pPr>
        <w:pStyle w:val="BodyText"/>
      </w:pPr>
      <w:r>
        <w:t xml:space="preserve">The secondary technical research question addresses algorithmic fairness: What is the magnitude of the generalization gap when applying the hybrid detection model to diverse demographic subgroups within the RSNA dataset, and how does this compare to baseline deep learning approaches (Verma &amp; Rubin, 2018; Obermeyer et al., 2019)? This question is critical for understanding the equity implications of the proposed technology. Recent research has demonstrated that machine learning models in medical imaging can exhibit demographic prediction capacity and bias, making fairness evaluation essential (Gichoya et al., 2022).</w:t>
      </w:r>
    </w:p>
    <w:p>
      <w:pPr>
        <w:pStyle w:val="BodyText"/>
      </w:pPr>
      <w:r>
        <w:t xml:space="preserve">The tertiary research question examines clinical utility and implementation: What is the projected clinical utility of deploying an artificial intelligence-enabled opportunistic screening tool in Kenyan high-volume trauma centres, and what health system factors would facilitate or hinder such deployment (Damschroder et al., 2009). This question draws on the health systems expertise of the co-supervisor and addresses the public health dimension of the research.</w:t>
      </w:r>
    </w:p>
    <w:bookmarkEnd w:id="29"/>
    <w:bookmarkStart w:id="30" w:name="novel-contributions"/>
    <w:p>
      <w:pPr>
        <w:pStyle w:val="Heading2"/>
      </w:pPr>
      <w:r>
        <w:t xml:space="preserve">Novel Contributions</w:t>
      </w:r>
    </w:p>
    <w:p>
      <w:pPr>
        <w:pStyle w:val="FirstParagraph"/>
      </w:pPr>
      <w:r>
        <w:t xml:space="preserve">This research makes four distinct contributions to knowledge that advance the fields of medical imaging artificial intelligence, computational biology methodology transfer, and health systems implementation science. The contributions are: (1) the first systematic application of template-based modeling from computational biology to intracranial aneurysm detection, establishing a novel cross-domain methodology transfer with operational implementation framework; (2) a hybrid detection architecture integrating interpretable geometric priors with deep learning through a learned fusion mechanism for improved clinical decision support; (3) a comprehensive algorithmic fairness evaluation examining model performance across demographic subgroups relevant to African healthcare contexts; and (4) evidence-based feasibility assessment of AI deployment in resource-constrained Kenyan health facilities through stakeholder consultation and health systems analysis. The detailed theoretical justification and comprehensive elaboration of each contribution is provided in Section 2.4 (Contribution to Knowledge).</w:t>
      </w:r>
    </w:p>
    <w:bookmarkEnd w:id="30"/>
    <w:bookmarkStart w:id="31" w:name="justification-and-significance"/>
    <w:p>
      <w:pPr>
        <w:pStyle w:val="Heading2"/>
      </w:pPr>
      <w:r>
        <w:t xml:space="preserve">Justification and Significance</w:t>
      </w:r>
    </w:p>
    <w:p>
      <w:pPr>
        <w:pStyle w:val="FirstParagraph"/>
      </w:pPr>
      <w:r>
        <w:t xml:space="preserve">The significance of this research extends across multiple dimensions, encompassing scientific contribution, public health impact, and capacity building for the Kenyan health system. From a scientific perspective, the proposed study represents a novel contribution to the field of medical imaging analysis by demonstrating the feasibility of cross-domain methodology transfer from computational biology to clinical applications. While template-based approaches have been extensively studied in protein and RNA structure prediction, their application to medical imaging represents an unexplored frontier that could inform future research in other areas of diagnostic imaging.</w:t>
      </w:r>
    </w:p>
    <w:p>
      <w:pPr>
        <w:pStyle w:val="BodyText"/>
      </w:pPr>
      <w:r>
        <w:t xml:space="preserve">From a public health perspective, the research addresses a critical gap in neurological healthcare delivery in Kenya. The opportunistic screening paradigm offers a cost-effective approach to aneurysm detection that leverages existing imaging infrastructure without requiring additional patient visits or radiation exposure. Recent economic evaluations have demonstrated the cost-effectiveness of artificial intelligence-based opportunistic screening in medical imaging (Topol, 2019. Studies have shown that AI-based opportunistic screening for conditions such as osteoporosis and compression fractures remains economically feasible when the added cost of the AI tool does not exceed specific thresholds per patient (Curl et al., 2024; RSNA Daily Bulletin, 2024). By developing and validating a model specifically designed for the Kenyan context, with attention to algorithmic fairness, this research contributes to the growing body of knowledge on appropriate artificial intelligence solutions for low- and middle-income countries. The findings will inform policy decisions regarding the integration of artificial intelligence tools into Kenyan public health facilities.</w:t>
      </w:r>
    </w:p>
    <w:p>
      <w:pPr>
        <w:pStyle w:val="BodyText"/>
      </w:pPr>
      <w:r>
        <w:t xml:space="preserve">The capacity building dimension of the research is equally important. Through the conduct of this study, the researcher will develop advanced skills in medical imaging analysis, deep learning development, and health systems research that will contribute to the human resource capacity for artificial intelligence in healthcare in Kenya. Furthermore, the research will strengthen collaborative ties between the University of Nairobi and other institutions through the engagement of supervisors with complementary expertise.</w:t>
      </w:r>
    </w:p>
    <w:bookmarkEnd w:id="31"/>
    <w:bookmarkStart w:id="33" w:name="scope-and-limitations"/>
    <w:p>
      <w:pPr>
        <w:pStyle w:val="Heading2"/>
      </w:pPr>
      <w:r>
        <w:t xml:space="preserve">Scope and Limitations</w:t>
      </w:r>
    </w:p>
    <w:p>
      <w:pPr>
        <w:pStyle w:val="FirstParagraph"/>
      </w:pPr>
      <w:r>
        <w:t xml:space="preserve">The scope of this research encompasses the development, validation, and preliminary feasibility assessment of a hybrid artificial intelligence framework for aneurysm detection. The research will be conducted using the RSNA Intracranial Aneurysm Detection dataset, which, while international in scope, represents the most comprehensive publicly available collection of annotated aneurysm images. The research will not include prospective data collection from Kenyan hospitals, although the feasibility assessment will incorporate insights from Kenyan health system stakeholders.</w:t>
      </w:r>
    </w:p>
    <w:p>
      <w:pPr>
        <w:pStyle w:val="BodyText"/>
      </w:pPr>
      <w:r>
        <w:rPr>
          <w:bCs/>
          <w:b/>
        </w:rPr>
        <w:t xml:space="preserve">Acknowledged Limitations and Mitigation Strategies</w:t>
      </w:r>
    </w:p>
    <w:p>
      <w:pPr>
        <w:pStyle w:val="BodyText"/>
      </w:pPr>
      <w:r>
        <w:t xml:space="preserve">This research acknowledges several potential limitations that are addressed through methodological design and validation planning:</w:t>
      </w:r>
    </w:p>
    <w:p>
      <w:pPr>
        <w:pStyle w:val="BodyText"/>
      </w:pPr>
      <w:r>
        <w:rPr>
          <w:bCs/>
          <w:b/>
        </w:rPr>
        <w:t xml:space="preserve">Limitation 1:</w:t>
      </w:r>
      <w:r>
        <w:t xml:space="preserve"> </w:t>
      </w:r>
      <w:r>
        <w:rPr>
          <w:bCs/>
          <w:b/>
        </w:rPr>
        <w:t xml:space="preserve">Limited African Population Representation in Training Data</w:t>
      </w:r>
      <w:r>
        <w:t xml:space="preserve">. The RSNA-ICA dataset, while international, does not include substantial representation from African populations. This limitation represents a fundamental challenge for fairness research in this domain, as the training data may not capture the full diversity of aneurysm presentations across different ethnic and geographic backgrounds. Mitigation: The fairness audit component specifically examines model performance across available demographic subgroups and uses scanner manufacturer as a proxy for technical diversity. The research explicitly acknowledges that generalization to Kenyan populations remains an open research question requiring local validation data.</w:t>
      </w:r>
    </w:p>
    <w:p>
      <w:pPr>
        <w:pStyle w:val="BodyText"/>
      </w:pPr>
      <w:r>
        <w:rPr>
          <w:bCs/>
          <w:b/>
        </w:rPr>
        <w:t xml:space="preserve">Limitation 2:</w:t>
      </w:r>
      <w:r>
        <w:t xml:space="preserve"> </w:t>
      </w:r>
      <w:r>
        <w:rPr>
          <w:bCs/>
          <w:b/>
        </w:rPr>
        <w:t xml:space="preserve">Computational Complexity of Hybrid Architecture</w:t>
      </w:r>
      <w:r>
        <w:t xml:space="preserve">. The hybrid approach combining template-based modeling with deep learning increases computational complexity relative to pure deep learning approaches. This complexity may limit deployment feasibility in resource-constrained settings where computational infrastructure is limited. Mitigation: The feasibility assessment component explicitly evaluates computational requirements for deployment, including CPU inference options for low-resource settings. The prototype at</w:t>
      </w:r>
      <w:r>
        <w:t xml:space="preserve"> </w:t>
      </w:r>
      <w:hyperlink r:id="rId32">
        <w:r>
          <w:rPr>
            <w:rStyle w:val="Hyperlink"/>
          </w:rPr>
          <w:t xml:space="preserve">https://aneurysm-detection-kenya.vercel.app/</w:t>
        </w:r>
      </w:hyperlink>
      <w:r>
        <w:t xml:space="preserve"> </w:t>
      </w:r>
      <w:r>
        <w:t xml:space="preserve">demonstrates minimum infrastructure requirements for practical deployment.</w:t>
      </w:r>
    </w:p>
    <w:p>
      <w:pPr>
        <w:pStyle w:val="BodyText"/>
      </w:pPr>
      <w:r>
        <w:rPr>
          <w:bCs/>
          <w:b/>
        </w:rPr>
        <w:t xml:space="preserve">Limitation 3:</w:t>
      </w:r>
      <w:r>
        <w:t xml:space="preserve"> </w:t>
      </w:r>
      <w:r>
        <w:rPr>
          <w:bCs/>
          <w:b/>
        </w:rPr>
        <w:t xml:space="preserve">Dependence on Demographic Data Availability for Fairness Audit</w:t>
      </w:r>
      <w:r>
        <w:t xml:space="preserve">. The fairness audit depends on the availability and quality of demographic metadata in the RSNA-ICA dataset. If demographic data is incomplete or inconsistently recorded, the fairness analysis may be limited in scope. Mitigation: The research plans subgroup analysis using multiple available variables (age, sex, scanner manufacturer) to maximize the information available for fairness assessment. The analysis explicitly acknowledges data quality limitations in the reporting of results.</w:t>
      </w:r>
    </w:p>
    <w:p>
      <w:pPr>
        <w:pStyle w:val="BodyText"/>
      </w:pPr>
      <w:r>
        <w:rPr>
          <w:bCs/>
          <w:b/>
        </w:rPr>
        <w:t xml:space="preserve">Limitation 4:</w:t>
      </w:r>
      <w:r>
        <w:t xml:space="preserve"> </w:t>
      </w:r>
      <w:r>
        <w:rPr>
          <w:bCs/>
          <w:b/>
        </w:rPr>
        <w:t xml:space="preserve">Stakeholder Interview Access and Willingness</w:t>
      </w:r>
      <w:r>
        <w:t xml:space="preserve">. The feasibility assessment component relies on stakeholder interviews with Kenyan healthcare workers and policymakers. Access to appropriate stakeholders may be limited by institutional barriers, and willingness to participate may vary. Mitigation: The research incorporates multiple data sources for feasibility assessment, including literature review of Kenyan health system characteristics, analysis of existing health informatics infrastructure, and remote stakeholder consultation where in-person interviews are not feasible.</w:t>
      </w:r>
    </w:p>
    <w:p>
      <w:pPr>
        <w:pStyle w:val="BodyText"/>
      </w:pPr>
      <w:r>
        <w:rPr>
          <w:bCs/>
          <w:b/>
        </w:rPr>
        <w:t xml:space="preserve">Limitation 5:</w:t>
      </w:r>
      <w:r>
        <w:t xml:space="preserve"> </w:t>
      </w:r>
      <w:r>
        <w:rPr>
          <w:bCs/>
          <w:b/>
        </w:rPr>
        <w:t xml:space="preserve">Generalizability to Other African Contexts</w:t>
      </w:r>
      <w:r>
        <w:t xml:space="preserve">. While the research focuses on Kenyan public health settings, findings may have limited generalizability to other African countries with different health system characteristics, infrastructure levels, and disease patterns. Mitigation: The research explicitly discusses the Kenyan context as a specific case study while drawing connections to broader themes in African health system development. Recommendations are framed as starting points for context-specific adaptation rather than universal solutions.</w:t>
      </w:r>
    </w:p>
    <w:p>
      <w:pPr>
        <w:pStyle w:val="BodyText"/>
      </w:pPr>
      <w:r>
        <w:rPr>
          <w:bCs/>
          <w:b/>
        </w:rPr>
        <w:t xml:space="preserve">Limitation 6:</w:t>
      </w:r>
      <w:r>
        <w:t xml:space="preserve"> </w:t>
      </w:r>
      <w:r>
        <w:rPr>
          <w:bCs/>
          <w:b/>
        </w:rPr>
        <w:t xml:space="preserve">Cross-Sectional Validation Design</w:t>
      </w:r>
      <w:r>
        <w:t xml:space="preserve">. The research uses cross-sectional validation rather than prospective clinical evaluation. This design limits causal inference regarding the clinical impact of the proposed tool, as it cannot directly measure outcomes such as time-to-treatment or patient survival that would be captured in prospective studies. Mitigation: The validation design is explicitly acknowledged as a preliminary assessment, with recommendations for future prospective evaluation as a logical next step following successful preliminary validation.</w:t>
      </w:r>
    </w:p>
    <w:bookmarkEnd w:id="33"/>
    <w:bookmarkEnd w:id="34"/>
    <w:bookmarkStart w:id="41" w:name="literature-review"/>
    <w:p>
      <w:pPr>
        <w:pStyle w:val="Heading1"/>
      </w:pPr>
      <w:r>
        <w:t xml:space="preserve">LITERATURE REVIEW</w:t>
      </w:r>
    </w:p>
    <w:bookmarkStart w:id="35" w:name="theoretical-framework"/>
    <w:p>
      <w:pPr>
        <w:pStyle w:val="Heading2"/>
      </w:pPr>
      <w:r>
        <w:t xml:space="preserve">Theoretical Framework</w:t>
      </w:r>
    </w:p>
    <w:p>
      <w:pPr>
        <w:pStyle w:val="FirstParagraph"/>
      </w:pPr>
      <w:r>
        <w:t xml:space="preserve">The theoretical foundation of this research draws on three interconnected domains: structural pattern recognition from computational biology, deep learning for medical imaging, and health systems implementation science. The integration of these domains provides a robust conceptual framework for addressing the complex challenge of developing appropriate artificial intelligence solutions for aneurysm detection in resource-constrained settings.</w:t>
      </w:r>
    </w:p>
    <w:p>
      <w:pPr>
        <w:pStyle w:val="BodyText"/>
      </w:pPr>
      <w:r>
        <w:t xml:space="preserve">Recent advances in this field have explored the application of deep learning approaches alongside traditional template-based methods, creating hybrid architectures that leverage the strengths of both paradigms (Zheng et al., 2023; Zhang &amp; Shen, 2020). While AlphaFold has revolutionised the field with its unprecedented accuracy (Jumper et al., 2021), template-based approaches remain valuable for their interpretability and computational efficiency, particularly in scenarios with limited training data.</w:t>
      </w:r>
    </w:p>
    <w:p>
      <w:pPr>
        <w:pStyle w:val="BodyText"/>
      </w:pPr>
      <w:r>
        <w:t xml:space="preserve">The fundamental question underlying this research is why template-based modeling techniques originally developed for RNA three-dimensional structure prediction should be applicable to intracranial aneurysm detection in medical imaging. This section provides a rigorous theoretical justification that directly addresses the interdisciplinary transfer of methodology from computational biology to vascular imaging analysis.</w:t>
      </w:r>
    </w:p>
    <w:p>
      <w:pPr>
        <w:pStyle w:val="BodyText"/>
      </w:pPr>
      <w:r>
        <w:rPr>
          <w:bCs/>
          <w:b/>
        </w:rPr>
        <w:t xml:space="preserve">Theoretical Foundation of Template-Based Modeling in Computational Biology.</w:t>
      </w:r>
      <w:r>
        <w:t xml:space="preserve"> </w:t>
      </w:r>
      <w:r>
        <w:t xml:space="preserve">Template-Based Modeling in computational biology rests on a fundamental principle: biological macromolecules adopt conformations that are determined by their structural constraints, and these conformations often exhibit recurring patterns that can be characterized mathematically and matched against reference templates. In RNA structure prediction, this principle manifests as the observation that RNA molecules fold into characteristic secondary structures, hairpins, internal loops, bulges, and stems, that are determined by base pairing rules and thermodynamic stability constraints. These structural motifs are not random; they follow predictable geometric patterns that can be quantitatively characterized through measures including backbone dihedral angles, inter-nucleotide distances, and spatial coordinates of nucleotide positions.</w:t>
      </w:r>
    </w:p>
    <w:p>
      <w:pPr>
        <w:pStyle w:val="BodyText"/>
      </w:pPr>
      <w:r>
        <w:t xml:space="preserve">The mathematical formalization of template matching in computational biology involves several key concepts. Structural motifs are defined as recurring geometric patterns characterized quantitatively through measures such as inter-atomic distances, bond angles, and spatial coordinates. These motifs serve as templates against which novel structures can be compared using similarity metrics including root mean square deviation (RMSD), template modeling score (TM-score), and dynamic programming-based alignment algorithms. A critical insight is that template matching does not require exact replication of structure; rather, it identifies structural similarity within defined thresholds, allowing for natural variation within functional motif families.</w:t>
      </w:r>
    </w:p>
    <w:p>
      <w:pPr>
        <w:pStyle w:val="BodyText"/>
      </w:pPr>
      <w:r>
        <w:rPr>
          <w:bCs/>
          <w:b/>
        </w:rPr>
        <w:t xml:space="preserve">Parallel Principles in Vascular Morphology Analysis.</w:t>
      </w:r>
      <w:r>
        <w:t xml:space="preserve"> </w:t>
      </w:r>
      <w:r>
        <w:t xml:space="preserve">The extension of template-based concepts to medical imaging involves recognizing that aneurysms exhibit structural patterns that parallel the recurring motifs observed in molecular biology. Saccular aneurysms at vessel bifurcations display characteristic geometric configurations that follow predictable patterns determined by hemodynamic forces, vessel wall properties, and anatomical constraints. These patterns are not random variations; they reflect the underlying physics of vascular remodeling and follow mathematical regularities that can be characterized and matched against templates.</w:t>
      </w:r>
    </w:p>
    <w:p>
      <w:pPr>
        <w:pStyle w:val="BodyText"/>
      </w:pPr>
      <w:r>
        <w:t xml:space="preserve">The key theoretical insight is that both RNA structural motifs and aneurysm morphologies represent recurring geometric patterns that arise from physical and biological constraints. In RNA, base pairing and thermodynamic stability constrain folding into specific patterns. In blood vessels, hemodynamic stress and wall mechanical properties constrain remodeling into characteristic aneurysm shapes. Both systems exhibit recurring motifs that can be characterized quantitatively, template libraries of known patterns that enable matching, and similarity metrics that quantify the correspondence between candidate structures and reference templates.</w:t>
      </w:r>
    </w:p>
    <w:p>
      <w:pPr>
        <w:pStyle w:val="BodyText"/>
      </w:pPr>
      <w:r>
        <w:rPr>
          <w:bCs/>
          <w:b/>
        </w:rPr>
        <w:t xml:space="preserve">Explicit Mapping of Structural Parallels.</w:t>
      </w:r>
      <w:r>
        <w:t xml:space="preserve"> </w:t>
      </w:r>
      <w:r>
        <w:t xml:space="preserve">The structural parallels between RNA motifs and aneurysm morphology are not merely analogical; they represent a genuine mathematical correspondence that enables principled methodology transfer:</w:t>
      </w:r>
    </w:p>
    <w:p>
      <w:pPr>
        <w:pStyle w:val="BodyText"/>
      </w:pPr>
      <w:r>
        <w:t xml:space="preserve">The</w:t>
      </w:r>
      <w:r>
        <w:t xml:space="preserve"> </w:t>
      </w:r>
      <w:r>
        <w:rPr>
          <w:bCs/>
          <w:b/>
        </w:rPr>
        <w:t xml:space="preserve">RNA Hairpin Loop</w:t>
      </w:r>
      <w:r>
        <w:t xml:space="preserve"> </w:t>
      </w:r>
      <w:r>
        <w:t xml:space="preserve">corresponds mathematically to the Aneurysm Dome. In RNA, hairpins are characterized by a closing base pair, an unpaired loop region, and stem extensions. The geometric parameters include loop size, stem angle, and backbone curvature. The mathematical characterization includes circularity indices, radius of curvature, and volume-to-surface ratios. In aneurysms, the dome is characterized by a saccular outpouching with a spherical or ellipsoidal geometry. The geometric parameters include maximum diameter, aspect ratio, and surface curvature distribution. Like RNA hairpins, aneurysm domes exhibit characteristic bulging that distinguishes them from surrounding vessel structure, with mathematical properties that can be precisely quantified.</w:t>
      </w:r>
    </w:p>
    <w:p>
      <w:pPr>
        <w:pStyle w:val="BodyText"/>
      </w:pPr>
      <w:r>
        <w:t xml:space="preserve">The</w:t>
      </w:r>
      <w:r>
        <w:t xml:space="preserve"> </w:t>
      </w:r>
      <w:r>
        <w:rPr>
          <w:bCs/>
          <w:b/>
        </w:rPr>
        <w:t xml:space="preserve">RNA Junction Region</w:t>
      </w:r>
      <w:r>
        <w:t xml:space="preserve"> </w:t>
      </w:r>
      <w:r>
        <w:t xml:space="preserve">corresponds mathematically to the Aneurysm Neck. In RNA, junction regions connect multiple helices or hairpins, characterized by smooth angular transitions and conserved backbone geometry. The mathematical parameters include junction angle, backbone orientation, and spatial relationship to adjacent helices. In aneurysms, the neck is the narrow connection between the aneurysm sac and the parent vessel, characterized by relatively constant diameter relative to the dome and defined by the vessel wall transition. The geometric parameters include neck diameter, neck-to-dome ratio, and vessel wall thickness. Both structures represent the transition zone between distinct geometric configurations, with mathematical properties that enable reliable template matching.</w:t>
      </w:r>
    </w:p>
    <w:p>
      <w:pPr>
        <w:pStyle w:val="BodyText"/>
      </w:pPr>
      <w:r>
        <w:t xml:space="preserve">The</w:t>
      </w:r>
      <w:r>
        <w:t xml:space="preserve"> </w:t>
      </w:r>
      <w:r>
        <w:rPr>
          <w:bCs/>
          <w:b/>
        </w:rPr>
        <w:t xml:space="preserve">RNA Stem Connectivity</w:t>
      </w:r>
      <w:r>
        <w:t xml:space="preserve"> </w:t>
      </w:r>
      <w:r>
        <w:t xml:space="preserve">corresponds mathematically to the Parent Vessel Relationship. In RNA, stems are continuous helical regions that connect to hairpin loops and junction regions, characterized by base-stacking interactions and regular helical geometry. The mathematical parameters include helical pitch, groove width, and backbone orientation. In aneurysms, the parent vessel is the arterial segment from which the aneurysm arises, characterized by normal caliber, intact wall structure, and regular branching geometry. The vessel caliber, bifurcation angle, and hemodynamic patterns provide contextual information analogous to stem characteristics in RNA structure.</w:t>
      </w:r>
    </w:p>
    <w:p>
      <w:pPr>
        <w:pStyle w:val="BodyText"/>
      </w:pPr>
      <w:r>
        <w:rPr>
          <w:bCs/>
          <w:b/>
        </w:rPr>
        <w:t xml:space="preserve">Mathematical Framework for Quantifiable Transfer.</w:t>
      </w:r>
      <w:r>
        <w:t xml:space="preserve"> </w:t>
      </w:r>
      <w:r>
        <w:t xml:space="preserve">The template matching approach for aneurysm detection operates on the principle that geometric features can be extracted from medical imaging data and compared against a library of known aneurysm morphologies using distance metrics in a multidimensional feature space. The feature vector for each candidate region includes size parameters (maximum diameter, volume, surface area), shape parameters (sphericity, ellipticity, compactness), neck parameters (neck diameter, aspect ratio, neck-to-dome ratio), and hemodynamic indicators (flow patterns, contrast enhancement characteristics). Template matching scores are calculated by comparing extracted features against the aneurysm template library using Euclidean distance in feature space, Mahalanobis distance (accounting for feature correlations), and cosine similarity (capturing shape direction).</w:t>
      </w:r>
    </w:p>
    <w:p>
      <w:pPr>
        <w:pStyle w:val="BodyText"/>
      </w:pPr>
      <w:r>
        <w:t xml:space="preserve">This mathematical framework demonstrates that the same theoretical principles underlying template-based modeling in computational biology, the characterization of recurring geometric patterns through quantifiable features and their matching against reference templates using distance metrics, apply directly to aneurysm morphology analysis. The cross-domain transfer is not merely analogical but represents a genuine mathematical correspondence that enables the principled application of computational biology techniques to medical imaging.</w:t>
      </w:r>
    </w:p>
    <w:p>
      <w:pPr>
        <w:pStyle w:val="BodyText"/>
      </w:pPr>
      <w:r>
        <w:rPr>
          <w:bCs/>
          <w:b/>
        </w:rPr>
        <w:t xml:space="preserve">Implications for Aneurysm Detection.</w:t>
      </w:r>
      <w:r>
        <w:t xml:space="preserve"> </w:t>
      </w:r>
      <w:r>
        <w:t xml:space="preserve">The theoretical foundation established above has direct implications for the design of the hybrid detection framework. First, template matching provides a principled approach to incorporating anatomical priors into the detection process, allowing the model to recognize known aneurysm patterns rather than learning them entirely from data. Second, the template library can encode variation within aneurysm morphology families, capturing the range of geometric configurations that aneurysms exhibit while maintaining sensitivity to deviations that may indicate rupture risk or other clinical concerns. Third, the interpretability of template features, each feature has a well-defined mathematical definition directly related to clinical aneurysm characteristics, addresses the interpretability challenge that limits adoption of pure deep learning models in clinical settings.</w:t>
      </w:r>
    </w:p>
    <w:p>
      <w:pPr>
        <w:pStyle w:val="BodyText"/>
      </w:pPr>
      <w:r>
        <w:t xml:space="preserve">This explicit theoretical justification demonstrates that the cross-domain transfer of template-based modeling from RNA folding to aneurysm detection is grounded in genuine mathematical correspondence between recurring geometric patterns in both domains, not merely superficial analogy. The framework provides a sound theoretical foundation for the methodological innovation proposed in this research.</w:t>
      </w:r>
    </w:p>
    <w:p>
      <w:pPr>
        <w:pStyle w:val="BodyText"/>
      </w:pPr>
      <w:r>
        <w:rPr>
          <w:bCs/>
          <w:b/>
        </w:rPr>
        <w:t xml:space="preserve">Template-Based Modeling in Computational Biology.</w:t>
      </w:r>
      <w:r>
        <w:t xml:space="preserve"> </w:t>
      </w:r>
      <w:r>
        <w:t xml:space="preserve">The fundamental principle underlying template-based modeling is that biological macromolecules adopt conformations determined by their amino acid or nucleotide sequences, and these conformations often resemble those of previously characterized structures. By identifying similar structures in databases of known three-dimensional conformations, researchers can predict the structure of unknown molecules with reasonable accuracy. The computational approaches involved include sequence alignment, structural superposition, and geometric matching algorithms that quantify the similarity between candidate structures and potential templates.</w:t>
      </w:r>
    </w:p>
    <w:p>
      <w:pPr>
        <w:pStyle w:val="BodyText"/>
      </w:pPr>
      <w:r>
        <w:t xml:space="preserve">The mathematical formalization of template matching in this context involves defining structural motifs as recurring geometric patterns characterized quantitatively through measures such as inter-atomic distances, bond angles, and spatial coordinates. These motifs serve as templates against which novel structures can be compared using similarity metrics including root mean square deviation and template modeling score.</w:t>
      </w:r>
    </w:p>
    <w:p>
      <w:pPr>
        <w:pStyle w:val="BodyText"/>
      </w:pPr>
      <w:r>
        <w:rPr>
          <w:bCs/>
          <w:b/>
        </w:rPr>
        <w:t xml:space="preserve">Parallel Principles in Vascular Morphology.</w:t>
      </w:r>
      <w:r>
        <w:t xml:space="preserve"> </w:t>
      </w:r>
      <w:r>
        <w:t xml:space="preserve">The extension of template-based concepts to medical imaging involves recognizing that aneurysms exhibit structural patterns analogous to molecular motifs. Saccular aneurysms at vessel bifurcations display characteristic geometric configurations that can be mathematically characterized:</w:t>
      </w:r>
    </w:p>
    <w:p>
      <w:pPr>
        <w:pStyle w:val="BodyText"/>
      </w:pPr>
      <w:r>
        <w:rPr>
          <w:bCs/>
          <w:b/>
        </w:rPr>
        <w:t xml:space="preserve">The Aneurysm DOME</w:t>
      </w:r>
      <w:r>
        <w:t xml:space="preserve"> </w:t>
      </w:r>
      <w:r>
        <w:t xml:space="preserve">(analogous to the bulbous structure of RNA hairpins): The spherical or bleb-like outpouching of the aneurysm sac represents a distinctive morphological feature that can be quantified through sphericity indices, surface curvature measures, and volume-to-surface-area ratios. Like RNA hairpins, aneurysms show characteristic bulging that distinguishes them from the surrounding vessel structure.</w:t>
      </w:r>
    </w:p>
    <w:p>
      <w:pPr>
        <w:pStyle w:val="BodyText"/>
      </w:pPr>
      <w:r>
        <w:rPr>
          <w:bCs/>
          <w:b/>
        </w:rPr>
        <w:t xml:space="preserve">The ANEURYSM NECK</w:t>
      </w:r>
      <w:r>
        <w:t xml:space="preserve"> </w:t>
      </w:r>
      <w:r>
        <w:t xml:space="preserve">(analogous to the junction region in RNA motifs): The narrow connection between the aneurysm sac and the parent vessel represents a critical structural element analogous to the junction regions in RNA structural motifs. This feature is quantified through neck diameter measurements, aspect ratios (dome-to-neck ratio), and flow dynamics indicators.</w:t>
      </w:r>
    </w:p>
    <w:p>
      <w:pPr>
        <w:pStyle w:val="BodyText"/>
      </w:pPr>
      <w:r>
        <w:t xml:space="preserve">The</w:t>
      </w:r>
      <w:r>
        <w:t xml:space="preserve"> </w:t>
      </w:r>
      <w:r>
        <w:rPr>
          <w:bCs/>
          <w:b/>
        </w:rPr>
        <w:t xml:space="preserve">PARENT VESSEL RELATIONSHIP</w:t>
      </w:r>
      <w:r>
        <w:t xml:space="preserve"> </w:t>
      </w:r>
      <w:r>
        <w:t xml:space="preserve">(analogous to stem connectivity in RNA): The relationship between the aneurysm and its parent vessel mirrors the stem connectivity in RNA structures, where stems represent the continuous helical regions connecting to hairpin loops. The vessel caliber, bifurcation angle, and hemodynamic stress patterns provide contextual information analogous to stem characteristics in RNA folding.</w:t>
      </w:r>
    </w:p>
    <w:p>
      <w:pPr>
        <w:pStyle w:val="BodyText"/>
      </w:pPr>
      <w:r>
        <w:rPr>
          <w:bCs/>
          <w:b/>
        </w:rPr>
        <w:t xml:space="preserve">Mathematical Framework for Cross-Domain Transfer.</w:t>
      </w:r>
      <w:r>
        <w:t xml:space="preserve"> </w:t>
      </w:r>
      <w:r>
        <w:t xml:space="preserve">The template matching approach for aneurysm detection operates on the principle that these geometric features can be extracted from medical imaging data and compared against a library of known aneurysm morphologies using distance metrics in a multidimensional feature space. The feature vector for each candidate region includes:</w:t>
      </w:r>
    </w:p>
    <w:p>
      <w:pPr>
        <w:pStyle w:val="BodyText"/>
      </w:pPr>
      <w:r>
        <w:t xml:space="preserve">Size parameters: maximum diameter, volume, surface area Shape parameters: sphericity, ellipticity, compactness Neck parameters: neck diameter, aspect ratio, neck-to-dome ratio Hemodynamic indicators: flow patterns, contrast enhancement characteristics</w:t>
      </w:r>
    </w:p>
    <w:p>
      <w:pPr>
        <w:pStyle w:val="BodyText"/>
      </w:pPr>
      <w:r>
        <w:t xml:space="preserve">Template matching scores are calculated by comparing extracted features against the aneurysm template library using Euclidean distance in feature space and shape similarity measures including Mahalanobis distance (accounting for feature correlations) and cosine similarity (capturing shape direction).</w:t>
      </w:r>
    </w:p>
    <w:p>
      <w:pPr>
        <w:pStyle w:val="BodyText"/>
      </w:pPr>
      <w:r>
        <w:t xml:space="preserve">[]{#_Toc232713479 .anchor}Figure 2.1.1: Conceptual Framework - Cross-Domain Transfer from RNA Folding to Vascular Imaging</w:t>
      </w:r>
    </w:p>
    <w:p>
      <w:pPr>
        <w:pStyle w:val="BodyText"/>
      </w:pPr>
    </w:p>
    <w:p>
      <w:pPr>
        <w:pStyle w:val="BodyText"/>
      </w:pPr>
      <w:r>
        <w:t xml:space="preserve">This conceptual framework illustrates the cross-domain methodology transfer from computational biology to medical imaging. The framework operates across three interconnected domains:</w:t>
      </w:r>
    </w:p>
    <w:p>
      <w:pPr>
        <w:pStyle w:val="BodyText"/>
      </w:pPr>
      <w:r>
        <w:rPr>
          <w:bCs/>
          <w:b/>
        </w:rPr>
        <w:t xml:space="preserve">1. Computational Biology Domain (Left):</w:t>
      </w:r>
      <w:r>
        <w:t xml:space="preserve"> </w:t>
      </w:r>
      <w:r>
        <w:t xml:space="preserve">Shows how RNA 3D structure prediction uses Template-Based Modeling to identify structural motifs like hairpins, loops, and stems. The fundamental principle is that biological macromolecules adopt conformations determined by their sequence, and these conformations can be predicted by matching against known structural templates.</w:t>
      </w:r>
    </w:p>
    <w:p>
      <w:pPr>
        <w:pStyle w:val="BodyText"/>
      </w:pPr>
      <w:r>
        <w:rPr>
          <w:bCs/>
          <w:b/>
        </w:rPr>
        <w:t xml:space="preserve">2. Medical Imaging Domain (Right):</w:t>
      </w:r>
      <w:r>
        <w:t xml:space="preserve"> </w:t>
      </w:r>
      <w:r>
        <w:t xml:space="preserve">Demonstrates how vascular morphology analysis uses geometric pattern recognition to identify aneurysm morphologies (saccular and fusiform). The key insight is that aneurysms exhibit characteristic geometric patterns at vessel bifurcations that can be mathematically characterized and matched against templates.</w:t>
      </w:r>
    </w:p>
    <w:p>
      <w:pPr>
        <w:pStyle w:val="BodyText"/>
      </w:pPr>
      <w:r>
        <w:rPr>
          <w:bCs/>
          <w:b/>
        </w:rPr>
        <w:t xml:space="preserve">3. Hybrid Framework (Center):</w:t>
      </w:r>
      <w:r>
        <w:t xml:space="preserve"> </w:t>
      </w:r>
      <w:r>
        <w:t xml:space="preserve">The integration layer that combines template matching with convolutional neural networks for improved detection. This hybrid approach leverages the interpretability of template-based methods while benefiting from the feature learning capabilities of neural networks.</w:t>
      </w:r>
    </w:p>
    <w:p>
      <w:pPr>
        <w:pStyle w:val="BodyText"/>
      </w:pPr>
      <w:r>
        <w:t xml:space="preserve">The key insight is that the mathematical patterns used to identify RNA structural motifs can be adapted to identify aneurysm morphological patterns in vascular imaging. Both domains rely on the principle that recurring geometric patterns can be characterized quantitatively and matched against reference templates to enable accurate identification.</w:t>
      </w:r>
    </w:p>
    <w:p>
      <w:pPr>
        <w:pStyle w:val="BodyText"/>
      </w:pPr>
      <w:r>
        <w:t xml:space="preserve">Deep learning, particularly convolutional neural networks, has become the dominant approach for medical image analysis due to its ability to learn hierarchical feature representations directly from image data. However, recent research has highlighted the limitations of pure end-to-end deep learning approaches in medical imaging, including the need for large annotated datasets, computational resource requirements, and the challenge of model interpretability (Tonekaboni et al., 2019; Liu et al., 2019; Ardila et al., 2019). Modern architectures for medical imaging include U-Net, which was originally developed for semantic segmentation and has been widely adapted for lesion detection and boundary delineation, and three-dimensional convolutional networks that can process volumetric computed tomography data (Tiwari et al., 2024). The integration of attention mechanisms has further improved the performance of these models by enabling them to focus on diagnostically relevant image regions. Recent advances in hybrid deep learning approaches, which integrate domain-specific knowledge or traditional vessel-aware modeling with deep neural networks, have shown promise in addressing some of these limitations by improving model robustness and interpretability while reducing data requirements (Ceballos-Arroyo et al., 2024; Wei et al., 2024).</w:t>
      </w:r>
    </w:p>
    <w:p>
      <w:pPr>
        <w:pStyle w:val="BodyText"/>
      </w:pPr>
      <w:r>
        <w:t xml:space="preserve">Health systems implementation science provides the theoretical lens through which the deployment dimensions of the research are examined. Implementation frameworks such as the Consolidated Framework for Implementation Research emphasize the multi-level factors that influence the adoption and sustainability of health interventions, including characteristics of the intervention, outer setting factors, inner setting factors, individual characteristics, and the implementation process. These frameworks guide the feasibility assessment component of the research by ensuring attention to the broader systemic context in which the proposed technology would function.</w:t>
      </w:r>
    </w:p>
    <w:bookmarkEnd w:id="35"/>
    <w:bookmarkStart w:id="37" w:name="empirical-review"/>
    <w:p>
      <w:pPr>
        <w:pStyle w:val="Heading2"/>
      </w:pPr>
      <w:r>
        <w:t xml:space="preserve">Empirical Review</w:t>
      </w:r>
    </w:p>
    <w:p>
      <w:pPr>
        <w:pStyle w:val="FirstParagraph"/>
      </w:pPr>
      <w:r>
        <w:t xml:space="preserve">The empirical literature on artificial intelligence for intracranial aneurysm detection has grown substantially over the past decade, reflecting the broader surge of interest in medical imaging applications of deep learning. Several systematic reviews and meta-analyses have evaluated the diagnostic accuracy of deep learning-based computer-aided detection tools for cerebral aneurysms, with recent scoping reviews comprehensively evaluating over thirty-six studies that applied deep learning to intracranial aneurysm detection on computed tomography angiography (CTA) and magnetic resonance angiography (MRA) (Joo, 2025; Delfan, 2025; Liyis et al., 2026). These reviews generally conclude that deep learning models can achieve performance comparable to or exceeding that of radiologists for aneurysm detection on computed tomography angiography (CTA) and magnetic resonance angiography (MRA) images. However, these reviews also note significant heterogeneity in study designs, performance metrics, and reporting standards, making direct comparisons between studies challenging. Furthermore, recent research has highlighted methodological challenges in deep learning-based aneurysm detection, including issues related to data augmentation, quality, and validation annotation strategies (Joo, 2025).</w:t>
      </w:r>
    </w:p>
    <w:p>
      <w:pPr>
        <w:pStyle w:val="BodyText"/>
      </w:pPr>
      <w:r>
        <w:t xml:space="preserve">The RSNA Intracranial Aneurysm Detection challenge, conducted in 2025, represents the largest standardized assessment of aneurysm detection algorithms to date. The challenge provided a curated dataset of over four thousand computed tomography angiography studies from eighteen institutions across five continents, with annotations indicating the presence and location of aneurysms in thirteen predefined anatomical locations. The winning solutions achieved top performances on the challenge leaderboard, with area under the mean weighed precision-recall curve (AUPROC) exceeding 0.879 for the top solutions, (RSNA, 2025), demonstrating the feasibility of automated aneurysm detection at clinically useful levels of accuracy. However, subsequent analyses have raised concerns about the generalizability of these models to populations not represented in the training data.</w:t>
      </w:r>
    </w:p>
    <w:p>
      <w:pPr>
        <w:pStyle w:val="BodyText"/>
      </w:pPr>
      <w:r>
        <w:t xml:space="preserve">Research on cross-domain transfer of methodology from computational biology to medical imaging remains limited but is gradually expanding. The success of attention-based architectures in related biomedical domains, including protein structure prediction (Abramson et al., 2024), provides conceptual motivation for exploring similar approaches in neurovascular imaging. The application of deep learning techniques to intracranial aneurysm detection, as proposed in this research, represents an extension of existing methodologies into an underexplored domain. Furthermore, the integration of deep learning approaches with traditional template-based methods may present promising avenues for hybrid model development (Jumper et al., 2021), an approach that warrants empirical investigation in the context of cerebral aneurysm detection.</w:t>
      </w:r>
    </w:p>
    <w:p>
      <w:pPr>
        <w:pStyle w:val="BodyText"/>
      </w:pPr>
      <w:r>
        <w:t xml:space="preserve">The literature on algorithmic fairness in medical artificial intelligence has expanded rapidly in response to growing recognition that machine learning models can perpetuate or amplify existing health disparities. Studies have demonstrated that models trained on datasets with limited demographic diversity can exhibit significant performance disparities across population groups. In the context of medical imaging, factors including scanner type, image acquisition parameters, and patient characteristics can influence model performance in ways that may disadvantage certain patient subgroups. The fairness audit component of this research responds to this critical gap in the existing literature.</w:t>
      </w:r>
    </w:p>
    <w:p>
      <w:pPr>
        <w:pStyle w:val="BodyText"/>
      </w:pPr>
      <w:r>
        <w:t xml:space="preserve">Research on artificial intelligence deployment in low- and middle-income country health systems has identified both opportunities and challenges. Studies from Kenya and other East African countries have documented the growing interest in artificial intelligence solutions among health system policymakers, alongside significant barriers related to infrastructure, workforce capacity, and governance frameworks. The World Health Organization has recently published guidance on the ethics and governance of artificial intelligence for health, emphasizing the importance of context-specific assessment and inclusive design processes.</w:t>
      </w:r>
    </w:p>
    <w:bookmarkStart w:id="36" w:name="recent-methodological-advances-2024-2025"/>
    <w:p>
      <w:pPr>
        <w:pStyle w:val="Heading3"/>
      </w:pPr>
      <w:r>
        <w:t xml:space="preserve">Recent Methodological Advances (2024-2025)</w:t>
      </w:r>
    </w:p>
    <w:p>
      <w:pPr>
        <w:pStyle w:val="FirstParagraph"/>
      </w:pPr>
      <w:r>
        <w:t xml:space="preserve">The field of intracranial aneurysm detection has advanced significantly in the period 2024-2025, with several developments directly relevant to this research. A scoping review comprehensively evaluating 36 studies that applied deep learning to intracranial aneurysm detection on computed tomography angiography (CTA) or magnetic resonance angiography (MRA) identified methodological challenges including issues related to data augmentation, quality, and validation annotation strategies (Joo, 2025). This scoping review provides important guidance for research design choices in this project, highlighting the need for rigorous validation protocols and standardized reporting.</w:t>
      </w:r>
    </w:p>
    <w:p>
      <w:pPr>
        <w:pStyle w:val="BodyText"/>
      </w:pPr>
      <w:r>
        <w:t xml:space="preserve">Recent methodological innovations include masked autoencoder pre-training approaches that leverage artery information for improved feature learning, demonstrating how domain-specific pretraining can enhance model performance on medical imaging tasks (arxiv, 2025). Multi-centric AI models have demonstrated combined detection and 3D segmentation capabilities for unruptured intracranial aneurysms in 3D TOF-MRI, showing the value of training on diverse institutional datasets (Springer, 2025). Applications of nnU-net with specialized loss functions for improved segmentation accuracy have addressed challenges in precise aneurysm boundary delineation (PMC, 2025).</w:t>
      </w:r>
    </w:p>
    <w:p>
      <w:pPr>
        <w:pStyle w:val="BodyText"/>
      </w:pPr>
      <w:r>
        <w:t xml:space="preserve">A meta-analysis reported that deep learning models for intracranial aneurysm detection achieved lesion-wise sensitivity and specificity of 90% and 94% respectively, confirming the clinical relevance of continued research in this area (Delfan, 2025). However, systematic reviews have noted that while performance metrics are impressive, significant heterogeneity exists across studies in terms of validation protocols, dataset composition, and reporting standards, making direct comparisons challenging.</w:t>
      </w:r>
    </w:p>
    <w:p>
      <w:pPr>
        <w:pStyle w:val="BodyText"/>
      </w:pPr>
      <w:r>
        <w:t xml:space="preserve">The RSNA Intracranial Aneurysm Detection AI Challenge (2025) provided a standardized benchmark demonstrating that AI tools can achieve AUC values exceeding 90% at clinically useful levels of accuracy (RSNA, 2025). The winning solutions employed robust coarse-to-fine pipelines that utilized vessel segmentation techniques to guide detection and reduce false positives (Ceballos-Arroyo et al., 2024). These approaches demonstrate the value of incorporating anatomical knowledge into detection frameworks, supporting the hybrid approach proposed in this research.</w:t>
      </w:r>
    </w:p>
    <w:p>
      <w:pPr>
        <w:pStyle w:val="BodyText"/>
      </w:pPr>
      <w:r>
        <w:t xml:space="preserve">However, subsequent analyses raised concerns about generalizability to populations not represented in training data, motivating the fairness evaluation component of this research. Studies have demonstrated that AI models can predict demographic information from medical images in ways that may lead to biased outcomes, underscoring the importance of explicit fairness evaluation (Gichoya et al., 2022). This research builds upon the RSNA challenge methodology while adding novel template-based modeling components and comprehensive fairness assessment that extends beyond standard performance reporting.</w:t>
      </w:r>
    </w:p>
    <w:bookmarkEnd w:id="36"/>
    <w:bookmarkEnd w:id="37"/>
    <w:bookmarkStart w:id="38" w:name="gap-analysis"/>
    <w:p>
      <w:pPr>
        <w:pStyle w:val="Heading2"/>
      </w:pPr>
      <w:r>
        <w:t xml:space="preserve">Gap Analysis</w:t>
      </w:r>
    </w:p>
    <w:p>
      <w:pPr>
        <w:pStyle w:val="FirstParagraph"/>
      </w:pPr>
      <w:r>
        <w:t xml:space="preserve">The literature review reveals three critical gaps that this research addresses. Each gap is supported by specific evidence from the empirical literature, and the research design explicitly targets each gap through targeted methodological choices.</w:t>
      </w:r>
    </w:p>
    <w:p>
      <w:pPr>
        <w:pStyle w:val="BodyText"/>
      </w:pPr>
      <w:r>
        <w:rPr>
          <w:bCs/>
          <w:b/>
        </w:rPr>
        <w:t xml:space="preserve">Gap 1: Absence of Structural Pattern Recognition Integration in Aneurysm Detection</w:t>
      </w:r>
    </w:p>
    <w:p>
      <w:pPr>
        <w:pStyle w:val="BodyText"/>
      </w:pPr>
      <w:r>
        <w:t xml:space="preserve">The dominant approaches to aneurysm detection using deep learning have not adequately explored the integration of structural pattern recognition techniques from computational biology with modern deep learning architectures. While vesselness-based filtering and geometric feature extraction have been applied independently in medical imaging, their systematic combination with convolutional neural networks for aneurysm detection remains underexplored. Template-based methods have been extensively validated in the context of molecular structure prediction (Zhang &amp; Zhang, 2023), yet their application to medical imaging remains underexplored. A comprehensive scoping review of 36 studies on deep learning for intracranial aneurysm detection on CTA and MRA identified methodological challenges including data quality issues, validation annotation strategies, and the predominance of deep learning approaches without anatomical priors (Joo, 2025). Existing approaches treat aneurysm detection as a generic image classification or segmentation problem, ignoring the fact that aneurysms have characteristic geometric patterns (dome, neck, parent vessel relationship) that are directly observable in medical imaging. The RSNA 2025 winning solutions achieved high AUC through sophisticated deep learning pipelines but did not incorporate template-based structural priors (Ceballos-Arroyo et al., 2024). This represents a fundamental missed opportunity for improving both performance and interpretability.</w:t>
      </w:r>
    </w:p>
    <w:p>
      <w:pPr>
        <w:pStyle w:val="BodyText"/>
      </w:pPr>
      <w:r>
        <w:rPr>
          <w:bCs/>
          <w:b/>
        </w:rPr>
        <w:t xml:space="preserve">Gap 2: Insufficient Algorithmic Fairness Evaluation in Radiology AI</w:t>
      </w:r>
    </w:p>
    <w:p>
      <w:pPr>
        <w:pStyle w:val="BodyText"/>
      </w:pPr>
      <w:r>
        <w:t xml:space="preserve">The algorithmic fairness of aneurysm detection models has received insufficient attention in the existing literature. Most studies report overall performance metrics without examining how model accuracy varies across demographic subgroups or imaging equipment types. This is particularly problematic given that the vast majority of training data comes from high-income country populations, potentially limiting model performance on African patients. Recent research has documented systematic performance disparities in radiology AI: a study found that commercial AI systems for skin lesion classification performed substantially worse on dark-skinned patients (Daneshjou et al., 2022); another study demonstrated that chest X-ray models predicted race from imaging data in ways that could propagate disparities (Chen et al., 2023). Studies have confirmed that minority groups frequently experience worse performance compared to majority populations when AI is applied in radiology, raising serious concerns about health equity (Obermeyer et al., 2019; WHO, 2021). The RSNA explicitly acknowledges that bias in AI represents a critical challenge for the field, and the 2024 RSNA statement on bias notes that AI algorithms can reflect and amplify existing healthcare disparities if not carefully designed and evaluated (Hasanzadeh et al., 2025). Furthermore, a foundational barrier to AI-driven medical imaging in low- and middle-income countries is the shortage of essential diagnostic equipment, which limits the generalizability of models trained in high-income settings. The recent World Health Assembly Resolution on Strengthening Medical Imaging Capacity highlights this disparity, noting that less than 10% of medical imaging equipment is found in lower-income countries, with less than one CT scanner per million inhabitants in LMICs compared to 40 scanners per million in high-income countries (Hricak et al., 2026). The fairness audit component of this research directly addresses this critical gap by examining model performance across available demographic subgroups and documenting any disparities with mitigation strategies.</w:t>
      </w:r>
    </w:p>
    <w:p>
      <w:pPr>
        <w:pStyle w:val="BodyText"/>
      </w:pPr>
      <w:r>
        <w:rPr>
          <w:bCs/>
          <w:b/>
        </w:rPr>
        <w:t xml:space="preserve">Gap 3: Limited Health System Integration Research in Kenyan Context</w:t>
      </w:r>
    </w:p>
    <w:p>
      <w:pPr>
        <w:pStyle w:val="BodyText"/>
      </w:pPr>
      <w:r>
        <w:t xml:space="preserve">There is limited research on the health system integration of artificial intelligence tools in the Kenyan context. While studies have documented growing interest in health technology across East Africa, there is limited empirical evidence on the feasibility and acceptability of specific artificial intelligence applications for medical imaging. Kenya faces a severe healthcare workforce crisis with only 14 medical doctors per 100,000 people as of 2024, and projections suggest a shortage of more than 114,000 health workers by 2030 (Amref, 2025; Ministry of Health, 2023). This workforce constraint creates urgent need for AI-assisted healthcare solutions, yet the practical challenges of implementing such solutions in resource-constrained facilities remain poorly understood. The global healthcare worker shortage is expected to reach at least 10 million by 2030, with Sub-Saharan Africa experiencing the most severe deficits (McKinsey Global Institute, 2023). Research specifically examining radiology AI deployment in African healthcare settings is scarce, though studies note that diagnostic equipment shortages and infrastructure limitations present significant barriers (Hasanzadeh et al., 2025). This research contributes to filling this evidence gap through its comprehensive feasibility assessment that examines computational requirements, integration barriers, and stakeholder perspectives specific to Kenyan health facilities.</w:t>
      </w:r>
    </w:p>
    <w:p>
      <w:pPr>
        <w:pStyle w:val="BodyText"/>
      </w:pPr>
      <w:r>
        <w:t xml:space="preserve">[]{#_Toc232713484 .anchor}Table 2‑1: Summary Table: Gap Identification and Research Response</w:t>
      </w:r>
    </w:p>
    <w:tbl>
      <w:tblPr>
        <w:tblStyle w:val="Table"/>
        <w:tblW w:type="pct" w:w="5000"/>
        <w:tblLook w:firstRow="1" w:lastRow="0" w:firstColumn="0" w:lastColumn="0" w:noHBand="0" w:noVBand="0" w:val="0020"/>
        <w:tblBorders>
          <w:top w:val="single" w:sz="8" w:space="0" w:color="4A90C2"/>
          <w:left w:val="single" w:sz="8" w:space="0" w:color="4A90C2"/>
          <w:bottom w:val="single" w:sz="8" w:space="0" w:color="4A90C2"/>
          <w:right w:val="single" w:sz="8" w:space="0" w:color="4A90C2"/>
          <w:insideH w:val="single" w:sz="8" w:space="0" w:color="4A90C2"/>
          <w:insideV w:val="single" w:sz="8" w:space="0" w:color="4A90C2"/>
        </w:tblBorders>
      </w:tblPr>
      <w:tblGrid>
        <w:gridCol w:w="211"/>
        <w:gridCol w:w="1483"/>
        <w:gridCol w:w="3734"/>
        <w:gridCol w:w="2436"/>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Gap</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Description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Evidence from Literature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Research Response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Gap 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Absence of structural pattern recognition integration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 2025 winning solutions rely exclusively on deep learning without template-based priors.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Hybrid model combining TBM geometric priors with CNN feature extraction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Gap 2</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Insufficient fairness evaluation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documented performance disparities in radiology AI across demographic groups (Obermeyer et al., 2019; WHO, 2021; Hasanzadeh et al., 2025)</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Comprehensive fairness audit examining subgroup performance with mitigation documentation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Gap 3</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Limited Kenyan health system integration research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Kenya has 14 doctors per 100,000 population, projected shortage of 114,000+ health workers by 2030 (Amref, 2025; Ministry of Health, 2023)</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Feasibility assessment with stakeholder consultation and implementation recommendations</w:t>
            </w:r>
          </w:p>
        </w:tc>
      </w:tr>
    </w:tbl>
    <w:p>
      <w:pPr>
        <w:pStyle w:val="BodyText"/>
      </w:pPr>
      <w:r>
        <w:t xml:space="preserve">This research addresses all three gaps through targeted methodological choices: developing a hybrid architecture that integrates template-based modeling with deep learning, conducting a comprehensive fairness audit with demographic subgroup analysis, and performing a feasibility assessment specific to Kenyan health facilities.</w:t>
      </w:r>
    </w:p>
    <w:bookmarkEnd w:id="38"/>
    <w:bookmarkStart w:id="39" w:name="contribution-to-knowledge"/>
    <w:p>
      <w:pPr>
        <w:pStyle w:val="Heading2"/>
      </w:pPr>
      <w:r>
        <w:t xml:space="preserve">Contribution to Knowledge</w:t>
      </w:r>
    </w:p>
    <w:p>
      <w:pPr>
        <w:pStyle w:val="FirstParagraph"/>
      </w:pPr>
      <w:r>
        <w:t xml:space="preserve">This research makes four distinct contributions to knowledge that advance the fields of medical imaging artificial intelligence, computational biology methodology transfer, and health systems implementation science. Each contribution addresses a specific gap in the existing literature and represents a meaningful advancement beyond incremental improvement to existing approaches.</w:t>
      </w:r>
    </w:p>
    <w:p>
      <w:pPr>
        <w:pStyle w:val="BodyText"/>
      </w:pPr>
      <w:r>
        <w:rPr>
          <w:bCs/>
          <w:b/>
        </w:rPr>
        <w:t xml:space="preserve">Contribution 1: Systematic Cross-Domain Transfer of Template-Based Modeling from Computational Biology to Medical Imaging with Operational Implementation Framework.</w:t>
      </w:r>
      <w:r>
        <w:t xml:space="preserve"> This study represents the first systematic application of template-based modeling principles from computational biology to intracranial aneurysm detection, adapting structural pattern recognition techniques from RNA folding analysis to medical imaging. While template-based approaches have been extensively validated in protein and RNA structure prediction, their application to medical imaging represents an unexplored frontier. The specific transfer of geometric motif matching concepts—previously used to identify structural patterns in molecular biology—to the identification of morphological patterns in vascular imaging provides a novel theoretical foundation that could inform future research in other diagnostic domains. This contribution establishes a methodological precedent for cross-domain methodology transfer that extends beyond the specific application to demonstrate general principles for adapting computational biology techniques to medical imaging challenges. The operational implementation demonstrates how template-based modeling concepts can be operationalized in a deep learning pipeline, providing a replicable template for similar cross-domain methodology transfers. The framework addresses both theoretical foundations (mathematical mapping between domains) and practical implementation (computational pipeline integration), providing a complete guide for researchers seeking to apply similar cross-domain transfers.</w:t>
      </w:r>
    </w:p>
    <w:p>
      <w:pPr>
        <w:pStyle w:val="BodyText"/>
      </w:pPr>
      <w:r>
        <w:rPr>
          <w:bCs/>
          <w:b/>
        </w:rPr>
        <w:t xml:space="preserve">Contribution 2: Hybrid Architecture with Interpretable Template Features for Clinical Decision Support.</w:t>
      </w:r>
      <w:r>
        <w:t xml:space="preserve"> The research develops a hybrid detection architecture that integrates template matching features with deep learning through a learned fusion mechanism. Unlike pure deep learning approaches that rely entirely on learned features from raw image data, this architecture incorporates geometric priors derived from known aneurysm morphologies. The template matching component provides interpretable features that can be directly related to clinical aneurysm characteristics (dome size, neck diameter, aspect ratio), while the deep learning component captures complex patterns that may not be captured by hand-crafted features alone. This hybrid approach addresses the interpretability challenge that limits adoption of pure deep learning models in clinical settings, providing clinicians with features they can understand and validate against their clinical knowledge.</w:t>
      </w:r>
    </w:p>
    <w:p>
      <w:pPr>
        <w:pStyle w:val="BodyText"/>
      </w:pPr>
      <w:r>
        <w:rPr>
          <w:bCs/>
          <w:b/>
        </w:rPr>
        <w:t xml:space="preserve">Contribution 3: Comprehensive Fairness Evaluation Framework for African Healthcare Contexts.</w:t>
      </w:r>
      <w:r>
        <w:t xml:space="preserve"> The research conducts a comprehensive algorithmic fairness evaluation examining model performance across demographic subgroups defined by age, sex, and scanner characteristics, with explicit attention to implications for African healthcare contexts. This extends beyond standard performance reporting to explicitly quantify and address potential biases in medical imaging artificial intelligence for populations underrepresented in training data. Given that most existing aneurysm detection models are developed on Western datasets, this research addresses a critical gap in understanding how such models perform on African patients, contributing to the limited literature on fairness in health artificial intelligence in low- and middle-income country contexts. The fairness evaluation framework developed in this research provides a template for similar assessments in other diagnostic domains.</w:t>
      </w:r>
    </w:p>
    <w:p>
      <w:pPr>
        <w:pStyle w:val="BodyText"/>
      </w:pPr>
      <w:r>
        <w:rPr>
          <w:bCs/>
          <w:b/>
        </w:rPr>
        <w:t xml:space="preserve">Contribution 4: Evidence-Based Health System Feasibility Assessment for Resource-Constrained Settings.</w:t>
      </w:r>
      <w:r>
        <w:t xml:space="preserve"> The research provides evidence-based feasibility assessment of artificial intelligence deployment in Kenyan health system context, connecting technical development to implementation realities through stakeholder consultation and health systems analysis. This addresses the critical gap in understanding how artificial intelligence tools can be integrated into existing healthcare workflows in resource-constrained settings, providing actionable recommendations for the Kenyan Ministry of Health and other stakeholders. Unlike purely technical papers that focus exclusively on algorithmic performance, this research examines the practical challenges of deployment in facilities with limited computational infrastructure and radiology expertise, contributing implementation guidance that bridges the gap between technical capability and operational reality.</w:t>
      </w:r>
    </w:p>
    <w:bookmarkEnd w:id="39"/>
    <w:bookmarkStart w:id="40" w:name="X0adf0ddef458d1560ed4327db10ba3dc5ecc06c"/>
    <w:p>
      <w:pPr>
        <w:pStyle w:val="Heading2"/>
      </w:pPr>
      <w:r>
        <w:t xml:space="preserve">National AI Policy and Regulatory Context</w:t>
      </w:r>
    </w:p>
    <w:p>
      <w:pPr>
        <w:pStyle w:val="FirstParagraph"/>
      </w:pPr>
      <w:r>
        <w:t xml:space="preserve">Kenya has emerged as a continental leader in artificial intelligence governance, developing a comprehensive two-tier policy framework that addresses both strategic development and regulatory oversight of AI systems. As of 2026, Kenya maintains two primary documents governing artificial intelligence: The National Artificial Intelligence Strategy 2025–2030, launched on March 27, 2025, and the Artificial Intelligence Bill, 2026, currently before the Senate. Together, these documents establish a complete ecosystem for AI development and governance in Kenya, creating an enabling environment for research and innovation while ensuring responsible deployment of AI technologies (Ministry of Information, Communications and the Digital Economy, 2025; Senate of Kenya, 2026).</w:t>
      </w:r>
    </w:p>
    <w:p>
      <w:pPr>
        <w:pStyle w:val="BodyText"/>
      </w:pPr>
      <w:r>
        <w:t xml:space="preserve">The National AI Strategy 2025–2030 represents Kenya's inaugural comprehensive national AI policy, positioning the country as the sixteenth African nation to establish such a framework. Developed through the Ministry of ICT and Digital Economy with extensive stakeholder consultation, including contributions from CIPIT researchers at Strathmore University, the strategy rests upon three interconnected pillars: AI Digital Infrastructure, focusing on accessible and affordable AI infrastructure, 5G connectivity, and secure data storage; Data, prioritizing a robust data ecosystem with governance frameworks; and AI Research and Innovation, prioritizing localized AI models that address Kenya-specific challenges (Ministry of Information, Communications and the Digital Economy, 2025).</w:t>
      </w:r>
    </w:p>
    <w:p>
      <w:pPr>
        <w:pStyle w:val="BodyText"/>
      </w:pPr>
      <w:r>
        <w:t xml:space="preserve">The strategy explicitly identifies healthcare as one of four key sectors prioritized for AI implementation, alongside education, agriculture, and the public sector. This prioritization provides strong policy backing for research on AI-assisted medical diagnosis. Furthermore, the strategy dedicates substantial attention to ethics, equity, and inclusion as core focus areas, aligning directly with the algorithmic fairness evaluation component of this research, which examines potential biases in AI-assisted diagnostic tools across demographic groups and healthcare settings.</w:t>
      </w:r>
    </w:p>
    <w:p>
      <w:pPr>
        <w:pStyle w:val="BodyText"/>
      </w:pPr>
      <w:r>
        <w:t xml:space="preserve">A distinctive feature of Kenya's AI Strategy is its explicit focus on fostering a culture of responsible AI development that addresses ethical AI and human rights concerns. The strategy dedicates substantial attention to ethics, equity, and inclusion as a core focus area, recognising that AI development must benefit all segments of Kenyan society. This aligns directly with the algorithmic fairness evaluation component of this research, which examines potential biases in AI-assisted diagnostic tools across different demographic groups and healthcare settings.</w:t>
      </w:r>
    </w:p>
    <w:p>
      <w:pPr>
        <w:pStyle w:val="BodyText"/>
      </w:pPr>
      <w:r>
        <w:t xml:space="preserve">The</w:t>
      </w:r>
      <w:r>
        <w:t xml:space="preserve"> </w:t>
      </w:r>
      <w:r>
        <w:rPr>
          <w:bCs/>
          <w:b/>
        </w:rPr>
        <w:t xml:space="preserve">Artificial Intelligence Bill, 2026</w:t>
      </w:r>
      <w:r>
        <w:t xml:space="preserve"> </w:t>
      </w:r>
      <w:r>
        <w:t xml:space="preserve">represents Kenya's move from strategic planning to regulatory enforcement. Sponsored by Nominated Senator Karen Nyamu and currently before the Senate, this Bill establishes a comprehensive regulatory framework, proposing the creation of a dedicated regulatory office, risk-based classification of AI systems, and enforcement mechanisms including penalties for non-compliance. The Bill introduces a four-tier risk classification system that categorizes AI systems based on their potential impact and required regulatory oversight, mirroring the European Union's AI Act approach (Senate of Kenya, 2026).</w:t>
      </w:r>
    </w:p>
    <w:p>
      <w:pPr>
        <w:pStyle w:val="BodyText"/>
      </w:pPr>
      <w:r>
        <w:t xml:space="preserve">The</w:t>
      </w:r>
      <w:r>
        <w:t xml:space="preserve"> </w:t>
      </w:r>
      <w:r>
        <w:rPr>
          <w:bCs/>
          <w:b/>
        </w:rPr>
        <w:t xml:space="preserve">High Risk</w:t>
      </w:r>
      <w:r>
        <w:t xml:space="preserve"> </w:t>
      </w:r>
      <w:r>
        <w:t xml:space="preserve">category within the Bill's classification system is particularly relevant for this research. Medical AI systems that influence healthcare decisions, such as AI-assisted aneurysm detection tools, would likely fall under this classification, requiring comprehensive risk and human rights impact assessments, meticulous documentation, human oversight mechanisms, and proof that systems are safe, fair, and transparent before deployment. The Bill proposes establishing the Office of the Kenya Artificial Intelligence Commissioner as the primary regulatory body for AI oversight.</w:t>
      </w:r>
    </w:p>
    <w:bookmarkEnd w:id="40"/>
    <w:bookmarkEnd w:id="41"/>
    <w:bookmarkStart w:id="56" w:name="methodology"/>
    <w:p>
      <w:pPr>
        <w:pStyle w:val="Heading1"/>
      </w:pPr>
      <w:r>
        <w:t xml:space="preserve">METHODOLOGY</w:t>
      </w:r>
    </w:p>
    <w:bookmarkStart w:id="42" w:name="research-design"/>
    <w:p>
      <w:pPr>
        <w:pStyle w:val="Heading2"/>
      </w:pPr>
      <w:r>
        <w:t xml:space="preserve">Research Design</w:t>
      </w:r>
    </w:p>
    <w:p>
      <w:pPr>
        <w:pStyle w:val="FirstParagraph"/>
      </w:pPr>
      <w:r>
        <w:t xml:space="preserve">This research employs an experimental mixed-methods design that integrates algorithm development with health systems assessment. The technical component follows an experimental approach in which the hybrid detection algorithm is developed, trained, and evaluated using the RSNA-ICA dataset. The health systems component employs a cross-sectional design incorporating stakeholder consultation and document analysis to assess implementation feasibility.</w:t>
      </w:r>
    </w:p>
    <w:p>
      <w:pPr>
        <w:pStyle w:val="BodyText"/>
      </w:pPr>
      <w:r>
        <w:t xml:space="preserve">The rationale for this combined design reflects the dual objectives of the research, which encompass both technical innovation and implementation relevance. The experimental component provides the rigorous performance evaluation necessary for scientific contribution, while the feasibility assessment ensures that the technical development is grounded in the realities of the Kenyan health system context.</w:t>
      </w:r>
    </w:p>
    <w:bookmarkEnd w:id="42"/>
    <w:bookmarkStart w:id="43" w:name="study-area-and-population"/>
    <w:p>
      <w:pPr>
        <w:pStyle w:val="Heading2"/>
      </w:pPr>
      <w:r>
        <w:t xml:space="preserve">Study Area and Population</w:t>
      </w:r>
    </w:p>
    <w:p>
      <w:pPr>
        <w:pStyle w:val="FirstParagraph"/>
      </w:pPr>
      <w:r>
        <w:t xml:space="preserve">The technical development and validation component of the research will be conducted using the RSNA Intracranial Aneurysm Detection dataset, which is stored and accessed through cloud computing infrastructure with GPU resources provided by KENET. The dataset comprises anonymised computed tomography angiography studies from adult patients at participating institutions, with annotations indicating the presence, location, and characteristics of intracranial aneurysms.</w:t>
      </w:r>
    </w:p>
    <w:p>
      <w:pPr>
        <w:pStyle w:val="BodyText"/>
      </w:pPr>
      <w:r>
        <w:t xml:space="preserve">The health systems feasibility assessment will focus on Kenyan referral hospitals, particularly Kenyatta National Hospital as the largest public tertiary facility and selected Level Five hospitals in other counties. This focus reflects the primary use case for the proposed technology, which is opportunistic screening in high-volume facilities where radiologist expertise is limited.</w:t>
      </w:r>
    </w:p>
    <w:bookmarkEnd w:id="43"/>
    <w:bookmarkStart w:id="44" w:name="data-sources"/>
    <w:p>
      <w:pPr>
        <w:pStyle w:val="Heading2"/>
      </w:pPr>
      <w:r>
        <w:t xml:space="preserve">Data Sources</w:t>
      </w:r>
    </w:p>
    <w:p>
      <w:pPr>
        <w:pStyle w:val="FirstParagraph"/>
      </w:pPr>
      <w:r>
        <w:t xml:space="preserve">This research will utilize two complementary data sources: an international dataset for model development and a local Kenyan dataset for validation and generalizability assessment. This dual-source approach ensures that performance claims are validated not only on international benchmarks but also on data representative of the target deployment context in Kenya.</w:t>
      </w:r>
    </w:p>
    <w:p>
      <w:pPr>
        <w:pStyle w:val="BodyText"/>
      </w:pPr>
      <w:r>
        <w:rPr>
          <w:bCs/>
          <w:b/>
        </w:rPr>
        <w:t xml:space="preserve">Primary Dataset: RSNA Intracranial Aneurysm Detection Dataset.</w:t>
      </w:r>
      <w:r>
        <w:t xml:space="preserve"> </w:t>
      </w:r>
      <w:r>
        <w:t xml:space="preserve">The primary data source is the RSNA Intracranial Aneurysm Detection dataset, accessed through the RSNA Imaging Portal as an open-access dataset (RSNA, 2025). This dataset comprises over four thousand computed tomography angiography studies from eighteen institutions across five continents, representing diverse patient populations and scanner manufacturers. Each study includes the three-dimensional volumetric imaging data along with annotations indicating the presence and precise location of aneurysms in thirteen predefined anatomical locations within the intracranial circulation. The dataset is available through the AWS Registry of Open Data, which provides public access for research purposes (AWS Registry, 2025). The multi-institutional composition provides the demographic and scanner diversity necessary for studying model generalization and algorithmic fairness across populations, which is essential for the fairness audit component of this research.</w:t>
      </w:r>
    </w:p>
    <w:p>
      <w:pPr>
        <w:pStyle w:val="BodyText"/>
      </w:pPr>
      <w:r>
        <w:t xml:space="preserve">The dataset characteristics are summarized in Table 3.3-1 The inclusion criteria for the original dataset were adult patients undergoing computed tomography angiography for clinical indications, while studies with prior aneurysm treatment or poor image quality were excluded. The dataset has been pre-processed to remove identifying information in accordance with privacy protection regulations.</w:t>
      </w:r>
    </w:p>
    <w:p>
      <w:pPr>
        <w:pStyle w:val="BodyText"/>
      </w:pPr>
      <w:r>
        <w:t xml:space="preserve">[]{#_Toc232713485 .anchor}Table 3‑1: RSNA-ICA Dataset Characteristics</w:t>
      </w:r>
    </w:p>
    <w:tbl>
      <w:tblPr>
        <w:tblStyle w:val="Table"/>
        <w:tblW w:type="pct" w:w="5000"/>
        <w:tblLook w:firstRow="1" w:lastRow="0" w:firstColumn="0" w:lastColumn="0" w:noHBand="0" w:noVBand="0" w:val="0020"/>
        <w:tblBorders>
          <w:top w:val="single" w:sz="8" w:space="0" w:color="4A90C2"/>
          <w:left w:val="single" w:sz="8" w:space="0" w:color="4A90C2"/>
          <w:bottom w:val="single" w:sz="8" w:space="0" w:color="4A90C2"/>
          <w:right w:val="single" w:sz="8" w:space="0" w:color="4A90C2"/>
          <w:insideH w:val="single" w:sz="8" w:space="0" w:color="4A90C2"/>
          <w:insideV w:val="single" w:sz="8" w:space="0" w:color="4A90C2"/>
        </w:tblBorders>
      </w:tblPr>
      <w:tblGrid>
        <w:gridCol w:w="2329"/>
        <w:gridCol w:w="5435"/>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Characteristic</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Description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Total Studies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Over 4,000 CT angiography studies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Institutions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18 sites across 5 continents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Patient Demographics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Diverse age, sex</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Scanner Types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Multiple manufacturers (GE, Siemens, Philips, Toshiba)</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Annotation Standard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 anatomical locations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Image Format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DICOM (3D volumes)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Access Point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https://imaging.rsna.org/dataset/7</w:t>
            </w:r>
          </w:p>
        </w:tc>
      </w:tr>
    </w:tbl>
    <w:p>
      <w:pPr>
        <w:pStyle w:val="BodyText"/>
      </w:pPr>
      <w:r>
        <w:rPr>
          <w:bCs/>
          <w:b/>
        </w:rPr>
        <w:t xml:space="preserve">Local Validation Dataset:</w:t>
      </w:r>
      <w:r>
        <w:t xml:space="preserve"> </w:t>
      </w:r>
      <w:r>
        <w:rPr>
          <w:bCs/>
          <w:b/>
        </w:rPr>
        <w:t xml:space="preserve">Aga Khan University Hospital, Nairobi</w:t>
      </w:r>
      <w:r>
        <w:t xml:space="preserve">. A key innovation of this research is the inclusion of a local validation dataset from the Aga Khan University Hospital, Nairobi, secured through collaboration with the Department of Radiology under the co-supervision of Dr. Kevin Ombati. The Aga Khan University Hospital is a leading private healthcare institution in East Africa with a well-established radiology department equipped with modern CT angiography capabilities and a diverse patient population reflecting the demographic diversity of Nairobi and surrounding regions. This local validation dataset provides the opportunity to assess how models developed on the RSNA-ICA dataset generalize to Kenyan clinical settings, directly addressing the critical gap in understanding model performance on African patients.</w:t>
      </w:r>
    </w:p>
    <w:p>
      <w:pPr>
        <w:pStyle w:val="BodyText"/>
      </w:pPr>
      <w:r>
        <w:t xml:space="preserve">The Aga Khan University Hospital dataset will comprise a retrospective collection of CTA studies performed for clinical indications where aneurysm detection is relevant, de-identified according to established protocols and processed with appropriate ethical approvals. The collaboration with Dr. Kevin Ombati ensures clinical relevance and proper annotation protocols consistent with the hospital's standard of care. The dataset size is estimated at 200-300 studies based on available historical data, which while smaller than the RSNA-ICA training set, provides sufficient samples for meaningful validation of model generalizability and fairness assessment on local populations.</w:t>
      </w:r>
    </w:p>
    <w:p>
      <w:pPr>
        <w:pStyle w:val="BodyText"/>
      </w:pPr>
      <w:r>
        <w:rPr>
          <w:bCs/>
          <w:b/>
        </w:rPr>
        <w:t xml:space="preserve">Sample Size Justification for Local Validation Dataset.</w:t>
      </w:r>
      <w:r>
        <w:t xml:space="preserve"> </w:t>
      </w:r>
      <w:r>
        <w:t xml:space="preserve">The target sample size of 200-300 CT angiography studies for local validation is derived from practical feasibility considerations rather than formal statistical power calculation. This section provides transparent documentation of the rationale for this sample size to enable evaluation of the adequacy of the validation approach.</w:t>
      </w:r>
    </w:p>
    <w:p>
      <w:pPr>
        <w:pStyle w:val="BodyText"/>
      </w:pPr>
      <w:r>
        <w:rPr>
          <w:bCs/>
          <w:b/>
        </w:rPr>
        <w:t xml:space="preserve">Nature of Sample Size Determination:</w:t>
      </w:r>
      <w:r>
        <w:t xml:space="preserve"> </w:t>
      </w:r>
      <w:r>
        <w:t xml:space="preserve">The sample size is not derived from a formal power calculation for hypothesis testing, as this research does not involve prospective randomized comparison of interventions. Rather, the sample size represents a feasibility-based target that balances practical constraints including available historical data volume at Aga Khan University Hospital, ethics approval timeline for retrospective data access, and data preparation capacity within the available research timeframe (February 2026 to June 2026).</w:t>
      </w:r>
    </w:p>
    <w:p>
      <w:pPr>
        <w:pStyle w:val="BodyText"/>
      </w:pPr>
      <w:r>
        <w:rPr>
          <w:bCs/>
          <w:b/>
        </w:rPr>
        <w:t xml:space="preserve">Feasibility Factors Influencing Sample Size</w:t>
      </w:r>
      <w:r>
        <w:t xml:space="preserve">: The target of 200-300 studies is based on consultation with the Aga Khan University Hospital radiology department regarding typical CT angiography imaging volumes and data completeness. Historical data availability suggests this volume can be processed within the ethics approval and data access negotiation timeline. Additionally, data preparation for local validation requires significant manual effort for quality verification, anonymization confirmation, and preprocessing pipeline alignment with the RSNA-ICA format, which the target sample size can accommodate.</w:t>
      </w:r>
    </w:p>
    <w:p>
      <w:pPr>
        <w:pStyle w:val="BodyText"/>
      </w:pPr>
      <w:r>
        <w:rPr>
          <w:bCs/>
          <w:b/>
        </w:rPr>
        <w:t xml:space="preserve">Methodological Adequacy</w:t>
      </w:r>
      <w:r>
        <w:t xml:space="preserve">: Despite not being derived from formal power calculation, the target sample size of 200-300 studies is methodologically adequate for the validation objectives. For performance characterization, this sample enables estimation of model performance metrics (sensitivity, specificity, AUC) with reasonable precision, with expected 6-15 positive cases based on approximately 3-5% aneurysm prevalence. For demographic subgroup analysis, stratified analysis by available demographic variables (age groups, sex, scanner manufacturer) is possible with adequate representation in each stratum. The RSNA challenge results provide international benchmarks against which local validation performance can be compared, with the local validation characterizing the magnitude of any generalization gap rather than establishing novel performance benchmarks independently.</w:t>
      </w:r>
    </w:p>
    <w:p>
      <w:pPr>
        <w:pStyle w:val="BodyText"/>
      </w:pPr>
      <w:r>
        <w:rPr>
          <w:bCs/>
          <w:b/>
        </w:rPr>
        <w:t xml:space="preserve">Prevalence-Based Positive Case Calculation</w:t>
      </w:r>
      <w:r>
        <w:t xml:space="preserve">: The expected number of positive cases in the local validation dataset is calculated based on established aneurysm prevalence rates. Using a conservative prevalence estimate of 3% (lower bound from Vlak et al., 2011 meta-analysis) to a moderate estimate of 5% (upper bound): at 3% prevalence, 200-300 studies yield 6-9 expected positive cases; at 5% prevalence, 200-300 studies yield 10-15 expected positive cases. This calculation demonstrates that the target sample size provides adequate positive cases for meaningful sensitivity estimation, where even 6 positive cases enables detection of a model achieving 83% sensitivity with a 95% confidence interval width of approximately ±30% (a precision level acceptable for preliminary validation).</w:t>
      </w:r>
    </w:p>
    <w:p>
      <w:pPr>
        <w:pStyle w:val="BodyText"/>
      </w:pPr>
      <w:r>
        <w:rPr>
          <w:bCs/>
          <w:b/>
        </w:rPr>
        <w:t xml:space="preserve">Acknowledged Limitations</w:t>
      </w:r>
      <w:r>
        <w:t xml:space="preserve">: The sample size limitation is explicitly acknowledged, and the research frames the local validation as preliminary assessment establishing a foundation for future prospective studies with larger sample sizes. Generalization conclusions should be validated with larger samples in future work.</w:t>
      </w:r>
    </w:p>
    <w:p>
      <w:pPr>
        <w:pStyle w:val="BodyText"/>
      </w:pPr>
      <w:r>
        <w:t xml:space="preserve">The local validation component serves three specific purposes within the research framework. First, it enables assessment of model performance on data from Kenyan healthcare facilities, where differences in patient demographics, disease patterns, and imaging characteristics may affect model behavior. Second, it provides an independent validation set for fairness assessment, enabling comparison of model performance between international training data and local clinical populations. Third, it establishes a foundation for future research collaborations with Aga Khan University Hospital for prospective validation and clinical implementation studies.</w:t>
      </w:r>
    </w:p>
    <w:p>
      <w:pPr>
        <w:pStyle w:val="BodyText"/>
      </w:pPr>
      <w:r>
        <w:rPr>
          <w:bCs/>
          <w:b/>
        </w:rPr>
        <w:t xml:space="preserve">Dataset Justification</w:t>
      </w:r>
      <w:r>
        <w:t xml:space="preserve">:</w:t>
      </w:r>
      <w:r>
        <w:t xml:space="preserve"> </w:t>
      </w:r>
      <w:r>
        <w:rPr>
          <w:bCs/>
          <w:b/>
        </w:rPr>
        <w:t xml:space="preserve">RSNA-ICA vs. Alternative Sources.</w:t>
      </w:r>
      <w:r>
        <w:t xml:space="preserve"> </w:t>
      </w:r>
      <w:r>
        <w:t xml:space="preserve">This section addresses the rationale for selecting the RSNA-ICA dataset over alternative sources that could be considered for intracranial aneurysm detection research.</w:t>
      </w:r>
    </w:p>
    <w:p>
      <w:pPr>
        <w:pStyle w:val="BodyText"/>
      </w:pPr>
      <w:r>
        <w:rPr>
          <w:bCs/>
          <w:b/>
        </w:rPr>
        <w:t xml:space="preserve">Single-Institution Datasets</w:t>
      </w:r>
      <w:r>
        <w:t xml:space="preserve">. Several single-institution datasets for aneurysm detection exist, typically comprising several hundred to a few thousand cases from a single hospital or research consortium. While these datasets offer the advantage of consistent imaging protocols and potentially detailed clinical annotations, they present critical limitations that preclude their use for this research. First, single-institution datasets introduce significant selection bias, as all patients are drawn from the same geographic region, demographic profile, and healthcare system. Models trained on such data may not generalize to other populations. Second, the limited size of single-institution datasets (typically 200-1,000 cases) provides insufficient training data for deep learning approaches that require thousands of examples to learn robust features. Third, the lack of scanner diversity in single-institution datasets means models may learn scanner-specific artifacts rather than generalizable aneurysm characteristics.</w:t>
      </w:r>
    </w:p>
    <w:p>
      <w:pPr>
        <w:pStyle w:val="BodyText"/>
      </w:pPr>
      <w:r>
        <w:rPr>
          <w:bCs/>
          <w:b/>
        </w:rPr>
        <w:t xml:space="preserve">Magnetic Resonance Angiography (MRA) Datasets</w:t>
      </w:r>
      <w:r>
        <w:t xml:space="preserve">. Alternative datasets based on magnetic resonance angiography exist but present several limitations relative to the RSNA-CTA dataset. MRA and CTA represent different imaging modalities with distinct physical principles, spatial resolution, and clinical use cases. CTA is the standard of care for emergency aneurysm evaluation in most healthcare settings, including Kenya, due to its speed and widespread availability. Research conducted on CTA data therefore has more immediate clinical applicability. Furthermore, MRA datasets are typically smaller than the RSNA-CTA collection and may not capture the same diversity of aneurysm presentations.</w:t>
      </w:r>
    </w:p>
    <w:p>
      <w:pPr>
        <w:pStyle w:val="BodyText"/>
      </w:pPr>
      <w:r>
        <w:rPr>
          <w:bCs/>
          <w:b/>
        </w:rPr>
        <w:t xml:space="preserve">The RSNA-ICA Advantage</w:t>
      </w:r>
      <w:r>
        <w:t xml:space="preserve">. The RSNA Intracranial Aneurysm Detection dataset offers several advantages that make it the optimal choice for this research. The multi-institutional composition (18 sites across 5 continents) provides the demographic and scanner diversity necessary for studying model generalization and algorithmic fairness across populations. This diversity is essential for the fairness audit component of this research, which examines performance across demographic subgroups. The dataset size (over 4,000 studies) provides sufficient training data for deep learning approaches while remaining computationally tractable on available HPC resources. The standardized annotation protocol ensures consistency across cases and enables direct comparison with published benchmarks from the RSNA 2025 challenge.</w:t>
      </w:r>
    </w:p>
    <w:p>
      <w:pPr>
        <w:pStyle w:val="BodyText"/>
      </w:pPr>
      <w:r>
        <w:rPr>
          <w:bCs/>
          <w:b/>
        </w:rPr>
        <w:t xml:space="preserve">Computational Resources: KENET GPU Infrastructure</w:t>
      </w:r>
    </w:p>
    <w:p>
      <w:pPr>
        <w:pStyle w:val="BodyText"/>
      </w:pPr>
      <w:r>
        <w:t xml:space="preserve">The training of three-dimensional convolutional neural networks on volumetric medical imaging data requires substantial computational resources provided by the KENET through its GPU-as-a-Service cluster. The GPU infrastructure includes high-performance instances equipped with graphics processors suitable for training three-dimensional architectures and processing volumetric data efficiently (KENET, 2026). Access to these GPU resources is provided at no cost to researchers through KENET's research computing services.</w:t>
      </w:r>
    </w:p>
    <w:p>
      <w:pPr>
        <w:pStyle w:val="BodyText"/>
      </w:pPr>
      <w:r>
        <w:t xml:space="preserve">The GPU resources enable several computational tasks that would be intractable on CPU-only systems: the training of three-dimensional convolutional networks on full-resolution volumetric inputs rather than down sampled patches, the simultaneous loading of multiple training samples for batch processing and gradient computation, the execution of attention mechanisms in the hybrid architecture without excessive latency. Without access to these GPU resources, the research would be limited to simplified model architectures or reduced-resolution inputs that would compromise detection performance.</w:t>
      </w:r>
    </w:p>
    <w:bookmarkEnd w:id="44"/>
    <w:bookmarkStart w:id="45" w:name="algorithm-architecture"/>
    <w:p>
      <w:pPr>
        <w:pStyle w:val="Heading2"/>
      </w:pPr>
      <w:r>
        <w:t xml:space="preserve">Algorithm Architecture</w:t>
      </w:r>
    </w:p>
    <w:p>
      <w:pPr>
        <w:pStyle w:val="FirstParagraph"/>
      </w:pPr>
      <w:r>
        <w:t xml:space="preserve">The proposed hybrid algorithm integrates two primary components: A Template-Based Modeling module adapted from RNA folding analysis and a three-dimensional convolutional neural network for feature extraction. The architecture is designed to leverage the complementary strengths of both approaches while addressing their individual limitations. Recent advances in three-dimensional convolutional neural networks for medical imaging have demonstrated the effectiveness of volumetric approaches for capturing spatial information in medical images (Wei et al., 2024; Zhang et al., 2025).</w:t>
      </w:r>
    </w:p>
    <w:p>
      <w:pPr>
        <w:pStyle w:val="BodyText"/>
      </w:pPr>
      <w:r>
        <w:t xml:space="preserve">The Template-Based Modeling component operates on the principle that certain aneurysm morphologies exhibit geometric patterns analogous to structural motifs in RNA molecules. Specifically, saccular aneurysms at vessel bifurcations display characteristic bulbous structures with defined necks that can be mathematically characterized and matched against templates derived from known structures. The template library will be constructed by extracting geometric features from the RSNA training data, including measures of aneurysm size, shape, and relationship to parent vessels.</w:t>
      </w:r>
    </w:p>
    <w:p>
      <w:pPr>
        <w:pStyle w:val="BodyText"/>
      </w:pPr>
      <w:r>
        <w:t xml:space="preserve">The deep learning component employs a three-dimensional U-Net architecture with attention mechanisms to enable the model to focus on diagnostically relevant image regions. Recent studies have demonstrated the effectiveness of attention mechanisms in improving model performance for medical image analysis tasks (Xie et al., 2023). The network processes three-dimensional computed tomography volumes and outputs probability maps indicating the likelihood of aneurysm presence at each voxel location. The attention mechanism is designed to incorporate information from the template matching component, enabling the model to leverage structural priors during inference. Recent developments in transformer-based architectures for medical imaging have shown promising results in capturing long-range dependencies in volumetric data (Shamshad et al., 2023).</w:t>
      </w:r>
    </w:p>
    <w:p>
      <w:pPr>
        <w:pStyle w:val="BodyText"/>
      </w:pPr>
      <w:r>
        <w:t xml:space="preserve">The fusion strategy combines the outputs of both components through a learned weighting mechanism that adapts the relative contribution of template matching and deep learning based on the characteristics of each input case. During training, the model learns optimal fusion parameters that maximize detection performance on the training data.</w:t>
      </w:r>
    </w:p>
    <w:p>
      <w:pPr>
        <w:pStyle w:val="BodyText"/>
      </w:pPr>
      <w:r>
        <w:t xml:space="preserve">[]{#_Toc232713480 .anchor}Figure 3.4.1: System Architecture of the Hybrid TBM-Deep Learning Framework</w:t>
      </w:r>
    </w:p>
    <w:p>
      <w:pPr>
        <w:pStyle w:val="BodyText"/>
      </w:pPr>
    </w:p>
    <w:p>
      <w:pPr>
        <w:pStyle w:val="BodyText"/>
      </w:pPr>
      <w:r>
        <w:t xml:space="preserve">Figure 3.4.1 presents the system architecture of the hybrid framework, illustrating the data flow from input computed tomography volumes through preprocessing, template matching, deep learning inference, and fusion to final detection output.</w:t>
      </w:r>
    </w:p>
    <w:p>
      <w:pPr>
        <w:pStyle w:val="BodyText"/>
      </w:pPr>
      <w:r>
        <w:t xml:space="preserve">The system architecture comprises six key components that work together to enable accurate aneurysm detection:</w:t>
      </w:r>
    </w:p>
    <w:p>
      <w:pPr>
        <w:pStyle w:val="BodyText"/>
      </w:pPr>
      <w:r>
        <w:rPr>
          <w:bCs/>
          <w:b/>
        </w:rPr>
        <w:t xml:space="preserve">1. Input Layer:</w:t>
      </w:r>
      <w:r>
        <w:t xml:space="preserve"> </w:t>
      </w:r>
      <w:r>
        <w:t xml:space="preserve">The system accepts three-dimensional computed tomography angiography volumes as input, with standard dimensions of 512×512×D slices where D represents the number of axial slices in the scan. This volumetric input preserves the spatial relationships essential for accurate aneurysm detection.</w:t>
      </w:r>
    </w:p>
    <w:p>
      <w:pPr>
        <w:pStyle w:val="BodyText"/>
      </w:pPr>
      <w:r>
        <w:rPr>
          <w:bCs/>
          <w:b/>
        </w:rPr>
        <w:t xml:space="preserve">2. Preprocessing Module:</w:t>
      </w:r>
      <w:r>
        <w:t xml:space="preserve"> </w:t>
      </w:r>
      <w:r>
        <w:t xml:space="preserve">This module performs three critical operations. First, intensity normalization standardizes Hounsfield unit values across different scanner configurations to ensure consistent input quality. Second, windowing focuses on vascular structures using a range of 250-400 Hounsfield units to enhance vessel visibility while suppressing surrounding tissue. Third, volume reconstruction creates a proper three-dimensional representation from the axial slices.</w:t>
      </w:r>
    </w:p>
    <w:p>
      <w:pPr>
        <w:pStyle w:val="BodyText"/>
      </w:pPr>
      <w:r>
        <w:rPr>
          <w:bCs/>
          <w:b/>
        </w:rPr>
        <w:t xml:space="preserve">3. Template-Based Modeling Branch:</w:t>
      </w:r>
      <w:r>
        <w:t xml:space="preserve"> </w:t>
      </w:r>
      <w:r>
        <w:t xml:space="preserve">This component implements the structural pattern recognition from computational biology. It includes vessel segmentation using the Hessian-based Frangi filter to identify tubular structures, geometric feature extraction to compute size, shape, and neck parameters, template matching to compare extracted features against a library of known aneurysm morphologies, and confidence scoring to output similarity metrics for each candidate region.</w:t>
      </w:r>
    </w:p>
    <w:p>
      <w:pPr>
        <w:pStyle w:val="BodyText"/>
      </w:pPr>
      <w:r>
        <w:rPr>
          <w:bCs/>
          <w:b/>
        </w:rPr>
        <w:t xml:space="preserve">4. Deep Learning Branch:</w:t>
      </w:r>
      <w:r>
        <w:t xml:space="preserve"> </w:t>
      </w:r>
      <w:r>
        <w:t xml:space="preserve">This component employs a three-dimensional U-Net architecture with residual blocks and attention gates. The encoder path extracts hierarchical features while the decoder path enables precise localization. Skip connections preserve spatial information throughout the network. The attention gates focus the model on diagnostically relevant regions, and probability maps provide voxel-wise aneurysm likelihood scores.</w:t>
      </w:r>
    </w:p>
    <w:p>
      <w:pPr>
        <w:pStyle w:val="BodyText"/>
      </w:pPr>
      <w:r>
        <w:rPr>
          <w:bCs/>
          <w:b/>
        </w:rPr>
        <w:t xml:space="preserve">5. Fusion Layer:</w:t>
      </w:r>
      <w:r>
        <w:t xml:space="preserve"> </w:t>
      </w:r>
      <w:r>
        <w:t xml:space="preserve">This integration component combines predictions from both branches using a learned weighting mechanism that adapts based on input characteristics. Attention-based feature integration enables the model to dynamically weight contributions from template matching and deep learning based on the confidence and characteristics of each detection.</w:t>
      </w:r>
    </w:p>
    <w:p>
      <w:pPr>
        <w:pStyle w:val="BodyText"/>
      </w:pPr>
      <w:r>
        <w:rPr>
          <w:bCs/>
          <w:b/>
        </w:rPr>
        <w:t xml:space="preserve">6. Output Layer:</w:t>
      </w:r>
      <w:r>
        <w:t xml:space="preserve"> </w:t>
      </w:r>
      <w:r>
        <w:t xml:space="preserve">The final component produces multiple outputs including binary detection results indicating aneurysm presence or absence, bounding box segmentation defining precise aneurysm locations, confidence scores providing probability estimates, and interpretability maps using Grad-CAM and SHAP to enable clinician review of model decisions.</w:t>
      </w:r>
    </w:p>
    <w:bookmarkEnd w:id="45"/>
    <w:bookmarkStart w:id="46" w:name="data-preprocessing"/>
    <w:p>
      <w:pPr>
        <w:pStyle w:val="Heading2"/>
      </w:pPr>
      <w:r>
        <w:t xml:space="preserve">Data Preprocessing</w:t>
      </w:r>
    </w:p>
    <w:p>
      <w:pPr>
        <w:pStyle w:val="FirstParagraph"/>
      </w:pPr>
      <w:r>
        <w:t xml:space="preserve">The preprocessing pipeline transforms raw DICOM data from the RSNA-ICA dataset into inputs suitable for both the template matching and deep learning components. The pipeline comprises five sequential stages that progressively transform the data while preserving critical information for accurate detection.</w:t>
      </w:r>
    </w:p>
    <w:p>
      <w:pPr>
        <w:pStyle w:val="BodyText"/>
      </w:pPr>
      <w:r>
        <w:t xml:space="preserve">[]{#_Toc232713481 .anchor}Figure 3.5.1: Data Preprocessing Pipeline</w:t>
      </w:r>
    </w:p>
    <w:p>
      <w:pPr>
        <w:pStyle w:val="BodyText"/>
      </w:pPr>
    </w:p>
    <w:p>
      <w:pPr>
        <w:pStyle w:val="BodyText"/>
      </w:pPr>
      <w:r>
        <w:t xml:space="preserve">Figure 3.5.1 illustrates the complete preprocessing pipeline, showing the transformation of raw DICOM data through each processing stage to produce the inputs required by both the template matching and deep learning components.</w:t>
      </w:r>
    </w:p>
    <w:p>
      <w:pPr>
        <w:pStyle w:val="BodyText"/>
      </w:pPr>
      <w:r>
        <w:t xml:space="preserve">The data preprocessing pipeline consists of five sequential stages that transform raw medical imaging data into inputs suitable for both the template matching and deep learning components:</w:t>
      </w:r>
    </w:p>
    <w:p>
      <w:pPr>
        <w:pStyle w:val="BodyText"/>
      </w:pPr>
      <w:r>
        <w:rPr>
          <w:bCs/>
          <w:b/>
        </w:rPr>
        <w:t xml:space="preserve">Stage 1: Raw Data Acquisition:</w:t>
      </w:r>
      <w:r>
        <w:t xml:space="preserve"> </w:t>
      </w:r>
      <w:r>
        <w:t xml:space="preserve">DICOM files are downloaded from the RSNA-ICA dataset stored on AWS Registry of Open Data (https://registry.opendata.aws/rsna-aneurysm-detection/). Metadata including patient information, scanner parameters, and series information is extracted for quality control and demographic analysis. The dataset comprises over 4,000 CT angiography studies from 18 institutions across 5 continents, providing the diversity necessary for robust model training and fairness evaluation.</w:t>
      </w:r>
    </w:p>
    <w:p>
      <w:pPr>
        <w:pStyle w:val="BodyText"/>
      </w:pPr>
      <w:r>
        <w:rPr>
          <w:bCs/>
          <w:b/>
        </w:rPr>
        <w:t xml:space="preserve">Stage 2: Format Conversion and Quality Control:</w:t>
      </w:r>
      <w:r>
        <w:t xml:space="preserve"> </w:t>
      </w:r>
      <w:r>
        <w:t xml:space="preserve">DICOM files are converted to NIfTI format for more convenient 3D processing using the pydicom and nibabel libraries. Quality control procedures validate dimensions (ensuring all volumes have consistent spatial resolution after resampling to 1mm isotropic voxels), data types (verifying Hounsfield unit ranges fall within expected limits of -1024 to +3071 HU), and check for artifacts or corruption that might affect detection accuracy. Studies failing quality checks are flagged for review.</w:t>
      </w:r>
    </w:p>
    <w:p>
      <w:pPr>
        <w:pStyle w:val="BodyText"/>
      </w:pPr>
      <w:r>
        <w:rPr>
          <w:bCs/>
          <w:b/>
        </w:rPr>
        <w:t xml:space="preserve">Stage 3: Intensity Normalisation:</w:t>
      </w:r>
      <w:r>
        <w:t xml:space="preserve"> </w:t>
      </w:r>
      <w:r>
        <w:t xml:space="preserve">Hounsfield units are rescaled to a standardized range and Z-score normalisation is applied (mean=0, std=1) to ensure consistency across different scanner configurations and patient populations. The rescaling uses the standard HU formula: HU = (pixel_value × slope) + intercept, where slope and intercept are provided in DICOM metadata (DICOM tag 0028|1053 and 0028|1052 respectively). This two-step normalisation approach ensures that intensity values are comparable across different scanner manufacturers and acquisition protocols.</w:t>
      </w:r>
    </w:p>
    <w:p>
      <w:pPr>
        <w:pStyle w:val="BodyText"/>
      </w:pPr>
      <w:r>
        <w:rPr>
          <w:bCs/>
          <w:b/>
        </w:rPr>
        <w:t xml:space="preserve">Stage 4: Windowing and Volume Extraction:</w:t>
      </w:r>
      <w:r>
        <w:t xml:space="preserve"> </w:t>
      </w:r>
      <w:r>
        <w:t xml:space="preserve">CT windowing is applied with parameters specifically tuned for vascular structures: window level 250-400 HU, window width 100-300 HU. The windowing emphasizes blood vessels (appearing bright in this window range) while suppressing surrounding soft tissue and bone. Three-dimensional volumes are reconstructed from axial slices using linear interpolation to create isotropic voxels of 1mm³. The Circle of Willis region is extracted based on anatomical landmarks (AC-PC line reference) to focus analysis on regions with highest aneurysm prevalence.</w:t>
      </w:r>
    </w:p>
    <w:p>
      <w:pPr>
        <w:pStyle w:val="BodyText"/>
      </w:pPr>
      <w:r>
        <w:rPr>
          <w:bCs/>
          <w:b/>
        </w:rPr>
        <w:t xml:space="preserve">Stage 5A: Template Matching Branch:</w:t>
      </w:r>
      <w:r>
        <w:t xml:space="preserve"> </w:t>
      </w:r>
      <w:r>
        <w:t xml:space="preserve">Vessels are segmented using the Frangi filter (eigenvalue-based vesselness measure) to identify tubular structures characteristic of blood vessels. The Frangi filter computes the Hessian matrix eigenvalues at each voxel to distinguish vessel-like structures from surrounding tissue. Regions of interest corresponding to the Circle of Willis are extracted based on anatomical landmarks. Geometric features are computed including aneurysm size (maximum diameter in mm), neck diameter (width at vessel junction), aspect ratio (size/neck ratio), and shape parameters (sphericity, ellipticity, compactness). Template matching scores are calculated by comparing extracted features against the aneurysm template library using Euclidean distance in feature space and shape similarity measures.</w:t>
      </w:r>
    </w:p>
    <w:p>
      <w:pPr>
        <w:pStyle w:val="BodyText"/>
      </w:pPr>
      <w:r>
        <w:rPr>
          <w:bCs/>
          <w:b/>
        </w:rPr>
        <w:t xml:space="preserve">Stage 5B: Deep Learning Branch:</w:t>
      </w:r>
      <w:r>
        <w:t xml:space="preserve"> </w:t>
      </w:r>
      <w:r>
        <w:t xml:space="preserve">Data augmentation is applied during training to increase effective sample size: random rotations (±15° in all three planes), random flipping along all axes, intensity variations (brightness ±10%, contrast ±10%), and elastic deformations for training data diversity. Three-dimensional patches of size 64³ or 128³ voxels are extracted centered on potential lesion locations identified from ground truth annotations, with equal sampling from positive and negative regions to address class imbalance. Patch intensities are normalized to [0,1] range using min-max scaling for optimal neural network performance.</w:t>
      </w:r>
    </w:p>
    <w:bookmarkEnd w:id="46"/>
    <w:bookmarkStart w:id="53" w:name="evaluation-metrics"/>
    <w:p>
      <w:pPr>
        <w:pStyle w:val="Heading2"/>
      </w:pPr>
      <w:r>
        <w:t xml:space="preserve">Evaluation Metrics</w:t>
      </w:r>
    </w:p>
    <w:p>
      <w:pPr>
        <w:pStyle w:val="FirstParagraph"/>
      </w:pPr>
      <w:r>
        <w:t xml:space="preserve">The performance of the hybrid detection algorithm will be evaluated using standard metrics for medical image analysis tasks. Sensitivity, also known as recall or true positive rate, measures the proportion of actual aneurysms correctly identified by the model. Specificity measures the proportion of non-aneurysm cases correctly identified as negative. The area under the receiver operating characteristic curve provides a threshold-independent measure of discriminative performance, while the Dice coefficient quantifies the overlap between predicted and ground truth aneurysm regions.</w:t>
      </w:r>
    </w:p>
    <w:p>
      <w:pPr>
        <w:pStyle w:val="BodyText"/>
      </w:pPr>
      <w:r>
        <w:t xml:space="preserve">Beyond these standard metrics, the research will compute fairness-related metrics including performance stratification by demographic subgroups and statistical tests for significant performance disparities. The Specificity at High Sensitivity metric is particularly relevant for clinical applications, as it measures the false positive rate at operating points corresponding to high detection sensitivity suitable for screening contexts.</w:t>
      </w:r>
    </w:p>
    <w:p>
      <w:pPr>
        <w:pStyle w:val="BodyText"/>
      </w:pPr>
      <w:r>
        <w:t xml:space="preserve">[]{#_Toc232713486 .anchor}Table 3‑2: Evaluation Metrics and Definitions</w:t>
      </w:r>
    </w:p>
    <w:tbl>
      <w:tblPr>
        <w:tblStyle w:val="Table"/>
        <w:tblW w:type="pct" w:w="5000"/>
        <w:tblLook w:firstRow="1" w:lastRow="0" w:firstColumn="0" w:lastColumn="0" w:noHBand="0" w:noVBand="0" w:val="0020"/>
        <w:tblBorders>
          <w:top w:val="single" w:sz="8" w:space="0" w:color="4A90C2"/>
          <w:left w:val="single" w:sz="8" w:space="0" w:color="4A90C2"/>
          <w:bottom w:val="single" w:sz="8" w:space="0" w:color="4A90C2"/>
          <w:right w:val="single" w:sz="8" w:space="0" w:color="4A90C2"/>
          <w:insideH w:val="single" w:sz="8" w:space="0" w:color="4A90C2"/>
          <w:insideV w:val="single" w:sz="8" w:space="0" w:color="4A90C2"/>
        </w:tblBorders>
      </w:tblPr>
      <w:tblGrid>
        <w:gridCol w:w="2272"/>
        <w:gridCol w:w="2986"/>
        <w:gridCol w:w="2531"/>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Metric</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Definition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Clinical Relevance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Sensitivity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TP / (TP + FN)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Missed detection rate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Specificity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TN / (TN + FP)</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False alarm rate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AUC-ROC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Area under ROC curve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Overall discriminability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Dice Coefficient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2|A∩B| / (|A|+|B|)</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Segmentation accuracy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FPR at 95% TPR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FPR at 95% sensitivity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Screening-specific performance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Expected Calibration Error (ECE)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Weighted avg. bin calibration error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Reliability of probability estimates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Brier Score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Mean squared (prediction - outcome)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Calibration accuracy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Equalized Odds Difference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Difference in TPR/FPR across groups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Fairness metric</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Demographic Parity Difference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Difference in selection rates across groups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Fairness metric</w:t>
            </w:r>
          </w:p>
        </w:tc>
      </w:tr>
    </w:tbl>
    <w:p>
      <w:pPr>
        <w:pStyle w:val="BodyText"/>
      </w:pPr>
      <w:bookmarkStart w:id="47" w:name="ethical-considerations"/>
      <w:bookmarkEnd w:id="47"/>
    </w:p>
    <w:p>
      <w:pPr>
        <w:pStyle w:val="BodyText"/>
      </w:pPr>
      <w:r>
        <w:t xml:space="preserve">Table 3‑3:Calibration Analysis Methods</w:t>
      </w:r>
    </w:p>
    <w:tbl>
      <w:tblPr>
        <w:tblStyle w:val="Table"/>
        <w:tblW w:type="pct" w:w="5000"/>
        <w:tblLook w:firstRow="1" w:lastRow="0" w:firstColumn="0" w:lastColumn="0" w:noHBand="0" w:noVBand="0" w:val="0020"/>
        <w:tblBorders>
          <w:top w:val="single" w:sz="8" w:space="0" w:color="4A90C2"/>
          <w:left w:val="single" w:sz="8" w:space="0" w:color="4A90C2"/>
          <w:bottom w:val="single" w:sz="8" w:space="0" w:color="4A90C2"/>
          <w:right w:val="single" w:sz="8" w:space="0" w:color="4A90C2"/>
          <w:insideH w:val="single" w:sz="8" w:space="0" w:color="4A90C2"/>
          <w:insideV w:val="single" w:sz="8" w:space="0" w:color="4A90C2"/>
        </w:tblBorders>
      </w:tblPr>
      <w:tblGrid>
        <w:gridCol w:w="1518"/>
        <w:gridCol w:w="3828"/>
        <w:gridCol w:w="2442"/>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Method</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Description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Application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Reliability Diagrams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Plot observed accuracy vs. predicted confidence per bin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Visual calibration assessment</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Temperature Scaling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Learn single parameter T to rescale logits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Preserve AUC, improve calibration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Platt Scaling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Learn affine transformation of logits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Binary classification calibration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Isotonic Regression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Non-parametric monotone regression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Flexible calibration for any model</w:t>
            </w:r>
          </w:p>
        </w:tc>
      </w:tr>
    </w:tbl>
    <w:bookmarkStart w:id="48" w:name="two-phase-training-protocol"/>
    <w:p>
      <w:pPr>
        <w:pStyle w:val="Heading3"/>
      </w:pPr>
      <w:r>
        <w:t xml:space="preserve">Two-Phase Training Protocol</w:t>
      </w:r>
    </w:p>
    <w:p>
      <w:pPr>
        <w:pStyle w:val="FirstParagraph"/>
      </w:pPr>
      <w:r>
        <w:t xml:space="preserve">The two-phase training approach employed in this research comprises distinct warm-up and fine-tuning stages designed to optimize model convergence and final performance. This section provides the operational detail necessary for reproducible implementation.</w:t>
      </w:r>
    </w:p>
    <w:p>
      <w:pPr>
        <w:pStyle w:val="BodyText"/>
      </w:pPr>
      <w:r>
        <w:rPr>
          <w:bCs/>
          <w:b/>
        </w:rPr>
        <w:t xml:space="preserve">Phase 1: Warm-Up Phase (Epochs 1-30):</w:t>
      </w:r>
      <w:r>
        <w:t xml:space="preserve"> </w:t>
      </w:r>
      <w:r>
        <w:t xml:space="preserve">The warm-up phase initializes the hybrid architecture with frozen template matching weights, allowing the deep learning branch to learn basic feature extraction from medical imaging data without interference from the template branch. During this phase, only the CNN backbone and classification head are trainable, while the template matching module remains in inference mode using pre-computed geometric features. The learning rate is set to 1e-3 with a cosine annealing schedule, and momentum is set to 0.9 with weight decay of 1e-4. Data augmentation is minimal during warm-up (random horizontal flips and 5% intensity jitter) to establish baseline feature representations. Validation is performed every 5 epochs, and the transition criterion to Phase 2 is either (a) completion of 30 epochs or (b) validation AUC plateau for 5 consecutive epochs (change &lt; 0.005). The model checkpoint with the highest validation AUC during warm-up is saved for potential rollback.</w:t>
      </w:r>
    </w:p>
    <w:p>
      <w:pPr>
        <w:pStyle w:val="BodyText"/>
      </w:pPr>
      <w:r>
        <w:rPr>
          <w:bCs/>
          <w:b/>
        </w:rPr>
        <w:t xml:space="preserve">Phase 2: Fine-Tuning Phase (Epochs 31-50, extendable to 100):</w:t>
      </w:r>
      <w:r>
        <w:t xml:space="preserve"> </w:t>
      </w:r>
      <w:r>
        <w:t xml:space="preserve">The fine-tuning phase unfreezes the template matching weights, allowing the geometric template features to adapt to the specific characteristics of the medical imaging domain while preserving the general feature extraction learned in Phase 1. The learning rate is reduced to 1e-4 with a step decay schedule (reduce by factor of 0.5 every 20 epochs), and momentum is adjusted to 0.95. Full data augmentation is applied including random rotations (±15°), random flips along all axes, brightness and contrast variations (±10%), and elastic deformations. Validation is performed every 2 epochs to detect overfitting early. Early stopping is triggered if validation AUC does not improve for 15 consecutive epochs, preventing excessive training that could lead to degradation of generalization performance.</w:t>
      </w:r>
    </w:p>
    <w:bookmarkEnd w:id="48"/>
    <w:bookmarkStart w:id="49" w:name="training-protocol"/>
    <w:p>
      <w:pPr>
        <w:pStyle w:val="Heading3"/>
      </w:pPr>
      <w:r>
        <w:t xml:space="preserve">Training Protocol</w:t>
      </w:r>
    </w:p>
    <w:p>
      <w:pPr>
        <w:pStyle w:val="FirstParagraph"/>
      </w:pPr>
      <w:r>
        <w:t xml:space="preserve">Training is conducted on the CHUI HPC cluster using 96 cores, 355 GB RAM and 2 NVIDIA L40s GPUs with 48GB of VRAM each. This Cluster uses slurm as the job scheduler and provides the computational capacity necessary for training deep 3D convolutional networks on volumetric medical imaging data, with distributed training capabilities for reducing training time.</w:t>
      </w:r>
    </w:p>
    <w:p>
      <w:pPr>
        <w:pStyle w:val="BodyText"/>
      </w:pPr>
      <w:r>
        <w:rPr>
          <w:bCs/>
          <w:b/>
        </w:rPr>
        <w:t xml:space="preserve">Hardware Configuration:</w:t>
      </w:r>
      <w:r>
        <w:t xml:space="preserve"> </w:t>
      </w:r>
      <w:r>
        <w:t xml:space="preserve">The CHUI HPC cluster provides access to GPU nodes equipped with 2 NVIDIA L40s accelerators, each offering 48GB of VRAM. This capacity enables training with batch sizes of 4-8 volumes depending on patch size (64³ or 128³ voxels). The distributed training capability allows data parallelism across multiple GPUs when faster training is required.</w:t>
      </w:r>
    </w:p>
    <w:p>
      <w:pPr>
        <w:pStyle w:val="BodyText"/>
      </w:pPr>
      <w:r>
        <w:rPr>
          <w:bCs/>
          <w:b/>
        </w:rPr>
        <w:t xml:space="preserve">Hyperparameter Configuration:</w:t>
      </w:r>
      <w:r>
        <w:t xml:space="preserve"> </w:t>
      </w:r>
      <w:r>
        <w:t xml:space="preserve">The training configuration uses learning rate 5e-5, which is lower than the typical 1e-4 default for deep learning, chosen to ensure training stability when fine-tuning the hybrid architecture. Weight decay 1e-4 provides stronger L2 regularization than the default 1e-5 to prevent overfitting on the limited positive samples. Dropout rate 0.4 with spatial dropout 0.1 is applied to deep CNN layers (those with more than 64 filters) to provide additional regularization. Batch size is limited to 4 volumes due to the memory requirements of 3D volumetric processing. Maximum training duration is 60 epochs with early stopping patience of 20 epochs to prevent overfitting.</w:t>
      </w:r>
    </w:p>
    <w:p>
      <w:pPr>
        <w:pStyle w:val="BodyText"/>
      </w:pPr>
      <w:r>
        <w:rPr>
          <w:bCs/>
          <w:b/>
        </w:rPr>
        <w:t xml:space="preserve">Training Dynamics Monitoring:</w:t>
      </w:r>
      <w:r>
        <w:t xml:space="preserve"> </w:t>
      </w:r>
      <w:r>
        <w:t xml:space="preserve">The expected training curve behavior includes training loss convergence (expected to reach very low values indicating good fit to training data), validation loss behavior (watching for divergence indicating overfitting, where validation loss increases while training loss decreases), sensitivity per epoch (detecting the zero-sensitivity trap early), and AUC improvement tracking (recording best validation AUC epoch for model selection).</w:t>
      </w:r>
    </w:p>
    <w:bookmarkEnd w:id="49"/>
    <w:bookmarkStart w:id="50" w:name="threshold-optimization"/>
    <w:p>
      <w:pPr>
        <w:pStyle w:val="Heading3"/>
      </w:pPr>
      <w:r>
        <w:t xml:space="preserve">Threshold Optimization</w:t>
      </w:r>
    </w:p>
    <w:p>
      <w:pPr>
        <w:pStyle w:val="FirstParagraph"/>
      </w:pPr>
      <w:r>
        <w:t xml:space="preserve">Standard binary classification uses a default decision threshold of 0.5, which is inappropriate for medical screening applications where sensitivity is paramount. Based on training observations, models often exhibit discriminative power (AUC &gt; 0.6) but fail to cross the 0.5 threshold, resulting in zero sensitivity at default thresholds.</w:t>
      </w:r>
    </w:p>
    <w:p>
      <w:pPr>
        <w:pStyle w:val="BodyText"/>
      </w:pPr>
      <w:r>
        <w:rPr>
          <w:bCs/>
          <w:b/>
        </w:rPr>
        <w:t xml:space="preserve">Threshold Selection Strategy:</w:t>
      </w:r>
      <w:r>
        <w:t xml:space="preserve"> </w:t>
      </w:r>
      <w:r>
        <w:t xml:space="preserve">The clinical requirement for screening tools is minimum 90% sensitivity, which necessitates lowering the decision threshold from the default 0.5. Youden's J statistic is used to maximize (sensitivity + specificity - 1), identifying the threshold that optimally balances true positive and true negative rates. Cost-sensitive thresholding adjusts the threshold based on the clinical consequences of false negatives versus false positives, where missing an aneurysm (false negative) is far more costly than a false alarm (false positive) that leads to additional imaging.</w:t>
      </w:r>
    </w:p>
    <w:p>
      <w:pPr>
        <w:pStyle w:val="BodyText"/>
      </w:pPr>
      <w:r>
        <w:rPr>
          <w:bCs/>
          <w:b/>
        </w:rPr>
        <w:t xml:space="preserve">Expected Threshold Range:</w:t>
      </w:r>
      <w:r>
        <w:t xml:space="preserve"> </w:t>
      </w:r>
      <w:r>
        <w:t xml:space="preserve">For binary classification (aneurysm present/absent), the optimized threshold is expected to fall in the range 0.1-0.3, substantially lower than the default 0.5. For per-location classification (13 anatomical locations), individual thresholds in the range 0.3-0.5 are selected based on the prevalence and clinical importance of each location.</w:t>
      </w:r>
    </w:p>
    <w:p>
      <w:pPr>
        <w:pStyle w:val="BodyText"/>
      </w:pPr>
      <w:r>
        <w:rPr>
          <w:bCs/>
          <w:b/>
        </w:rPr>
        <w:t xml:space="preserve">Analysis Outputs:</w:t>
      </w:r>
      <w:r>
        <w:t xml:space="preserve"> </w:t>
      </w:r>
      <w:r>
        <w:t xml:space="preserve">The threshold optimization analysis produces precision-recall curves for each anatomical location, showing the sensitivity-specificity tradeoff at different thresholds. Operating characteristic curves display sensitivity-specificity tradeoffs across the full range of possible thresholds. Calibration curves assess whether predicted probabilities correspond to observed frequencies at each threshold level.</w:t>
      </w:r>
    </w:p>
    <w:bookmarkEnd w:id="50"/>
    <w:bookmarkStart w:id="51" w:name="radiomic-feature-extraction-pipeline"/>
    <w:p>
      <w:pPr>
        <w:pStyle w:val="Heading3"/>
      </w:pPr>
      <w:r>
        <w:t xml:space="preserve">Radiomic Feature Extraction Pipeline</w:t>
      </w:r>
    </w:p>
    <w:p>
      <w:pPr>
        <w:pStyle w:val="FirstParagraph"/>
      </w:pPr>
      <w:r>
        <w:t xml:space="preserve">The radiomics component extracts quantitative features from the preprocessed CT angiography (CTA) volumes, providing interpretable descriptors that complement the deep learning features. Radiomics represents a paradigm shift from purely data-driven learning to knowledge-driven feature engineering, where domain knowledge about imaging physics is encoded in the feature extraction process. This section provides technical justification for radiomics integration and explains the fusion methodology.</w:t>
      </w:r>
    </w:p>
    <w:p>
      <w:pPr>
        <w:pStyle w:val="BodyText"/>
      </w:pPr>
      <w:r>
        <w:rPr>
          <w:bCs/>
          <w:b/>
        </w:rPr>
        <w:t xml:space="preserve">Technical Justification for Radiomics Integration:</w:t>
      </w:r>
      <w:r>
        <w:t xml:space="preserve"> </w:t>
      </w:r>
      <w:r>
        <w:t xml:space="preserve">Radiomics provides several advantages that complement deep learning approaches for aneurysm detection. First, radiomic features capture domain-relevant information that may be learned inefficiently from raw pixel data alone. For example, sphericity and aspect ratio features directly encode clinically relevant morphological characteristics that radiologists use in visual assessment. Second, radiomic features provide interpretability that pure deep learning approaches lack; each feature has a well-defined mathematical definition that can be explained to clinicians. Third, radiomic features are computed deterministically from image data, making them reproducible across different implementations and robust to minor image quality variations. Fourth, the combination of radiomic features with deep learning features can improve model performance by providing complementary information: deep learning captures complex patterns that are difficult to specify analytically, while radiomics provides principled characterization of known clinically-relevant features.</w:t>
      </w:r>
    </w:p>
    <w:p>
      <w:pPr>
        <w:pStyle w:val="BodyText"/>
      </w:pPr>
      <w:r>
        <w:t xml:space="preserve">The clinical application of radiomics in aneurysm detection includes differentiating aneurysm morphologies (saccular vs. fusiform), assessing risk of rupture through shape-based features, and predicting treatment response through intensity-based characteristics. Radiomic feature extraction is implemented using the PyRadiomics library (van Griethuysen et al., 2017), which provides standardized computation of image features with documented definitions and reproducible results.</w:t>
      </w:r>
    </w:p>
    <w:p>
      <w:pPr>
        <w:pStyle w:val="BodyText"/>
      </w:pPr>
      <w:r>
        <w:rPr>
          <w:bCs/>
          <w:b/>
        </w:rPr>
        <w:t xml:space="preserve">Feature Categories and Extraction Methods:</w:t>
      </w:r>
      <w:r>
        <w:t xml:space="preserve"> </w:t>
      </w:r>
      <w:r>
        <w:t xml:space="preserve">Radiomic features are categorized into four groups, each capturing different aspects of the imaging data:</w:t>
      </w:r>
    </w:p>
    <w:p>
      <w:pPr>
        <w:pStyle w:val="BodyText"/>
      </w:pPr>
      <w:r>
        <w:t xml:space="preserve">Shape features (n=14) describe geometric properties of the lesion region including volume (mm³), surface area (mm²), sphericity (ratio of volume to surface area of a sphere with same volume), compactness (distribution of voxel values from the center of mass), and elongation (shape's aspect ratio as the ratio of the two principal axes). These features capture morphological characteristics directly relevant to aneurysm classification (saccular vs. fusiform) and risk assessment (irregular shapes may indicate higher rupture risk).</w:t>
      </w:r>
    </w:p>
    <w:p>
      <w:pPr>
        <w:pStyle w:val="BodyText"/>
      </w:pPr>
      <w:r>
        <w:t xml:space="preserve">First-order statistics (n=18) describe the distribution of voxel intensities within the lesion region including mean, median, standard deviation, variance, skewness, kurtosis, entropy, energy, uniformity, and percentiles (5th, 25th, 75th, 95th). These features capture global intensity characteristics that may indicate contrast enhancement patterns characteristic of aneurysms versus surrounding vessels.</w:t>
      </w:r>
    </w:p>
    <w:p>
      <w:pPr>
        <w:pStyle w:val="BodyText"/>
      </w:pPr>
      <w:r>
        <w:t xml:space="preserve">Texture features (n=75) quantify spatial intensity patterns using established texture analysis methods. Gray Level Co-occurrence Matrix (GLCM) measures include contrast, correlation, energy, homogeneity, and dissimilarity, capturing pairwise intensity relationships. Gray Level Run Length Matrix (GLRLM) measures include run emphasis, gray level emphasis, and long run emphasis, capturing linear texture patterns. Gray Level Size Zone Matrix (GLSZM) measures include zone emphasis, size zone emphasis, and gray level non-uniformity, capturing regional texture patterns.</w:t>
      </w:r>
    </w:p>
    <w:p>
      <w:pPr>
        <w:pStyle w:val="BodyText"/>
      </w:pPr>
      <w:r>
        <w:t xml:space="preserve">Filtering-derived features (n=45) are computed from filtered images to capture multi-scale and multi-orientation patterns. Laplacian of Gaussian (LoG) filtering detects edges and blobs at multiple sigma values (1, 2, 3, 4, 5 mm), capturing features at different spatial scales. Wavelet decomposition provides multi-scale analysis in frequency sub-bands (8 combinations of high/low frequency in x, y, z), enabling feature extraction at different resolutions. Local binary patterns encode local texture relationships in a rotation-invariant manner.</w:t>
      </w:r>
    </w:p>
    <w:p>
      <w:pPr>
        <w:pStyle w:val="BodyText"/>
      </w:pPr>
      <w:r>
        <w:rPr>
          <w:bCs/>
          <w:b/>
        </w:rPr>
        <w:t xml:space="preserve">Fusion Methodology: Late Fusion Architecture:</w:t>
      </w:r>
      <w:r>
        <w:t xml:space="preserve"> </w:t>
      </w:r>
      <w:r>
        <w:t xml:space="preserve">Integration of radiomic features with the deep learning model uses a late fusion architecture, where the radiomic feature vector and the CNN feature vector are combined before the final classification layer. This approach was selected over early fusion (concatenating at the input level) and attention-based fusion for several reasons.</w:t>
      </w:r>
    </w:p>
    <w:p>
      <w:pPr>
        <w:pStyle w:val="BodyText"/>
      </w:pPr>
      <w:r>
        <w:t xml:space="preserve">Late fusion provides model interpretability by maintaining the separation between hand-crafted radiomic features and learned CNN features. This allows post-hoc analysis of how each feature type contributes to predictions. Late fusion also provides robustness, as errors in radiomic feature computation do not propagate to affect CNN feature extraction. Furthermore, late fusion enables flexible weighting of feature types during training, allowing the model to learn optimal combination strategies from data.</w:t>
      </w:r>
    </w:p>
    <w:p>
      <w:pPr>
        <w:pStyle w:val="BodyText"/>
      </w:pPr>
      <w:r>
        <w:t xml:space="preserve">The fusion architecture proceeds as follows: The CNN backbone produces a feature tensor T_CNN ∈ ℝ^d that is globally average pooled to produce a feature vector f_CNN ∈ ℝ^d. Simultaneously, radiomic feature extraction produces a feature vector f_Radio ∈ ℝ^r. The two feature vectors are concatenated and passed through a fusion layer that learns optimal weighting: f_fused = W_fc([f_CNN; f_Radio]) + b, where W_fc ∈ ℝ^(d+r)×512 and b ∈ ℝ^512. The fused representation is then passed to the classification head for aneurysm detection.</w:t>
      </w:r>
    </w:p>
    <w:p>
      <w:pPr>
        <w:pStyle w:val="BodyText"/>
      </w:pPr>
      <w:r>
        <w:rPr>
          <w:bCs/>
          <w:b/>
        </w:rPr>
        <w:t xml:space="preserve">Alternative Fusion Approaches:</w:t>
      </w:r>
      <w:r>
        <w:t xml:space="preserve"> </w:t>
      </w:r>
      <w:r>
        <w:t xml:space="preserve">While late fusion is the primary approach, the research will also evaluate attention-based fusion as an alternative. Attention-based fusion uses learned attention weights to dynamically weight the contribution of radiomic and CNN features based on input characteristics. This approach may better handle cases where different feature types are more or less informative depending on image quality or lesion characteristics. Attention fusion is implemented using a learned attention module that produces weights α_Radio and α_CNN where α_Radio + α_CNN = 1, with f_fused = α_Radio × f_Radio + α_CNN × f_CNN.</w:t>
      </w:r>
    </w:p>
    <w:p>
      <w:pPr>
        <w:pStyle w:val="BodyText"/>
      </w:pPr>
      <w:r>
        <w:t xml:space="preserve">The selection between late fusion and attention fusion will be based on validation performance, with late fusion preferred if performance is comparable due to its interpretability advantages.</w:t>
      </w:r>
    </w:p>
    <w:bookmarkEnd w:id="51"/>
    <w:bookmarkStart w:id="52" w:name="calibration-analysis-methodology"/>
    <w:p>
      <w:pPr>
        <w:pStyle w:val="Heading3"/>
      </w:pPr>
      <w:r>
        <w:t xml:space="preserve">Calibration Analysis Methodology</w:t>
      </w:r>
    </w:p>
    <w:p>
      <w:pPr>
        <w:pStyle w:val="FirstParagraph"/>
      </w:pPr>
      <w:r>
        <w:t xml:space="preserve">Model calibration ensures that predicted probabilities reflect true likelihoods, which is essential for clinical decision support where probability thresholds determine clinical actions. A well-calibrated model provides probability estimates that clinicians can directly interpret as confidence levels for decision-making, rather than relying on arbitrary thresholds or rankings alone.</w:t>
      </w:r>
    </w:p>
    <w:p>
      <w:pPr>
        <w:pStyle w:val="BodyText"/>
      </w:pPr>
      <w:r>
        <w:rPr>
          <w:bCs/>
          <w:b/>
        </w:rPr>
        <w:t xml:space="preserve">Calibration Metrics:</w:t>
      </w:r>
      <w:r>
        <w:t xml:space="preserve"> </w:t>
      </w:r>
      <w:r>
        <w:t xml:space="preserve">The primary metric for calibration assessment is Expected Calibration Error (ECE), computed by partitioning predictions into M bins of equal width (default M=10) and calculating the weighted average of bin-wise calibration error. ECE provides a single scalar measure of the average calibration discrepancy across confidence levels. Maximum Calibration Error (MCE) captures the worst-case bin error, identifying any severely miscalibrated regions of the probability space. Additional calibration metrics include Brier score (mean squared difference between predictions and outcomes), which jointly measures calibration and discrimination, and Negative Log-Likelihood (NLL), which penalizes confident wrong predictions more heavily than moderate errors.</w:t>
      </w:r>
    </w:p>
    <w:p>
      <w:pPr>
        <w:pStyle w:val="BodyText"/>
      </w:pPr>
      <w:r>
        <w:rPr>
          <w:bCs/>
          <w:b/>
        </w:rPr>
        <w:t xml:space="preserve">Reliability Diagrams:</w:t>
      </w:r>
      <w:r>
        <w:t xml:space="preserve"> </w:t>
      </w:r>
      <w:r>
        <w:t xml:space="preserve">Calibration performance is visualized using reliability diagrams that plot observed accuracy against predicted confidence for each bin. Perfect calibration appears as a 45-degree diagonal line where predicted confidence equals observed accuracy. Systematic deviations indicate specific calibration patterns: points below the diagonal indicate overconfidence (model predicts higher confidence than actual accuracy), while points above the diagonal indicate underconfidence (model underestimates its accuracy). Reliability diagrams are generated for the overall dataset and stratified by demographic subgroups to identify any group-specific calibration issues.</w:t>
      </w:r>
    </w:p>
    <w:p>
      <w:pPr>
        <w:pStyle w:val="BodyText"/>
      </w:pPr>
      <w:r>
        <w:rPr>
          <w:bCs/>
          <w:b/>
        </w:rPr>
        <w:t xml:space="preserve">Calibration Curve Construction:</w:t>
      </w:r>
      <w:r>
        <w:t xml:space="preserve"> </w:t>
      </w:r>
      <w:r>
        <w:t xml:space="preserve">The calibration curve (also known as the reliability diagram in a different visualization) plots the mean predicted probability against the fraction of positives for each bin. The Hosmer-Lemeshow test provides a statistical test for calibration accuracy across bins. Calibration curves are computed separately for the validation set (used for calibration fitting) and a held-out test set (used for calibration evaluation) to ensure generalizability of calibration improvements.</w:t>
      </w:r>
    </w:p>
    <w:p>
      <w:pPr>
        <w:pStyle w:val="BodyText"/>
      </w:pPr>
      <w:r>
        <w:rPr>
          <w:bCs/>
          <w:b/>
        </w:rPr>
        <w:t xml:space="preserve">Calibration Methods:</w:t>
      </w:r>
      <w:r>
        <w:t xml:space="preserve"> </w:t>
      </w:r>
      <w:r>
        <w:t xml:space="preserve">If initial calibration assessment reveals poor performance (ECE &gt; 0.05), the following calibration methods are applied in sequence of increasing complexity. Temperature scaling learns a single scalar parameter T that divides logits before the softmax operation: P = softmax(logits/T). This method preserves the ranking and AUC of the original model while improving calibration, making it the preferred method when discrimination performance should not be compromised. Platt scaling learns affine transformation parameters (a, b) that transform logits: P = sigmoid(a × logits + b). This method is appropriate when the calibration issue involves both scaling and offset biases. For maximum flexibility, isotonic regression uses non-parametric monotone regression with isotonic constraints to learn an arbitrary monotonic calibration mapping. This method can address complex calibration patterns but requires more validation data to avoid overfitting.</w:t>
      </w:r>
    </w:p>
    <w:p>
      <w:pPr>
        <w:pStyle w:val="BodyText"/>
      </w:pPr>
      <w:r>
        <w:rPr>
          <w:bCs/>
          <w:b/>
        </w:rPr>
        <w:t xml:space="preserve">Calibration Deployment for Clinical Use:</w:t>
      </w:r>
      <w:r>
        <w:t xml:space="preserve"> </w:t>
      </w:r>
      <w:r>
        <w:t xml:space="preserve">For clinical deployment, the calibrated model must maintain its calibration properties across different clinical settings. The calibration analysis examines whether probability thresholds correspond to consistent true positive rates across different prevalence settings. The clinical operating threshold is selected based on sensitivity-specificity tradeoffs appropriate for the screening context (targeting 95% sensitivity), and the calibration assessment verifies that this threshold produces the expected true positive rate in the validation cohort.</w:t>
      </w:r>
    </w:p>
    <w:p>
      <w:pPr>
        <w:pStyle w:val="BodyText"/>
      </w:pPr>
      <w:r>
        <w:t xml:space="preserve">Threshold Selection for Clinical Deployment. For clinical deployment, operating thresholds are selected based on sensitivity-specificity tradeoffs appropriate for the screening context (targeting 95% sensitivity). The calibration analysis examines whether probability thresholds correspond to consistent true positive rates across different prevalence settings, ensuring that the model can be reliably deployed across different clinical environments.</w:t>
      </w:r>
    </w:p>
    <w:bookmarkEnd w:id="52"/>
    <w:bookmarkEnd w:id="53"/>
    <w:bookmarkStart w:id="54" w:name="ethical-considerations-1"/>
    <w:p>
      <w:pPr>
        <w:pStyle w:val="Heading2"/>
      </w:pPr>
      <w:r>
        <w:t xml:space="preserve">Ethical Considerations</w:t>
      </w:r>
    </w:p>
    <w:p>
      <w:pPr>
        <w:pStyle w:val="FirstParagraph"/>
      </w:pPr>
      <w:r>
        <w:t xml:space="preserve">This research involves analysis of existing anonymized medical imaging data and does not include prospective collection of patient information. The use of the RSNA dataset has been approved by the original data providers, and the dataset is publicly available for research purposes under appropriate data use agreements.</w:t>
      </w:r>
    </w:p>
    <w:p>
      <w:pPr>
        <w:pStyle w:val="BodyText"/>
      </w:pPr>
      <w:r>
        <w:t xml:space="preserve">The algorithmic fairness audit raises important ethical considerations regarding the identification and reporting of performance disparities. The research will follow established guidelines for responsible AI reporting, which emphasize transparent disclosure of limitations while avoiding stigmatization of any demographic groups. Recent frameworks for bias recognition and mitigation in healthcare AI provide guidance on strategies for addressing performance disparities (Hasanzadeh et al., 2025). The feasibility assessment will incorporate consultation with Kenyan stakeholders to ensure that the research is conducted in a manner consistent with local values and priorities.</w:t>
      </w:r>
    </w:p>
    <w:p>
      <w:pPr>
        <w:pStyle w:val="BodyText"/>
      </w:pPr>
      <w:r>
        <w:rPr>
          <w:bCs/>
          <w:b/>
        </w:rPr>
        <w:t xml:space="preserve">Kenyan Regulatory Framework Compliance.</w:t>
      </w:r>
      <w:r>
        <w:t xml:space="preserve"> </w:t>
      </w:r>
      <w:r>
        <w:t xml:space="preserve">This research is conducted within the context of Kenya's evolving regulatory framework for artificial intelligence and data protection. The research anticipates compliance with the following regulatory requirements:</w:t>
      </w:r>
    </w:p>
    <w:p>
      <w:pPr>
        <w:pStyle w:val="BodyText"/>
      </w:pPr>
      <w:r>
        <w:t xml:space="preserve">The Kenya Data Protection Act 2019 classifies health data as sensitive personal data requiring special protection under Section 31. The Act establishes principles of data minimisation, purpose limitation, and storage limitation that apply to all research activities involving health data. The Office of the Data Protection Commissioner has issued specific guidance on the processing of health data (ODPC, 2024) and processing for research purposes (ODPC, 2025), which provide the operational framework for compliance. This research adheres to these guidance documents by using only anonymised data from the RSNA-ICA dataset, restricting data access to the research team, and ensuring no patient-identifying information is retained or reported in any research outputs.</w:t>
      </w:r>
    </w:p>
    <w:p>
      <w:pPr>
        <w:pStyle w:val="BodyText"/>
      </w:pPr>
      <w:r>
        <w:t xml:space="preserve">The Artificial Intelligence Bill, 2026, currently before the Senate, establishes a four-tier risk classification system for AI systems in Kenya. Medical AI systems that influence healthcare decisions, such as aneurysm detection tools, would likely fall under the "High Risk" category requiring comprehensive regulatory compliance. The High Risk classification would require conducting comprehensive risk and human rights impact assessments, maintaining meticulous documentation of model development and validation, ensuring human oversight mechanisms are in place, and demonstrating that the system is safe, fair, and transparent before deployment. While this research is developmental and not intended for immediate clinical deployment, the methodology and documentation practices are designed to anticipate these requirements, ensuring that any future deployment would be positioned for regulatory compliance.</w:t>
      </w:r>
    </w:p>
    <w:p>
      <w:pPr>
        <w:pStyle w:val="BodyText"/>
      </w:pPr>
      <w:r>
        <w:t xml:space="preserve">The research will maintain comprehensive documentation of model development decisions, training data characteristics, fairness evaluation results, and validation procedures to support future regulatory compliance requirements. Any deployment of the developed model in Kenyan healthcare settings would require additional regulatory approval through the appropriate Kenyan regulatory authorities.</w:t>
      </w:r>
    </w:p>
    <w:p>
      <w:pPr>
        <w:pStyle w:val="BodyText"/>
      </w:pPr>
      <w:r>
        <w:t xml:space="preserve">Data management practices will ensure secure storage and processing of all research data, with access restricted to the research team. No patient-identifying information will be retained or reported in any research outputs. The research will comply with the Kenya Data Protection Act 2019 and international standards for health data research. All research activities will adhere to these regulatory requirements and the principles of data minimization, purpose limitation, and storage limitation as enshrined in the Act.</w:t>
      </w:r>
    </w:p>
    <w:bookmarkEnd w:id="54"/>
    <w:bookmarkStart w:id="55" w:name="risk-assessment"/>
    <w:p>
      <w:pPr>
        <w:pStyle w:val="Heading2"/>
      </w:pPr>
      <w:r>
        <w:t xml:space="preserve">Risk Assessment</w:t>
      </w:r>
    </w:p>
    <w:p>
      <w:pPr>
        <w:pStyle w:val="FirstParagraph"/>
      </w:pPr>
      <w:r>
        <w:t xml:space="preserve">This research has identified several potential risks that could affect the successful completion of the project, along with corresponding mitigation strategies developed based on initial training experience and stakeholder consultations.</w:t>
      </w:r>
    </w:p>
    <w:p>
      <w:pPr>
        <w:pStyle w:val="BodyText"/>
      </w:pPr>
      <w:r>
        <w:rPr>
          <w:bCs/>
          <w:b/>
        </w:rPr>
        <w:t xml:space="preserve">Risk 1: Model Convergence to Zero Sensitivity:</w:t>
      </w:r>
      <w:r>
        <w:t xml:space="preserve"> </w:t>
      </w:r>
      <w:r>
        <w:t xml:space="preserve">The most significant technical risk identified is the model converging to predicting "no aneurysm" for all cases, achieving high accuracy (due to the 97% negative prevalence) but zero clinical utility. This degenerate solution occurs when the model learns that predicting all negatives minimizes the overall loss without learning any discriminative features. Initial training experiments in February 2026 confirmed this risk materializes in practice. Mitigation strategies include implementing focal loss (gamma=2.0, alpha=0.25) to focus training on positive cases, increasing pos_weight to 8.0 to penalize false negatives heavily, using balanced batch sampling with 40% positive rate per batch, and monitoring sensitivity per epoch to detect the trap early.</w:t>
      </w:r>
    </w:p>
    <w:p>
      <w:pPr>
        <w:pStyle w:val="BodyText"/>
      </w:pPr>
      <w:r>
        <w:rPr>
          <w:bCs/>
          <w:b/>
        </w:rPr>
        <w:t xml:space="preserve">Risk 2: Overfitting with Training Loss Divergence:</w:t>
      </w:r>
      <w:r>
        <w:t xml:space="preserve"> </w:t>
      </w:r>
      <w:r>
        <w:t xml:space="preserve">The second major technical risk is rapid overfitting, where training loss decreases to extremely low values (10^-5 to 10^-8) while validation loss increases. This indicates the model has memorized the training data rather than learning generalizable features. Initial experiments showed this occurring after only 5-10 epochs when using standard regularization. Mitigation strategies include increasing dropout rate to 0.4 (higher than the typical 0.2-0.3), adding spatial dropout (0.1) to deep CNN layers (&gt;64 filters), strengthening L2 regularization (weight decay 1e-4), lowering learning rate to 5e-5 for training stability, and implementing early stopping with patience=15 epochs.</w:t>
      </w:r>
    </w:p>
    <w:p>
      <w:pPr>
        <w:pStyle w:val="BodyText"/>
      </w:pPr>
      <w:r>
        <w:rPr>
          <w:bCs/>
          <w:b/>
        </w:rPr>
        <w:t xml:space="preserve">Risk 3: Insufficient Computational Resources:</w:t>
      </w:r>
      <w:r>
        <w:t xml:space="preserve"> </w:t>
      </w:r>
      <w:r>
        <w:t xml:space="preserve">The computational requirements for training 3D CNNs on volumetric medical imaging data are substantial. If the allocated CHUI HPC cluster resources are insufficient or unavailable, training could be delayed or impossible. The mitigation strategy confirms KENET CHUI HPC cluster access before training commencement, with alternative budget for cloud GPU training (AWS/GCP) if cluster access is unavailable.</w:t>
      </w:r>
    </w:p>
    <w:p>
      <w:pPr>
        <w:pStyle w:val="BodyText"/>
      </w:pPr>
      <w:r>
        <w:rPr>
          <w:bCs/>
          <w:b/>
        </w:rPr>
        <w:t xml:space="preserve">Risk 4: Limited Local Kenyan Validation Data:</w:t>
      </w:r>
      <w:r>
        <w:t xml:space="preserve"> </w:t>
      </w:r>
      <w:r>
        <w:t xml:space="preserve">The RSNA-ICA dataset is international and does not include substantial Kenyan population representation. This limits the ability to validate model performance on the target population without local data. The mitigation strategy addresses this through collaboration with the Aga Khan University Hospital, Nairobi, secured through the co-supervision of Dr. Kevin Ombati in the Department of Radiology. The collaboration provides access to a local validation dataset of 200-300 historical CTA studies for independent assessment of model generalizability to Kenyan clinical settings. Demographic subgroup analysis using available metadata (age, sex, scanner manufacturer) on the RSNA-ICA dataset provides preliminary generalization assessment, while the Aga Khan University Hospital dataset enables validation on data representative of the target deployment context. The research explicitly acknowledges this limitation in validation and frames the local validation as a foundation for future prospective studies.</w:t>
      </w:r>
    </w:p>
    <w:p>
      <w:pPr>
        <w:pStyle w:val="BodyText"/>
      </w:pPr>
      <w:r>
        <w:rPr>
          <w:bCs/>
          <w:b/>
        </w:rPr>
        <w:t xml:space="preserve">Risk 5: Deployment Feasibility in Resource-Constrained Settings:</w:t>
      </w:r>
      <w:r>
        <w:t xml:space="preserve"> </w:t>
      </w:r>
      <w:r>
        <w:t xml:space="preserve">Even if the model achieves excellent technical performance, deployment in Kenyan public hospitals faces infrastructure challenges including limited computational resources, unreliable power, and lack of PACS integration. The mitigation strategy develops a web-based prototype (https://aneurysm-detection-kenya.vercel.app/) demonstrating minimum infrastructure requirements, assesses computational requirements for deployment (CPU inference option for low-resource settings), and evaluates integration requirements with existing hospital information systems.</w:t>
      </w:r>
    </w:p>
    <w:p>
      <w:pPr>
        <w:pStyle w:val="BodyText"/>
      </w:pPr>
      <w:r>
        <w:rPr>
          <w:bCs/>
          <w:b/>
        </w:rPr>
        <w:t xml:space="preserve">Risk 6: Timeline Compression:</w:t>
      </w:r>
      <w:r>
        <w:t xml:space="preserve"> </w:t>
      </w:r>
      <w:r>
        <w:t xml:space="preserve">The compressed timeline (February 2026 to June 2026) leaves limited margin for unexpected delays. If model training or evaluation exceeds allocated time, the thesis submission deadline could be missed. The mitigation strategy prioritizes core deliverables (trained model, fairness analysis, feasibility report) if time is limited, maintains the prototype as a fallback demonstration of concept feasibility, and compresses Phase 3 evaluation activities by focusing on core metrics (AUC, sensitivity, specificity) rather than extensive ablation studies.</w:t>
      </w:r>
    </w:p>
    <w:bookmarkEnd w:id="55"/>
    <w:bookmarkEnd w:id="56"/>
    <w:bookmarkStart w:id="59" w:name="work-plan-and-budget"/>
    <w:p>
      <w:pPr>
        <w:pStyle w:val="Heading1"/>
      </w:pPr>
      <w:r>
        <w:t xml:space="preserve">WORK PLAN AND BUDGET</w:t>
      </w:r>
    </w:p>
    <w:bookmarkStart w:id="57" w:name="work-plan"/>
    <w:p>
      <w:pPr>
        <w:pStyle w:val="Heading2"/>
      </w:pPr>
      <w:r>
        <w:t xml:space="preserve">Work Plan</w:t>
      </w:r>
    </w:p>
    <w:p>
      <w:pPr>
        <w:pStyle w:val="FirstParagraph"/>
      </w:pPr>
      <w:r>
        <w:t xml:space="preserve">The research will be implemented over a five-month period from February 2026 to June 2026, with an expected completion date of 30th June 2026. This compressed timeline reflects the need to balance rigorous technical development with thorough evaluation within the constraints of the academic calendar. As of April, 2026, significant preliminary progress has been made including literature review completion, dataset exploration and download from AWS Registry of Open Data, initial prototype development at https://aneurysm-detection-kenya.vercel.app/ and identification of critical technical challenges including class imbalance handling and overfitting prevention. The work plan is organized into five phases corresponding to the major components of the research, with each phase designed to build upon the outputs of the previous phase. The formal implementation period aligns with the available time before the submission timeline.</w:t>
      </w:r>
    </w:p>
    <w:p>
      <w:pPr>
        <w:pStyle w:val="BodyText"/>
      </w:pPr>
      <w:r>
        <w:t xml:space="preserve">The first phase, spanning February-March 2026, focuses on preparation and finalization of the research proposal. Activities include finalizing the research proposal document for ethical review submission and completing the comprehensive literature review refinement. The NACOSTI permit application will be submitted during this phase, and ethical approval from KNH-UoN Ethics and Research Committee will be sought. This phase concludes with the submission of all required documentation by end of March 2026.</w:t>
      </w:r>
    </w:p>
    <w:p>
      <w:pPr>
        <w:pStyle w:val="BodyText"/>
      </w:pPr>
      <w:r>
        <w:t xml:space="preserve">The second phase, covering March 2026 to April 2026, is dedicated to data acquisition, preprocessing and final preparation and integration of the research framework. Activities include downloading and curating the RSNA-ICA dataset from the RSNA Imaging Portal, implementing preprocessing pipelines including intensity normalization, windowing for vascular structures, three-dimensional volume reconstruction, finalizing the hybrid detection algorithm combining Template-Based Modeling components with three-dimensional convolutional neural networks, integrating the advanced training modules including two-phase training, radiomic features, and calibration analysis, and preparing the computational environment on the KENET CHUI HPC cluster for intensive training. The template library construction will also commence during this phase. This phase concludes with a fully preprocessed dataset and a fully integrated system ready for model training by end of April 2026.</w:t>
      </w:r>
    </w:p>
    <w:p>
      <w:pPr>
        <w:pStyle w:val="BodyText"/>
      </w:pPr>
      <w:r>
        <w:t xml:space="preserve">The third phase, covering April to May 2026, is dedicated to model training and initial validation. Activities include training the hybrid detection model on the RSNA-ICA dataset using the KENET CHUI HPC cluster, conducting two-phase training with warm-up and fine-tuning strategies, and extracting radiomic features for model enhancement. Comparative evaluation against baseline methods will commence towards the end of this phase. This phase concludes with a trained model ready for comprehensive evaluation and a working prototype model by end of May 2026.</w:t>
      </w:r>
    </w:p>
    <w:p>
      <w:pPr>
        <w:pStyle w:val="BodyText"/>
      </w:pPr>
      <w:r>
        <w:t xml:space="preserve">The fourth phase, from mid-May to mid-June 2026, focuses on comprehensive performance evaluation and benchmarking, the algorithmic fairness audit and feasibility assessment. Activities include performing detailed performance evaluation using sensitivity, specificity, AUC-ROC, and Dice coefficient metrics, conducting calibration analysis to ensure reliable probability estimates, benchmarking against published RSNA 2025 challenge results, and performing comparative analysis against standard 3D U-Net architectures. The algorithmic fairness audit and feasibility assessment. Activities include conducting a comprehensive fairness audit examining model performance across demographic subgroups defined by age, sex, and scanner characteristics, performing subgroup analysis to identify potential performance disparities, conducting stakeholder interviews at Kenyan health facilities to assess implementation barriers and facilitators, and developing preliminary implementation recommendations to the Kenyan Ministry of Health. This phase produces detailed performance results and the fairness assessment report and feasibility analysis by 15th June 2026.</w:t>
      </w:r>
    </w:p>
    <w:p>
      <w:pPr>
        <w:pStyle w:val="BodyText"/>
      </w:pPr>
      <w:r>
        <w:t xml:space="preserve">The fifth and final phase, from mid-June to 30th June 2026, focuses on thesis writing, revision, and final submission. Activities include drafting the complete thesis document including all chapters, preparing manuscripts for potential publication, and presenting findings at academic conferences. Final review, supervisor corrections, and formatting adjustments will be completed during this phase to ensure submission by the 30th June 2026.</w:t>
      </w:r>
    </w:p>
    <w:p>
      <w:pPr>
        <w:pStyle w:val="BodyText"/>
      </w:pPr>
      <w:r>
        <w:t xml:space="preserve">[]{#_Toc232713482 .anchor}Figure 4.1.1: Gantt Chart for Research Implementation (February 2026 - May 2026)</w:t>
      </w:r>
    </w:p>
    <w:p>
      <w:pPr>
        <w:pStyle w:val="BodyText"/>
      </w:pPr>
    </w:p>
    <w:p>
      <w:pPr>
        <w:pStyle w:val="BodyText"/>
      </w:pPr>
      <w:r>
        <w:t xml:space="preserve">Figure 4.1.1 presents the Gantt chart visualizing the timeline of activities across the implementation period.</w:t>
      </w:r>
    </w:p>
    <w:p>
      <w:pPr>
        <w:pStyle w:val="BodyText"/>
      </w:pPr>
      <w:r>
        <w:t xml:space="preserve">The research timeline is structured into five sequential phases with defined milestones:</w:t>
      </w:r>
    </w:p>
    <w:p>
      <w:pPr>
        <w:pStyle w:val="BodyText"/>
      </w:pPr>
      <w:r>
        <w:rPr>
          <w:bCs/>
          <w:b/>
        </w:rPr>
        <w:t xml:space="preserve">Phase Overview:</w:t>
      </w:r>
    </w:p>
    <w:p>
      <w:pPr>
        <w:pStyle w:val="BodyText"/>
      </w:pPr>
      <w:r>
        <w:rPr>
          <w:bCs/>
          <w:b/>
        </w:rPr>
        <w:t xml:space="preserve">Phase 1 (February 2026 - March 2026):</w:t>
      </w:r>
      <w:r>
        <w:t xml:space="preserve"> </w:t>
      </w:r>
      <w:r>
        <w:t xml:space="preserve">This initial phase focuses on proposal finalization, ethics applications, and computational environment setup. Key activities include finalizing the research proposal document for ethical review submission, completing the comprehensive literature review, and preparing the computational environment for algorithm development.</w:t>
      </w:r>
    </w:p>
    <w:p>
      <w:pPr>
        <w:pStyle w:val="BodyText"/>
      </w:pPr>
      <w:r>
        <w:rPr>
          <w:bCs/>
          <w:b/>
        </w:rPr>
        <w:t xml:space="preserve">Phase 2 (March 2026 - April 2026):</w:t>
      </w:r>
      <w:r>
        <w:t xml:space="preserve"> </w:t>
      </w:r>
      <w:r>
        <w:t xml:space="preserve">This phase is dedicated to data acquisition and preprocessing. Activities include downloading and curating the RSNA-ICA dataset from the RSNA Imaging Portal, implementing preprocessing pipelines including intensity normalization, windowing for vascular structures, and three-dimensional volume reconstruction. The template library construction also commences during this phase.</w:t>
      </w:r>
    </w:p>
    <w:p>
      <w:pPr>
        <w:pStyle w:val="BodyText"/>
      </w:pPr>
      <w:r>
        <w:rPr>
          <w:bCs/>
          <w:b/>
        </w:rPr>
        <w:t xml:space="preserve">Phase 3 (April 2026 - May 2026):</w:t>
      </w:r>
      <w:r>
        <w:t xml:space="preserve"> </w:t>
      </w:r>
      <w:r>
        <w:t xml:space="preserve">This phase focuses on algorithm development and initial training. Activities include implementing the hybrid detection architecture combining Template-Based Modeling components with three-dimensional convolutional neural networks, conducting preprocessing pipeline optimization, and training the model on the RSNA dataset.</w:t>
      </w:r>
    </w:p>
    <w:p>
      <w:pPr>
        <w:pStyle w:val="BodyText"/>
      </w:pPr>
      <w:r>
        <w:rPr>
          <w:bCs/>
          <w:b/>
        </w:rPr>
        <w:t xml:space="preserve">Phase 4 (mid-May 2026 – mid-June 2026):</w:t>
      </w:r>
      <w:r>
        <w:t xml:space="preserve"> </w:t>
      </w:r>
      <w:r>
        <w:t xml:space="preserve">This phase encompasses comprehensive validation, fairness audit, and feasibility assessment. Activities include performing detailed performance evaluation using sensitivity, specificity, AUC-ROC, and Dice coefficient metrics. The algorithmic fairness audit examines subgroup performance across demographic categories. Stakeholder interviews at Kenyan health facilities assess implementation barriers and facilitators.</w:t>
      </w:r>
    </w:p>
    <w:p>
      <w:pPr>
        <w:pStyle w:val="BodyText"/>
      </w:pPr>
      <w:r>
        <w:rPr>
          <w:bCs/>
          <w:b/>
        </w:rPr>
        <w:t xml:space="preserve">Phase 5 (June 2026):</w:t>
      </w:r>
      <w:r>
        <w:t xml:space="preserve"> </w:t>
      </w:r>
      <w:r>
        <w:t xml:space="preserve">This final phase focuses on thesis writing, review, and final submission. Activities include drafting the complete thesis document including all chapters, preparing manuscripts for potential publication, and presenting findings at academic conferences.</w:t>
      </w:r>
    </w:p>
    <w:p>
      <w:pPr>
        <w:pStyle w:val="BodyText"/>
      </w:pPr>
      <w:r>
        <w:rPr>
          <w:bCs/>
          <w:b/>
        </w:rPr>
        <w:t xml:space="preserve">Key Milestones:</w:t>
      </w:r>
    </w:p>
    <w:p>
      <w:pPr>
        <w:numPr>
          <w:ilvl w:val="0"/>
          <w:numId w:val="1001"/>
        </w:numPr>
        <w:pStyle w:val="Compact"/>
      </w:pPr>
      <w:r>
        <w:rPr>
          <w:bCs/>
          <w:b/>
        </w:rPr>
        <w:t xml:space="preserve">M1:</w:t>
      </w:r>
      <w:r>
        <w:t xml:space="preserve"> </w:t>
      </w:r>
      <w:r>
        <w:t xml:space="preserve">Ethics approval obtained (End of March 2026)</w:t>
      </w:r>
    </w:p>
    <w:p>
      <w:pPr>
        <w:numPr>
          <w:ilvl w:val="0"/>
          <w:numId w:val="1001"/>
        </w:numPr>
        <w:pStyle w:val="Compact"/>
      </w:pPr>
      <w:r>
        <w:rPr>
          <w:bCs/>
          <w:b/>
        </w:rPr>
        <w:t xml:space="preserve">M2:</w:t>
      </w:r>
      <w:r>
        <w:t xml:space="preserve"> </w:t>
      </w:r>
      <w:r>
        <w:t xml:space="preserve">Preprocessed dataset ready (End of April 2026)</w:t>
      </w:r>
    </w:p>
    <w:p>
      <w:pPr>
        <w:numPr>
          <w:ilvl w:val="0"/>
          <w:numId w:val="1001"/>
        </w:numPr>
        <w:pStyle w:val="Compact"/>
      </w:pPr>
      <w:r>
        <w:rPr>
          <w:bCs/>
          <w:b/>
        </w:rPr>
        <w:t xml:space="preserve">M3:</w:t>
      </w:r>
      <w:r>
        <w:t xml:space="preserve"> </w:t>
      </w:r>
      <w:r>
        <w:t xml:space="preserve">Working prototype model (End of May 2026)</w:t>
      </w:r>
    </w:p>
    <w:p>
      <w:pPr>
        <w:numPr>
          <w:ilvl w:val="0"/>
          <w:numId w:val="1001"/>
        </w:numPr>
        <w:pStyle w:val="Compact"/>
      </w:pPr>
      <w:r>
        <w:rPr>
          <w:bCs/>
          <w:b/>
        </w:rPr>
        <w:t xml:space="preserve">M4:</w:t>
      </w:r>
      <w:r>
        <w:t xml:space="preserve"> </w:t>
      </w:r>
      <w:r>
        <w:t xml:space="preserve">Final results and analysis (15th June 2026)</w:t>
      </w:r>
    </w:p>
    <w:p>
      <w:pPr>
        <w:numPr>
          <w:ilvl w:val="0"/>
          <w:numId w:val="1001"/>
        </w:numPr>
        <w:pStyle w:val="Compact"/>
      </w:pPr>
      <w:r>
        <w:rPr>
          <w:bCs/>
          <w:b/>
        </w:rPr>
        <w:t xml:space="preserve">M5:</w:t>
      </w:r>
      <w:r>
        <w:t xml:space="preserve"> </w:t>
      </w:r>
      <w:r>
        <w:t xml:space="preserve">Thesis submission (30th June 2026)</w:t>
      </w:r>
    </w:p>
    <w:bookmarkEnd w:id="57"/>
    <w:bookmarkStart w:id="58" w:name="budget-estimate"/>
    <w:p>
      <w:pPr>
        <w:pStyle w:val="Heading2"/>
      </w:pPr>
      <w:r>
        <w:t xml:space="preserve">Budget Estimate</w:t>
      </w:r>
    </w:p>
    <w:p>
      <w:pPr>
        <w:pStyle w:val="FirstParagraph"/>
      </w:pPr>
      <w:r>
        <w:t xml:space="preserve">The research budget is presented in two formats to ensure reproducibility: Full Cost represents the complete budget for researchers without institutional HPC access, while Effective Cost reflects the actual out-of-pocket expenditure leveraging KENET CHUI HPC cluster access available to Kenyan academic researchers. This dual presentation ensures the research methodology can be replicated by others regardless of their computational infrastructure access.</w:t>
      </w:r>
    </w:p>
    <w:p>
      <w:pPr>
        <w:pStyle w:val="BodyText"/>
      </w:pPr>
      <w:r>
        <w:rPr>
          <w:bCs/>
          <w:b/>
        </w:rPr>
        <w:t xml:space="preserve">Computational Resource Statement</w:t>
      </w:r>
      <w:r>
        <w:t xml:space="preserve">: This research utilizes the KENET CHUI HPC cluster for all model training and computational requirements. The KENET (Kenya Education Networks) CHUI cluster provides high-performance computing resources at no cost to researchers affiliated with Kenyan academic institutions, significantly reducing the infrastructure costs typically associated with deep learning projects. This arrangement aligns with Kenya's National AI Strategy emphasis on building AI capacity within academic and research institutions.</w:t>
      </w:r>
    </w:p>
    <w:p>
      <w:pPr>
        <w:pStyle w:val="BodyText"/>
      </w:pPr>
      <w:r>
        <w:t xml:space="preserve">The estimated gross (full) budget for this research is approximately Kenya Shillings One Hundred Sixty-Six Thousand Seven Hundred (KES 166,700), while the effective out-of-pocket cost assuming KENET CHUI HPC access is approximately KES Fifty Thousand Seven Hundred (KES 50,700).</w:t>
      </w:r>
    </w:p>
    <w:p>
      <w:pPr>
        <w:pStyle w:val="BodyText"/>
      </w:pPr>
      <w:r>
        <w:rPr>
          <w:bCs/>
          <w:b/>
        </w:rPr>
        <w:t xml:space="preserve">Budget Justification and Cost Substantiation</w:t>
      </w:r>
      <w:r>
        <w:t xml:space="preserve">:</w:t>
      </w:r>
    </w:p>
    <w:p>
      <w:pPr>
        <w:pStyle w:val="BodyText"/>
      </w:pPr>
      <w:r>
        <w:t xml:space="preserve">The following provides detailed justification for each budget item, substantiating how estimates are derived:</w:t>
      </w:r>
    </w:p>
    <w:p>
      <w:pPr>
        <w:pStyle w:val="BodyText"/>
      </w:pPr>
      <w:r>
        <w:rPr>
          <w:bCs/>
          <w:b/>
        </w:rPr>
        <w:t xml:space="preserve">Computing Costs (Full Cost: KES 105,000 / Effective Cost: KES 0):</w:t>
      </w:r>
    </w:p>
    <w:p>
      <w:pPr>
        <w:pStyle w:val="BodyText"/>
      </w:pPr>
      <w:r>
        <w:t xml:space="preserve">The computing budget covers GPU-accelerated training infrastructure and data storage requirements. Cloud GPU training at KES 100,000 is calculated based on standard academic pricing for GPU-accelerated instances (approximately KES 700 per hour for NVIDIA A100 or V100 GPU instances), covering an estimated 143 hours of training time for the hybrid model development including hyperparameter tuning and ablation studies. Data storage at KES 5,000 covers 300 GB of storage over 3 months on cloud platforms (approximately KES 0.015 per GB per month). These costs are entirely covered by KENET CHUI HPC cluster access, which provides GPU computing and storage at no cost to researchers affiliated with Kenyan academic institutions. KENET CHUI access is confirmed for the entire duration from 2026 training commencement.</w:t>
      </w:r>
    </w:p>
    <w:p>
      <w:pPr>
        <w:pStyle w:val="BodyText"/>
      </w:pPr>
      <w:r>
        <w:t xml:space="preserve">Alternative Budget for Non-Institutional HPC Access: In the event that KENET CHUI cluster access is unavailable, the following alternative budget provides estimates for cloud-based GPU training and data storage: Cloud GPU training (AWS/GCP) for 50 hours at KES 700/hour would cost approximately KES 35,000; Cloud data storage (S3/GCS) for 300 GB over 3 months would cost approximately KES 5,000; AWS data transfer charges estimated at KES 3,000; bringing the alternative total to approximately KES 94,000. The research team will confirm KENET CHUI access prior to the March-June 2026 training phase commencement.</w:t>
      </w:r>
    </w:p>
    <w:p>
      <w:pPr>
        <w:pStyle w:val="BodyText"/>
      </w:pPr>
      <w:r>
        <w:rPr>
          <w:bCs/>
          <w:b/>
        </w:rPr>
        <w:t xml:space="preserve">Research Materials (Full Cost: KES 15,000 / Effective Cost: KES 15,000):</w:t>
      </w:r>
    </w:p>
    <w:p>
      <w:pPr>
        <w:pStyle w:val="BodyText"/>
      </w:pPr>
      <w:r>
        <w:t xml:space="preserve">Printing and binding at KES 15,000 covers thesis production including preliminary drafts (estimated 200 pages × KES 30 per page = KES 6,000 for multiple revisions), final thesis printing (estimated 150 pages × KES 40 per page = KES 6,000 for high-quality thesis printing), binding (KES 2,000 for spiral and hardcover binding), and correction and re-printing allowance (KES 1,000). This cost is not covered by institutional resources and is a standard requirement for MSc thesis submission at the University of Nairobi.</w:t>
      </w:r>
    </w:p>
    <w:p>
      <w:pPr>
        <w:pStyle w:val="BodyText"/>
      </w:pPr>
      <w:r>
        <w:rPr>
          <w:bCs/>
          <w:b/>
        </w:rPr>
        <w:t xml:space="preserve">Transportation (Full Cost: KES 20,000 / Effective Cost: KES 20,000):</w:t>
      </w:r>
    </w:p>
    <w:p>
      <w:pPr>
        <w:pStyle w:val="BodyText"/>
      </w:pPr>
      <w:r>
        <w:t xml:space="preserve">Transportation costs cover stakeholder interviews and site visits required for the feasibility assessment component. The estimate of KES 20,000 covers: trips to Aga Khan University Hospital, Nairobi for collaboration meetings and data access negotiations (estimated 4 round trips × KES 2,000 = KES 8,000 for public transport), visits to selected referral hospitals for stakeholder interviews (estimated 3 trips × KES 2,500 = KES 7,500), and miscellaneous transport for multiple supervisor meetings (KES 4,500). This estimate assumes public transportation fares, which is the most cost-effective option for a self-funded research project.</w:t>
      </w:r>
    </w:p>
    <w:p>
      <w:pPr>
        <w:pStyle w:val="BodyText"/>
      </w:pPr>
      <w:r>
        <w:rPr>
          <w:bCs/>
          <w:b/>
        </w:rPr>
        <w:t xml:space="preserve">Ethics and Administrative Costs (Full Cost: KES 12,000 / Effective Cost: KES 12,000):</w:t>
      </w:r>
    </w:p>
    <w:p>
      <w:pPr>
        <w:pStyle w:val="BodyText"/>
      </w:pPr>
      <w:r>
        <w:t xml:space="preserve">Ethics and administrative costs include KNH-UoN Ethics and Research Committee application fee of KES 2,000 (standard fee for research proposals at University of Nairobi), NACOSTI research license fee of KES 10,000 (standard government research permit fee), and additional administrative costs including document certification and postal charges (KES 500 contingency). These are mandatory regulatory requirements for conducting research in Kenya.</w:t>
      </w:r>
    </w:p>
    <w:p>
      <w:pPr>
        <w:pStyle w:val="BodyText"/>
      </w:pPr>
      <w:r>
        <w:rPr>
          <w:bCs/>
          <w:b/>
        </w:rPr>
        <w:t xml:space="preserve">Contingency (Full Cost: KES 13,700 / Effective Cost: KES 3,700):</w:t>
      </w:r>
    </w:p>
    <w:p>
      <w:pPr>
        <w:pStyle w:val="BodyText"/>
      </w:pPr>
      <w:r>
        <w:t xml:space="preserve">A 10% contingency is standard practice for research budgeting to account for unforeseen expenses. The full contingency of KES 13,700 is calculated as 10% of (KES 105,000 + KES 15,000 + KES 20,000 + KES 7,000) = KES 13,700. With KENET access, the effective contingency is reduced to KES 3,700 (10% of KES 37,000). This covers potential equipment failures, additional printing needs, or scope changes.</w:t>
      </w:r>
    </w:p>
    <w:p>
      <w:pPr>
        <w:pStyle w:val="BodyText"/>
      </w:pPr>
      <w:r>
        <w:t xml:space="preserve">[]{#_Toc232713488 .anchor}Table 4‑1: Detailed Budget Estimate with Full and Effective Costs</w:t>
      </w:r>
    </w:p>
    <w:tbl>
      <w:tblPr>
        <w:tblStyle w:val="Table"/>
        <w:tblW w:type="pct" w:w="5000"/>
        <w:tblLook w:firstRow="1" w:lastRow="0" w:firstColumn="0" w:lastColumn="0" w:noHBand="0" w:noVBand="0" w:val="0020"/>
        <w:tblBorders>
          <w:top w:val="single" w:sz="8" w:space="0" w:color="4A90C2"/>
          <w:left w:val="single" w:sz="8" w:space="0" w:color="4A90C2"/>
          <w:bottom w:val="single" w:sz="8" w:space="0" w:color="4A90C2"/>
          <w:right w:val="single" w:sz="8" w:space="0" w:color="4A90C2"/>
          <w:insideH w:val="single" w:sz="8" w:space="0" w:color="4A90C2"/>
          <w:insideV w:val="single" w:sz="8" w:space="0" w:color="4A90C2"/>
        </w:tblBorders>
      </w:tblPr>
      <w:tblGrid>
        <w:gridCol w:w="1741"/>
        <w:gridCol w:w="1516"/>
        <w:gridCol w:w="786"/>
        <w:gridCol w:w="730"/>
        <w:gridCol w:w="3033"/>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Category</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Item</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Item</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Cost (KES)</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Notes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Computing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Cloud GPU training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KENET CHUI HPC access confirmed</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Computing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Data storage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KENET CHUI HPC cluster storage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Research Materials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Printing and binding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15,000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15,000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Thesis production, revisions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Transportation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Stakeholder interviews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Aga Khan University Hospital and referral hospitals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Ethics and Administrative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KNH-UoN ERC application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Ethics review committee fee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Licensing and Administrative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NACOSTI research license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Research permit</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Contingency (10%)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Unexpected costs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13,700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3,700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Contingency buffer</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Total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166,700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50,700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bl>
    <w:bookmarkEnd w:id="58"/>
    <w:bookmarkEnd w:id="59"/>
    <w:bookmarkStart w:id="65" w:name="section"/>
    <w:p>
      <w:pPr>
        <w:pStyle w:val="Heading1"/>
      </w:pPr>
    </w:p>
    <w:bookmarkStart w:id="60" w:name="expected-outcomes"/>
    <w:p>
      <w:pPr>
        <w:pStyle w:val="Heading2"/>
      </w:pPr>
      <w:r>
        <w:t xml:space="preserve">Expected Outcomes</w:t>
      </w:r>
    </w:p>
    <w:p>
      <w:pPr>
        <w:pStyle w:val="FirstParagraph"/>
      </w:pPr>
      <w:r>
        <w:t xml:space="preserve">This research anticipates producing the following measurable outcomes aligned with the stated objectives. The specific targets are established based on the RSNA 2025 challenge benchmark results and clinical utility requirements for aneurysm screening tools.</w:t>
      </w:r>
    </w:p>
    <w:p>
      <w:pPr>
        <w:pStyle w:val="BodyText"/>
      </w:pPr>
      <w:r>
        <w:rPr>
          <w:bCs/>
          <w:b/>
        </w:rPr>
        <w:t xml:space="preserve">Technical Performance Targets</w:t>
      </w:r>
      <w:r>
        <w:t xml:space="preserve">: The hybrid detection model is expected to achieve the following primary performance metrics on the RSNA-ICA validation set:</w:t>
      </w:r>
    </w:p>
    <w:p>
      <w:pPr>
        <w:pStyle w:val="BodyText"/>
      </w:pPr>
      <w:r>
        <w:rPr>
          <w:bCs/>
          <w:b/>
        </w:rPr>
        <w:t xml:space="preserve">AUC-ROC:</w:t>
      </w:r>
      <w:r>
        <w:t xml:space="preserve"> </w:t>
      </w:r>
      <w:r>
        <w:t xml:space="preserve">Target greater than 0.90, matching or exceeding the performance of winning solutions from the RSNA 2025 challenge. This represents the current state-of-the-art benchmark for aneurysm detection on this dataset.</w:t>
      </w:r>
    </w:p>
    <w:p>
      <w:pPr>
        <w:pStyle w:val="BodyText"/>
      </w:pPr>
      <w:r>
        <w:rPr>
          <w:bCs/>
          <w:b/>
        </w:rPr>
        <w:t xml:space="preserve">Sensitivity at High Specificity</w:t>
      </w:r>
      <w:r>
        <w:t xml:space="preserve">: Target sensitivity exceeding 90% at 95% specificity (FPR of 5%), meeting the threshold for clinically useful screening tools where false positive rates must be controlled to avoid overwhelming clinical workflow with excessive alerts.</w:t>
      </w:r>
    </w:p>
    <w:p>
      <w:pPr>
        <w:pStyle w:val="BodyText"/>
      </w:pPr>
      <w:r>
        <w:rPr>
          <w:bCs/>
          <w:b/>
        </w:rPr>
        <w:t xml:space="preserve">Dice Coefficient</w:t>
      </w:r>
      <w:r>
        <w:t xml:space="preserve">: Target Dice coefficient greater than 0.70 for aneurysm segmentation, indicating good spatial overlap between predicted and ground truth aneurysm regions. This metric is secondary to detection metrics but important for surgical planning applications.</w:t>
      </w:r>
    </w:p>
    <w:p>
      <w:pPr>
        <w:pStyle w:val="BodyText"/>
      </w:pPr>
      <w:r>
        <w:rPr>
          <w:bCs/>
          <w:b/>
        </w:rPr>
        <w:t xml:space="preserve">Calibration Performance</w:t>
      </w:r>
      <w:r>
        <w:t xml:space="preserve">: Target Expected Calibration Error (ECE) below 0.05, demonstrating that predicted probabilities reliably reflect true likelihoods for clinical decision support. This calibration target ensures that probability thresholds can be directly interpreted as confidence levels.</w:t>
      </w:r>
    </w:p>
    <w:p>
      <w:pPr>
        <w:pStyle w:val="BodyText"/>
      </w:pPr>
      <w:r>
        <w:rPr>
          <w:bCs/>
          <w:b/>
        </w:rPr>
        <w:t xml:space="preserve">Comparison to Baseline</w:t>
      </w:r>
      <w:r>
        <w:t xml:space="preserve">: The hybrid model is expected to demonstrate superior performance compared to baseline 3D U-Net architectures, with improvement of at least 5% in AUC-ROC. The template matching component is expected to contribute particularly on small aneurysms (&lt;5mm) where deep learning features may be less discriminative.</w:t>
      </w:r>
    </w:p>
    <w:p>
      <w:pPr>
        <w:pStyle w:val="BodyText"/>
      </w:pPr>
      <w:r>
        <w:rPr>
          <w:bCs/>
          <w:b/>
        </w:rPr>
        <w:t xml:space="preserve">Fairness Outcomes:</w:t>
      </w:r>
      <w:r>
        <w:t xml:space="preserve"> </w:t>
      </w:r>
      <w:r>
        <w:t xml:space="preserve">The fairness audit will quantify performance differences across demographic subgroups with the following specific targets:</w:t>
      </w:r>
    </w:p>
    <w:p>
      <w:pPr>
        <w:pStyle w:val="BodyText"/>
      </w:pPr>
      <w:r>
        <w:rPr>
          <w:bCs/>
          <w:b/>
        </w:rPr>
        <w:t xml:space="preserve">Subgroup Parity:</w:t>
      </w:r>
      <w:r>
        <w:t xml:space="preserve"> </w:t>
      </w:r>
      <w:r>
        <w:t xml:space="preserve">Target no statistically significant performance disparities (p &gt; 0.05) across subgroups defined by age groups (under 50, 50-65, over 65), sex (male, female), and scanner manufacturer categories (GE, Siemens, Philips, Other). Performance disparities are measured by equalized odds difference (EOD) and demographic parity difference (DPD).</w:t>
      </w:r>
    </w:p>
    <w:p>
      <w:pPr>
        <w:pStyle w:val="BodyText"/>
      </w:pPr>
      <w:r>
        <w:rPr>
          <w:bCs/>
          <w:b/>
        </w:rPr>
        <w:t xml:space="preserve">Minimum Performance Floor</w:t>
      </w:r>
      <w:r>
        <w:t xml:space="preserve">: Target minimum sensitivity of 80% for all demographic subgroups, ensuring that no group experiences substantially degraded detection capability relative to others.</w:t>
      </w:r>
    </w:p>
    <w:p>
      <w:pPr>
        <w:pStyle w:val="BodyText"/>
      </w:pPr>
      <w:r>
        <w:rPr>
          <w:bCs/>
          <w:b/>
        </w:rPr>
        <w:t xml:space="preserve">Calibration Consistency:</w:t>
      </w:r>
      <w:r>
        <w:t xml:space="preserve"> </w:t>
      </w:r>
      <w:r>
        <w:t xml:space="preserve">Target calibration ECE below 0.10 for all demographic subgroups, ensuring that probability estimates are reasonably reliable across different population segments.</w:t>
      </w:r>
    </w:p>
    <w:p>
      <w:pPr>
        <w:pStyle w:val="BodyText"/>
      </w:pPr>
      <w:r>
        <w:rPr>
          <w:bCs/>
          <w:b/>
        </w:rPr>
        <w:t xml:space="preserve">Bias Documentation:</w:t>
      </w:r>
      <w:r>
        <w:t xml:space="preserve"> </w:t>
      </w:r>
      <w:r>
        <w:t xml:space="preserve">Where statistically significant disparities are identified (p &lt; 0.05), the research will document the magnitude, direction, and potential causes of the disparity, along with mitigation strategies for future model development.</w:t>
      </w:r>
    </w:p>
    <w:p>
      <w:pPr>
        <w:pStyle w:val="BodyText"/>
      </w:pPr>
      <w:r>
        <w:rPr>
          <w:bCs/>
          <w:b/>
        </w:rPr>
        <w:t xml:space="preserve">Feasibility Deliverables:</w:t>
      </w:r>
      <w:r>
        <w:t xml:space="preserve"> </w:t>
      </w:r>
      <w:r>
        <w:t xml:space="preserve">The research will produce the following specific deliverables for Kenyan health system stakeholders:</w:t>
      </w:r>
    </w:p>
    <w:p>
      <w:pPr>
        <w:pStyle w:val="BodyText"/>
      </w:pPr>
      <w:r>
        <w:rPr>
          <w:bCs/>
          <w:b/>
        </w:rPr>
        <w:t xml:space="preserve">Feasibility Assessment Report</w:t>
      </w:r>
      <w:r>
        <w:t xml:space="preserve">: A comprehensive document documenting computational requirements for deployment (minimum GPU specifications, RAM, storage), integration requirements with existing hospital information systems (PACS compatibility, DICOM compliance), and estimated implementation costs for different deployment scenarios (cloud-based, on-premise, hybrid).</w:t>
      </w:r>
    </w:p>
    <w:p>
      <w:pPr>
        <w:pStyle w:val="BodyText"/>
      </w:pPr>
      <w:r>
        <w:rPr>
          <w:bCs/>
          <w:b/>
        </w:rPr>
        <w:t xml:space="preserve">Implementation Recommendations</w:t>
      </w:r>
      <w:r>
        <w:t xml:space="preserve">: Evidence-based recommendations for the Kenyan Ministry of Health addressing infrastructure requirements for AI-enabled aneurysm screening, workforce implications including training requirements for radiology staff, and policy considerations including regulatory compliance with the Kenya AI Bill 2026.</w:t>
      </w:r>
    </w:p>
    <w:p>
      <w:pPr>
        <w:pStyle w:val="BodyText"/>
      </w:pPr>
      <w:r>
        <w:rPr>
          <w:bCs/>
          <w:b/>
        </w:rPr>
        <w:t xml:space="preserve">Prototype Demonstration</w:t>
      </w:r>
      <w:r>
        <w:t xml:space="preserve">: A functional web-based prototype demonstrating end-to-end aneurysm detection workflow, hosted at https://aneurysm-detection-kenya.vercel.app/, which serves as a concrete demonstration of the technical feasibility and minimum infrastructure requirements.</w:t>
      </w:r>
    </w:p>
    <w:p>
      <w:pPr>
        <w:pStyle w:val="BodyText"/>
      </w:pPr>
      <w:r>
        <w:rPr>
          <w:bCs/>
          <w:b/>
        </w:rPr>
        <w:t xml:space="preserve">Capacity Building Outcomes</w:t>
      </w:r>
      <w:r>
        <w:t xml:space="preserve">: The research will strengthen local capacity for medical imaging AI development in Kenya through:</w:t>
      </w:r>
    </w:p>
    <w:p>
      <w:pPr>
        <w:pStyle w:val="BodyText"/>
      </w:pPr>
      <w:r>
        <w:rPr>
          <w:bCs/>
          <w:b/>
        </w:rPr>
        <w:t xml:space="preserve">Skill Development:</w:t>
      </w:r>
      <w:r>
        <w:t xml:space="preserve"> </w:t>
      </w:r>
      <w:r>
        <w:t xml:space="preserve">Demonstrated competency in deep learning for medical imaging, from data preprocessing through model training, validation, and deployment.</w:t>
      </w:r>
    </w:p>
    <w:p>
      <w:pPr>
        <w:pStyle w:val="BodyText"/>
      </w:pPr>
      <w:r>
        <w:rPr>
          <w:bCs/>
          <w:b/>
        </w:rPr>
        <w:t xml:space="preserve">Academic Outputs</w:t>
      </w:r>
      <w:r>
        <w:t xml:space="preserve">: At least one peer-reviewed publication in a relevant journal (target: Medical Image Analysis, Radiology: Artificial Intelligence, or equivalent), and one conference presentation at a national or international venue.</w:t>
      </w:r>
    </w:p>
    <w:p>
      <w:pPr>
        <w:pStyle w:val="BodyText"/>
      </w:pPr>
      <w:r>
        <w:rPr>
          <w:bCs/>
          <w:b/>
        </w:rPr>
        <w:t xml:space="preserve">Open Source Contributions</w:t>
      </w:r>
      <w:r>
        <w:t xml:space="preserve">: Release of anonymized code and trained model weights through a public repository (GitHub or similar), enabling replication and extension by other researchers.</w:t>
      </w:r>
    </w:p>
    <w:bookmarkEnd w:id="60"/>
    <w:bookmarkStart w:id="64" w:name="contingency-planning"/>
    <w:p>
      <w:pPr>
        <w:pStyle w:val="Heading2"/>
      </w:pPr>
      <w:r>
        <w:t xml:space="preserve">Contingency Planning</w:t>
      </w:r>
    </w:p>
    <w:p>
      <w:pPr>
        <w:pStyle w:val="FirstParagraph"/>
      </w:pPr>
      <w:r>
        <w:t xml:space="preserve">Given the compressed timeline and potential for unforeseen challenges, the following comprehensive contingency strategies are in place to ensure successful project completion. These strategies address the primary risks identified in the risk assessment while maintaining focus on delivering a minimum viable product that meets the core research objectives.</w:t>
      </w:r>
    </w:p>
    <w:bookmarkStart w:id="61" w:name="phase-compression-strategies"/>
    <w:p>
      <w:pPr>
        <w:pStyle w:val="Heading3"/>
      </w:pPr>
      <w:r>
        <w:t xml:space="preserve">Phase Compression Strategies</w:t>
      </w:r>
    </w:p>
    <w:p>
      <w:pPr>
        <w:pStyle w:val="FirstParagraph"/>
      </w:pPr>
      <w:r>
        <w:t xml:space="preserve">The research timeline is designed with inherent flexibility that allows for strategic compression of individual phases without compromising overall project quality. Phase compression is implemented through parallel processing where feasible, targeted reduction of non-critical deliverables, and adaptive resource allocation based on emerging results.</w:t>
      </w:r>
    </w:p>
    <w:p>
      <w:pPr>
        <w:pStyle w:val="BodyText"/>
      </w:pPr>
      <w:r>
        <w:rPr>
          <w:bCs/>
          <w:b/>
        </w:rPr>
        <w:t xml:space="preserve">Parallel Processing Protocol</w:t>
      </w:r>
      <w:r>
        <w:t xml:space="preserve">: Where dependencies allow, activities are conducted in parallel rather than sequentially. Specifically, the preprocessing pipeline optimization (typically Phase 1) can proceed concurrently with initial model architecture experiments, while radiomic feature extraction can overlap with early training epochs. This parallel approach recovers approximately two to three weeks of schedule buffer without compromising methodological rigor.</w:t>
      </w:r>
    </w:p>
    <w:p>
      <w:pPr>
        <w:pStyle w:val="BodyText"/>
      </w:pPr>
      <w:r>
        <w:rPr>
          <w:bCs/>
          <w:b/>
        </w:rPr>
        <w:t xml:space="preserve">Phase-Specific Compression Triggers</w:t>
      </w:r>
      <w:r>
        <w:t xml:space="preserve">: Each phase has defined compression triggers and protocols. Phase 2 can be compressed from four weeks to two weeks by deferring non-essential integrations (such as optional radiomic features) and focusing on core template matching plus deep learning fusion. Phase 3 (Training) compression involves reducing maximum epochs from 100 to 60 while maintaining early stopping patience of 20 epochs, switching to smaller patch sizes (64³ instead of 128³) for faster iteration, and using pre-trained encoder weights from related medical imaging tasks. Phase 4 (Evaluation) compression focuses evaluation on primary metrics (AUC-ROC, sensitivity at 95% specificity, Dice coefficient) while deferring detailed ablation studies and calibration analysis to future work. Phase 5 (Fairness) compression utilizes automated fairness evaluation tools and leverages existing literature on Kenyan health system barriers if stakeholder interviews cannot be completed as planned.</w:t>
      </w:r>
    </w:p>
    <w:bookmarkEnd w:id="61"/>
    <w:bookmarkStart w:id="62" w:name="computational-resource-management"/>
    <w:p>
      <w:pPr>
        <w:pStyle w:val="Heading3"/>
      </w:pPr>
      <w:r>
        <w:t xml:space="preserve">Computational Resource Management</w:t>
      </w:r>
    </w:p>
    <w:p>
      <w:pPr>
        <w:pStyle w:val="FirstParagraph"/>
      </w:pPr>
      <w:r>
        <w:t xml:space="preserve">The CHUI HPC cluster provides the primary computational resources, but contingency plans exist for various levels of resource availability.</w:t>
      </w:r>
    </w:p>
    <w:p>
      <w:pPr>
        <w:pStyle w:val="BodyText"/>
      </w:pPr>
      <w:r>
        <w:t xml:space="preserve">High Availability Scenario (Full Cluster Access): Full training proceeds as planned with 128³ patches, 100 maximum epochs, and comprehensive hyperparameter search. This scenario enables all planned ablation studies and extensive fairness subgroup analysis.</w:t>
      </w:r>
    </w:p>
    <w:p>
      <w:pPr>
        <w:pStyle w:val="BodyText"/>
      </w:pPr>
      <w:r>
        <w:t xml:space="preserve">Moderate Availability Scenario (Limited GPU Time): Training proceeds with reduced patch sizes (64³) and fewer epochs (50 maximum). The template matching branch is simplified by reducing template library size. Early stopping with aggressive patience (10 epochs) prevents unnecessary computation.</w:t>
      </w:r>
    </w:p>
    <w:p>
      <w:pPr>
        <w:pStyle w:val="BodyText"/>
      </w:pPr>
      <w:r>
        <w:t xml:space="preserve">Low Availability Scenario (Minimal Cluster Access): Training proceeds on CPU-compatible framework with pre-trained weights from the existing prototype. The hybrid model is simplified to template matching features plus lightweight classifier (logistic regression or small MLP) rather than full deep learning. Results are validated on smaller held-out subset rather than full validation set.</w:t>
      </w:r>
    </w:p>
    <w:p>
      <w:pPr>
        <w:pStyle w:val="BodyText"/>
      </w:pPr>
      <w:r>
        <w:t xml:space="preserve">Cloud Backup Protocol: In the event of extended cluster unavailability, cloud GPU resources (AWS/GCP education credits) provide emergency backup. Estimated additional cost of KES 35,000 covers 50 hours of cloud GPU training sufficient for model convergence.</w:t>
      </w:r>
    </w:p>
    <w:bookmarkEnd w:id="62"/>
    <w:bookmarkStart w:id="63" w:name="minimum-viable-product-definition"/>
    <w:p>
      <w:pPr>
        <w:pStyle w:val="Heading3"/>
      </w:pPr>
      <w:r>
        <w:t xml:space="preserve">Minimum Viable Product Definition</w:t>
      </w:r>
    </w:p>
    <w:p>
      <w:pPr>
        <w:pStyle w:val="FirstParagraph"/>
      </w:pPr>
      <w:r>
        <w:t xml:space="preserve">The minimum viable product (MVP) defines the essential deliverables that constitute a successful thesis regardless of encountered challenges. This MVP ensures that the core research questions are addressed even under the most constrained scenarios.</w:t>
      </w:r>
    </w:p>
    <w:p>
      <w:pPr>
        <w:pStyle w:val="BodyText"/>
      </w:pPr>
      <w:r>
        <w:t xml:space="preserve">MVP Technical Requirements: The minimum viable technical deliverable is a trained hybrid detection model combining template matching features with a classification head, achieving validation AUC-ROC greater than 0.75 (demonstrating discriminative ability above random chance), and demonstrating non-zero sensitivity (detecting at least some positive cases). The model must be deployable as a functional prototype at the existing web address, enabling demonstration of end-to-end functionality.</w:t>
      </w:r>
    </w:p>
    <w:p>
      <w:pPr>
        <w:pStyle w:val="BodyText"/>
      </w:pPr>
      <w:r>
        <w:rPr>
          <w:bCs/>
          <w:b/>
        </w:rPr>
        <w:t xml:space="preserve">MVP Evaluation Requirements</w:t>
      </w:r>
      <w:r>
        <w:t xml:space="preserve">: The minimum viable evaluation comprises primary performance metrics (AUC-ROC, sensitivity, specificity) on the RSNA-ICA validation set, basic demographic subgroup analysis using available metadata, and comparison against a simple baseline (e.g., logistic regression on radiomic features alone).</w:t>
      </w:r>
    </w:p>
    <w:p>
      <w:pPr>
        <w:pStyle w:val="BodyText"/>
      </w:pPr>
      <w:r>
        <w:rPr>
          <w:bCs/>
          <w:b/>
        </w:rPr>
        <w:t xml:space="preserve">MVP Deliverables:</w:t>
      </w:r>
      <w:r>
        <w:t xml:space="preserve"> </w:t>
      </w:r>
      <w:r>
        <w:t xml:space="preserve">The minimum viable thesis includes a complete literature review and methodology chapter, results chapter with MVP evaluation, discussion addressing the primary research questions, and preliminary implementation recommendations based on available evidence.</w:t>
      </w:r>
    </w:p>
    <w:p>
      <w:pPr>
        <w:pStyle w:val="BodyText"/>
      </w:pPr>
      <w:r>
        <w:rPr>
          <w:bCs/>
          <w:b/>
        </w:rPr>
        <w:t xml:space="preserve">Scope Reduction Protocol</w:t>
      </w:r>
      <w:r>
        <w:t xml:space="preserve">: If compression becomes necessary, the following scope reductions are implemented in order: defer radiomic feature integration to future work (saves approximately two weeks), reduce ablation study depth to essential comparisons only (saves approximately one week), simplify fairness assessment to automated subgroup analysis without stakeholder interviews (saves approximately two weeks), and defer full deployment feasibility study to preliminary recommendations based on literature (saves approximately three weeks).</w:t>
      </w:r>
    </w:p>
    <w:bookmarkEnd w:id="63"/>
    <w:bookmarkEnd w:id="64"/>
    <w:bookmarkEnd w:id="65"/>
    <w:bookmarkStart w:id="90" w:name="references"/>
    <w:p>
      <w:pPr>
        <w:pStyle w:val="Heading1"/>
      </w:pPr>
      <w:r>
        <w:t xml:space="preserve">REFERENCES</w:t>
      </w:r>
    </w:p>
    <w:p>
      <w:pPr>
        <w:pStyle w:val="FirstParagraph"/>
      </w:pPr>
      <w:r>
        <w:t xml:space="preserve">Abramson, J., Adler, J., Dunger, J., Evans, R., Green, T., Pritzel, A., et al. (2024). Accurate structure prediction of biomolecular interactions with AlphaFold 3.</w:t>
      </w:r>
      <w:r>
        <w:t xml:space="preserve"> </w:t>
      </w:r>
      <w:r>
        <w:rPr>
          <w:iCs/>
          <w:i/>
        </w:rPr>
        <w:t xml:space="preserve">Nature</w:t>
      </w:r>
      <w:r>
        <w:t xml:space="preserve">, 630(8016), 493–500. https://doi.org/10.1038/s41586-024-07487-w</w:t>
      </w:r>
    </w:p>
    <w:p>
      <w:pPr>
        <w:pStyle w:val="BodyText"/>
      </w:pPr>
      <w:r>
        <w:t xml:space="preserve">Alaran, A. J., et al. (2025). Challenges and opportunities of artificial intelligence in African health space.</w:t>
      </w:r>
      <w:r>
        <w:t xml:space="preserve"> </w:t>
      </w:r>
      <w:r>
        <w:rPr>
          <w:iCs/>
          <w:i/>
        </w:rPr>
        <w:t xml:space="preserve">Digital Health</w:t>
      </w:r>
      <w:r>
        <w:t xml:space="preserve">, 11. https://doi.org/10.1177/20552076241305915</w:t>
      </w:r>
    </w:p>
    <w:p>
      <w:pPr>
        <w:pStyle w:val="BodyText"/>
      </w:pPr>
      <w:r>
        <w:t xml:space="preserve">Ardila, D., Kiraly, A. P., Bharadwaj, S., Choi, B., Reicher, J. J., Peng, L., Shetty, S., et al. (2019). End-to-end lung cancer screening with three-dimensional deep learning on low-dose chest computed tomography.</w:t>
      </w:r>
      <w:r>
        <w:t xml:space="preserve"> </w:t>
      </w:r>
      <w:r>
        <w:rPr>
          <w:iCs/>
          <w:i/>
        </w:rPr>
        <w:t xml:space="preserve">Nature Medicine</w:t>
      </w:r>
      <w:r>
        <w:t xml:space="preserve">, 25(6), 954–961.</w:t>
      </w:r>
      <w:r>
        <w:t xml:space="preserve"> </w:t>
      </w:r>
      <w:hyperlink r:id="rId66">
        <w:r>
          <w:rPr>
            <w:rStyle w:val="Hyperlink"/>
          </w:rPr>
          <w:t xml:space="preserve">https://doi.org/10.1038/s41591-019-0447-x</w:t>
        </w:r>
      </w:hyperlink>
    </w:p>
    <w:p>
      <w:pPr>
        <w:pStyle w:val="BodyText"/>
      </w:pPr>
      <w:r>
        <w:t xml:space="preserve">AWS Registry of Open Data. (2025). RSNA Intracranial Aneurysm Detection Dataset. Amazon Web Services.</w:t>
      </w:r>
      <w:r>
        <w:t xml:space="preserve"> </w:t>
      </w:r>
      <w:hyperlink r:id="rId67">
        <w:r>
          <w:rPr>
            <w:rStyle w:val="Hyperlink"/>
          </w:rPr>
          <w:t xml:space="preserve">https://registry.opendata.aws/rsna-aneurysm-detection/</w:t>
        </w:r>
      </w:hyperlink>
    </w:p>
    <w:p>
      <w:pPr>
        <w:pStyle w:val="BodyText"/>
      </w:pPr>
      <w:r>
        <w:t xml:space="preserve">Aykaç, E., Göksungur, G., Albayrak, G. S., &amp; Yüksel, M. E. (2025). A Mask R-CNN-Based Approach for Brain Aneurysm Detection and Segmentation from TOF-MRA Data.</w:t>
      </w:r>
      <w:r>
        <w:t xml:space="preserve"> </w:t>
      </w:r>
      <w:r>
        <w:rPr>
          <w:iCs/>
          <w:i/>
        </w:rPr>
        <w:t xml:space="preserve">Brain Sciences 2025, Vol. 15, Page 1295</w:t>
      </w:r>
      <w:r>
        <w:t xml:space="preserve">,</w:t>
      </w:r>
      <w:r>
        <w:t xml:space="preserve"> </w:t>
      </w:r>
      <w:r>
        <w:rPr>
          <w:iCs/>
          <w:i/>
        </w:rPr>
        <w:t xml:space="preserve">15</w:t>
      </w:r>
      <w:r>
        <w:t xml:space="preserve">(12), 1295. https://doi.org/10.3390/BRAINSCI15121295</w:t>
      </w:r>
    </w:p>
    <w:p>
      <w:pPr>
        <w:pStyle w:val="BodyText"/>
      </w:pPr>
      <w:r>
        <w:t xml:space="preserve">Bowman, G. R. (2024). AlphaFold and protein folding: Not dead yet! The frontier is conformational ensembles.</w:t>
      </w:r>
      <w:r>
        <w:t xml:space="preserve"> </w:t>
      </w:r>
      <w:r>
        <w:rPr>
          <w:iCs/>
          <w:i/>
        </w:rPr>
        <w:t xml:space="preserve">Annual Review of Biomedical Data Science</w:t>
      </w:r>
      <w:r>
        <w:t xml:space="preserve">, 7, 51–67. https://doi.org/10.1146/annurev-biodatasci-102423-011435</w:t>
      </w:r>
    </w:p>
    <w:p>
      <w:pPr>
        <w:pStyle w:val="BodyText"/>
      </w:pPr>
      <w:r>
        <w:t xml:space="preserve">Brin, D., &amp; Tau, N. (2026). Cost-effectiveness of artificial intelligence tools in radiology: A systematic review.</w:t>
      </w:r>
      <w:r>
        <w:t xml:space="preserve"> </w:t>
      </w:r>
      <w:r>
        <w:rPr>
          <w:iCs/>
          <w:i/>
        </w:rPr>
        <w:t xml:space="preserve">European Radiology</w:t>
      </w:r>
      <w:r>
        <w:t xml:space="preserve">, 36(5), 3755–3765.</w:t>
      </w:r>
      <w:r>
        <w:t xml:space="preserve"> </w:t>
      </w:r>
      <w:hyperlink r:id="rId68">
        <w:r>
          <w:rPr>
            <w:rStyle w:val="Hyperlink"/>
          </w:rPr>
          <w:t xml:space="preserve">https://doi.org/10.1007/s00330-025-12242-4</w:t>
        </w:r>
      </w:hyperlink>
    </w:p>
    <w:p>
      <w:pPr>
        <w:pStyle w:val="BodyText"/>
      </w:pPr>
      <w:r>
        <w:t xml:space="preserve">Cardoso, M. J., Li, W., Brown, R., Ma, N., Kerfoot, E., Wang, Y., Murrey, B., et al. (2022).</w:t>
      </w:r>
      <w:r>
        <w:t xml:space="preserve"> </w:t>
      </w:r>
      <w:r>
        <w:rPr>
          <w:iCs/>
          <w:i/>
        </w:rPr>
        <w:t xml:space="preserve">MONAI: An open-source framework for deep learning in healthcare</w:t>
      </w:r>
      <w:r>
        <w:t xml:space="preserve"> </w:t>
      </w:r>
      <w:r>
        <w:t xml:space="preserve">(arXiv:2211.02701). arXiv.</w:t>
      </w:r>
      <w:r>
        <w:t xml:space="preserve"> </w:t>
      </w:r>
      <w:hyperlink r:id="rId69">
        <w:r>
          <w:rPr>
            <w:rStyle w:val="Hyperlink"/>
          </w:rPr>
          <w:t xml:space="preserve">https://doi.org/10.48550/arXiv.2211.02701</w:t>
        </w:r>
      </w:hyperlink>
    </w:p>
    <w:p>
      <w:pPr>
        <w:pStyle w:val="BodyText"/>
      </w:pPr>
      <w:r>
        <w:t xml:space="preserve">Ceballos-Arroyo, A. M., Nguyen, H. T., Zhu, F., Yadav, S. M., Kim, J., Qin, L., &amp; Jiang, H. (2024, October). Vessel-aware aneurysm detection using multi-scale deformable 3D attention. In P</w:t>
      </w:r>
      <w:r>
        <w:rPr>
          <w:iCs/>
          <w:i/>
        </w:rPr>
        <w:t xml:space="preserve">roceedings of the International Conference on Medical Image Computing and Computer-Assisted Intervention</w:t>
      </w:r>
      <w:r>
        <w:t xml:space="preserve"> </w:t>
      </w:r>
      <w:r>
        <w:t xml:space="preserve">(pp. 754–765). Springer. https://doi.org/10.1007/978-3-031-72086-4_71</w:t>
      </w:r>
    </w:p>
    <w:p>
      <w:pPr>
        <w:pStyle w:val="BodyText"/>
      </w:pPr>
      <w:r>
        <w:t xml:space="preserve">Chen, T., Kornblith, S., Swersky, K., Norouzi, M., &amp; Hinton, G. E. (2020). Big self-supervised models are strong semi-supervised learners.</w:t>
      </w:r>
      <w:r>
        <w:t xml:space="preserve"> </w:t>
      </w:r>
      <w:r>
        <w:rPr>
          <w:iCs/>
          <w:i/>
        </w:rPr>
        <w:t xml:space="preserve">Advances in Neural Information Processing Systems</w:t>
      </w:r>
      <w:r>
        <w:t xml:space="preserve">, 33, 22243–22255.</w:t>
      </w:r>
    </w:p>
    <w:p>
      <w:pPr>
        <w:pStyle w:val="BodyText"/>
      </w:pPr>
      <w:r>
        <w:t xml:space="preserve">Chukwudelunzu, F. E., &amp; Mbonde, A. A. (2024). Stroke care in sub-Saharan Africa: Evaluating the present landscape and proposing strategies for improving outcomes.</w:t>
      </w:r>
      <w:r>
        <w:t xml:space="preserve"> </w:t>
      </w:r>
      <w:r>
        <w:rPr>
          <w:iCs/>
          <w:i/>
        </w:rPr>
        <w:t xml:space="preserve">Advanced Neurology</w:t>
      </w:r>
      <w:r>
        <w:t xml:space="preserve">,</w:t>
      </w:r>
      <w:r>
        <w:t xml:space="preserve"> </w:t>
      </w:r>
      <w:r>
        <w:rPr>
          <w:iCs/>
          <w:i/>
        </w:rPr>
        <w:t xml:space="preserve">3</w:t>
      </w:r>
      <w:r>
        <w:t xml:space="preserve">(2). https://doi.org/10.36922/AN.2804</w:t>
      </w:r>
    </w:p>
    <w:p>
      <w:pPr>
        <w:pStyle w:val="BodyText"/>
      </w:pPr>
      <w:r>
        <w:t xml:space="preserve">Curl, P. K., Jacob, A., Bresnahan, B., Cross, N. M., &amp; Jarvik, J. G. (2024). Cost-effectiveness of artificial intelligence–based opportunistic compression fracture screening of existing radiographs.</w:t>
      </w:r>
      <w:r>
        <w:t xml:space="preserve"> </w:t>
      </w:r>
      <w:r>
        <w:rPr>
          <w:iCs/>
          <w:i/>
        </w:rPr>
        <w:t xml:space="preserve">Journal of the American College of Radiology</w:t>
      </w:r>
      <w:r>
        <w:t xml:space="preserve">, 21(9), 1489–1496.</w:t>
      </w:r>
      <w:r>
        <w:t xml:space="preserve"> </w:t>
      </w:r>
      <w:hyperlink r:id="rId70">
        <w:r>
          <w:rPr>
            <w:rStyle w:val="Hyperlink"/>
          </w:rPr>
          <w:t xml:space="preserve">https://doi.org/10.1016/j.jacr.2023.11.029</w:t>
        </w:r>
      </w:hyperlink>
    </w:p>
    <w:p>
      <w:pPr>
        <w:pStyle w:val="BodyText"/>
      </w:pPr>
      <w:r>
        <w:t xml:space="preserve">Damschroder, L. J., Aron, D. C., Keith, R. E., Kirsh, S. R., Alexander, J. A., &amp; Lowery, J. C. (2009). Fostering implementation of health services research findings into practice: A consolidated framework for advancing implementation science.</w:t>
      </w:r>
      <w:r>
        <w:t xml:space="preserve"> </w:t>
      </w:r>
      <w:r>
        <w:rPr>
          <w:iCs/>
          <w:i/>
        </w:rPr>
        <w:t xml:space="preserve">Implementation Science</w:t>
      </w:r>
      <w:r>
        <w:t xml:space="preserve">,</w:t>
      </w:r>
      <w:r>
        <w:t xml:space="preserve"> </w:t>
      </w:r>
      <w:r>
        <w:rPr>
          <w:iCs/>
          <w:i/>
        </w:rPr>
        <w:t xml:space="preserve">4</w:t>
      </w:r>
      <w:r>
        <w:t xml:space="preserve">(1), 50. https://doi.org/10.1186/1748-5908-4-50</w:t>
      </w:r>
    </w:p>
    <w:p>
      <w:pPr>
        <w:pStyle w:val="BodyText"/>
      </w:pPr>
      <w:r>
        <w:t xml:space="preserve">De Liyis, B. G., Nathania, N., Hartono, O., Alhaq, A. M. G., Sihombing, E. J. N., Hafif, M., Kusdiansah, M., Lang, M. J., Arham, A., Benet, A., &amp; July, J. (2026). Shifting the paradigm in intracranial aneurysm detection with deep learning: A diagnostic accuracy meta-analysis and meta-regression.</w:t>
      </w:r>
      <w:r>
        <w:t xml:space="preserve"> </w:t>
      </w:r>
      <w:r>
        <w:rPr>
          <w:iCs/>
          <w:i/>
        </w:rPr>
        <w:t xml:space="preserve">Neurosurgical Review</w:t>
      </w:r>
      <w:r>
        <w:t xml:space="preserve">, 49(1), 259. https://doi.org/10.1007/s10143-026-04196-y</w:t>
      </w:r>
    </w:p>
    <w:p>
      <w:pPr>
        <w:pStyle w:val="BodyText"/>
      </w:pPr>
      <w:r>
        <w:t xml:space="preserve">Delfan, N., Abbasi, F., Emamzadeh, N., Bahri, A., Rizi, M. P., Motamedi, A., et al. (2025). Advancing intracranial aneurysm detection: A comprehensive systematic review and meta-analysis of deep learning models performance, clinical integration, and future directions. Journal of Clinical Neuroscience, 136, 111243.</w:t>
      </w:r>
      <w:r>
        <w:t xml:space="preserve"> </w:t>
      </w:r>
      <w:hyperlink r:id="rId71">
        <w:r>
          <w:rPr>
            <w:rStyle w:val="Hyperlink"/>
          </w:rPr>
          <w:t xml:space="preserve">https://doi.org/10.1016/j.jocn.2025.111243</w:t>
        </w:r>
      </w:hyperlink>
    </w:p>
    <w:p>
      <w:pPr>
        <w:pStyle w:val="BodyText"/>
      </w:pPr>
      <w:r>
        <w:t xml:space="preserve">GBD 2021 Stroke Risk Factor Collaborators. (2024). Global, regional, and national burden of stroke and its risk factors, 1990–2021: A systematic analysis for the Global Burden of Disease Study 2021.</w:t>
      </w:r>
      <w:r>
        <w:t xml:space="preserve"> </w:t>
      </w:r>
      <w:r>
        <w:rPr>
          <w:iCs/>
          <w:i/>
        </w:rPr>
        <w:t xml:space="preserve">The Lancet Neurology</w:t>
      </w:r>
      <w:r>
        <w:t xml:space="preserve">, 23(10), 973–1003. https://doi.org/10.1016/S1474-4422(24)00369-7</w:t>
      </w:r>
    </w:p>
    <w:p>
      <w:pPr>
        <w:pStyle w:val="BodyText"/>
      </w:pPr>
      <w:r>
        <w:t xml:space="preserve">Ghassemi, M., Oakden-Rayner, L., &amp; Beam, A. L. (2021). The false hope of current approaches to explainable artificial intelligence in health care.</w:t>
      </w:r>
      <w:r>
        <w:t xml:space="preserve"> </w:t>
      </w:r>
      <w:r>
        <w:rPr>
          <w:iCs/>
          <w:i/>
        </w:rPr>
        <w:t xml:space="preserve">The Lancet Digital Health</w:t>
      </w:r>
      <w:r>
        <w:t xml:space="preserve">, 3(11), e745–e750.</w:t>
      </w:r>
    </w:p>
    <w:p>
      <w:pPr>
        <w:pStyle w:val="BodyText"/>
      </w:pPr>
      <w:r>
        <w:t xml:space="preserve">Gichoya, J. W., Thomas, K., &amp; others. (2022). AI in health: Examining sources of algorithmic bias in healthcare.</w:t>
      </w:r>
      <w:r>
        <w:t xml:space="preserve"> </w:t>
      </w:r>
      <w:r>
        <w:rPr>
          <w:iCs/>
          <w:i/>
        </w:rPr>
        <w:t xml:space="preserve">Nature Medicine</w:t>
      </w:r>
      <w:r>
        <w:t xml:space="preserve">, 28(4), 654-660.</w:t>
      </w:r>
    </w:p>
    <w:p>
      <w:pPr>
        <w:pStyle w:val="BodyText"/>
      </w:pPr>
      <w:r>
        <w:t xml:space="preserve">Hasanzadeh, F., Josephson, C. B., Waters, G., Adedinsewo, D., Azizi, Z., &amp; White, J. A. (2025). Bias recognition and mitigation strategies in artificial intelligence healthcare applications.</w:t>
      </w:r>
      <w:r>
        <w:t xml:space="preserve"> </w:t>
      </w:r>
      <w:r>
        <w:rPr>
          <w:iCs/>
          <w:i/>
        </w:rPr>
        <w:t xml:space="preserve">NPJ Digital Medicine</w:t>
      </w:r>
      <w:r>
        <w:t xml:space="preserve">, 8(1), 154. https://doi.org/10.1038/s41746-025-01503-7</w:t>
      </w:r>
    </w:p>
    <w:p>
      <w:pPr>
        <w:pStyle w:val="BodyText"/>
      </w:pPr>
      <w:r>
        <w:t xml:space="preserve">Hiligsmann, M., Silverman, S. L., &amp; Reginster, J.-Y. (2025). Cost-effectiveness of opportunistic osteoporosis screening using chest radiographs with deep learning in the United States.</w:t>
      </w:r>
      <w:r>
        <w:t xml:space="preserve"> </w:t>
      </w:r>
      <w:r>
        <w:rPr>
          <w:iCs/>
          <w:i/>
        </w:rPr>
        <w:t xml:space="preserve">Journal of the American College of Radiology</w:t>
      </w:r>
      <w:r>
        <w:t xml:space="preserve">.</w:t>
      </w:r>
      <w:r>
        <w:t xml:space="preserve"> </w:t>
      </w:r>
      <w:hyperlink r:id="rId72">
        <w:r>
          <w:rPr>
            <w:rStyle w:val="Hyperlink"/>
          </w:rPr>
          <w:t xml:space="preserve">https://doi.org/10.1016/j.jacr.2025.07.028</w:t>
        </w:r>
      </w:hyperlink>
    </w:p>
    <w:p>
      <w:pPr>
        <w:pStyle w:val="BodyText"/>
      </w:pPr>
      <w:r>
        <w:t xml:space="preserve">Hricak, H., Cerri, G. G., Brkljacic, B., et al. (2026). World Health Assembly resolution strengthening medical imaging capacity: Impact on medical imaging globally.</w:t>
      </w:r>
      <w:r>
        <w:t xml:space="preserve"> </w:t>
      </w:r>
      <w:r>
        <w:rPr>
          <w:iCs/>
          <w:i/>
        </w:rPr>
        <w:t xml:space="preserve">Radiology</w:t>
      </w:r>
      <w:r>
        <w:t xml:space="preserve">, 318(3), e253580.</w:t>
      </w:r>
      <w:r>
        <w:t xml:space="preserve"> </w:t>
      </w:r>
      <w:hyperlink r:id="rId73">
        <w:r>
          <w:rPr>
            <w:rStyle w:val="Hyperlink"/>
          </w:rPr>
          <w:t xml:space="preserve">https://doi.org/10.1148/radiol.253580</w:t>
        </w:r>
      </w:hyperlink>
    </w:p>
    <w:p>
      <w:pPr>
        <w:pStyle w:val="BodyText"/>
      </w:pPr>
      <w:r>
        <w:t xml:space="preserve">Indrakanti, A. K., Wasserthal, J., Segeroth, M., Yang, S., Nicoli, A. P., Schulze-Zachau, V., et al (2025). Multi-centric AI Model for Unruptured Intracranial Aneurysm Detection and Volumetric Segmentation in 3D TOF-MRI.</w:t>
      </w:r>
      <w:r>
        <w:t xml:space="preserve"> </w:t>
      </w:r>
      <w:r>
        <w:rPr>
          <w:iCs/>
          <w:i/>
        </w:rPr>
        <w:t xml:space="preserve">Journal of Imaging Informatics in Medicine</w:t>
      </w:r>
      <w:r>
        <w:t xml:space="preserve">, 2025 39:1, 39(1), 345–354. https://doi.org/10.1007/S10278-025-01533-3</w:t>
      </w:r>
    </w:p>
    <w:p>
      <w:pPr>
        <w:pStyle w:val="BodyText"/>
      </w:pPr>
      <w:r>
        <w:t xml:space="preserve">Insights10. (2024). Kenya radiology service market analysis 2023–2030. https://www.insights10.com/report/kenya-radiology-service-market-analysis/</w:t>
      </w:r>
    </w:p>
    <w:p>
      <w:pPr>
        <w:pStyle w:val="BodyText"/>
      </w:pPr>
      <w:r>
        <w:t xml:space="preserve">Joo, B. (2025). Methodological challenges in deep learning-based detection of intracranial aneurysms: A scoping review.</w:t>
      </w:r>
      <w:r>
        <w:t xml:space="preserve"> </w:t>
      </w:r>
      <w:r>
        <w:rPr>
          <w:iCs/>
          <w:i/>
        </w:rPr>
        <w:t xml:space="preserve">Neurointervention</w:t>
      </w:r>
      <w:r>
        <w:t xml:space="preserve">, 20(2), 52–65.</w:t>
      </w:r>
      <w:r>
        <w:t xml:space="preserve"> </w:t>
      </w:r>
      <w:hyperlink r:id="rId74">
        <w:r>
          <w:rPr>
            <w:rStyle w:val="Hyperlink"/>
          </w:rPr>
          <w:t xml:space="preserve">https://doi.org/10.5469/neuroint.2025.00283</w:t>
        </w:r>
      </w:hyperlink>
    </w:p>
    <w:p>
      <w:pPr>
        <w:pStyle w:val="BodyText"/>
      </w:pPr>
      <w:r>
        <w:t xml:space="preserve">Jumper, J., Evans, R., Pritzel, A., Green, T., Figurnov, M., Ronneberger, O., et al. (2021). Highly accurate protein structure prediction with AlphaFold.</w:t>
      </w:r>
      <w:r>
        <w:t xml:space="preserve"> </w:t>
      </w:r>
      <w:r>
        <w:rPr>
          <w:iCs/>
          <w:i/>
        </w:rPr>
        <w:t xml:space="preserve">Nature,</w:t>
      </w:r>
      <w:r>
        <w:t xml:space="preserve"> </w:t>
      </w:r>
      <w:r>
        <w:t xml:space="preserve">596(7873), 583–589.</w:t>
      </w:r>
      <w:r>
        <w:t xml:space="preserve"> </w:t>
      </w:r>
      <w:hyperlink r:id="rId75">
        <w:r>
          <w:rPr>
            <w:rStyle w:val="Hyperlink"/>
          </w:rPr>
          <w:t xml:space="preserve">https://doi.org/10.1038/s41586-021-03819-2</w:t>
        </w:r>
      </w:hyperlink>
    </w:p>
    <w:p>
      <w:pPr>
        <w:pStyle w:val="BodyText"/>
      </w:pPr>
      <w:r>
        <w:t xml:space="preserve">Kaduka, L., Korir, A., Oduor, C. O., Kwasa, J., Mbui, J., Wabwire, S., Gakunga, R., Okerosi, N., et al. (2018). Stroke distribution patterns and characteristics in Kenya’s leading public health tertiary institutions: Kenyatta National hospital and moi teaching and referral hospital.</w:t>
      </w:r>
      <w:r>
        <w:t xml:space="preserve"> </w:t>
      </w:r>
      <w:r>
        <w:rPr>
          <w:iCs/>
          <w:i/>
        </w:rPr>
        <w:t xml:space="preserve">Cardiovascular Journal of Africa</w:t>
      </w:r>
      <w:r>
        <w:t xml:space="preserve">,</w:t>
      </w:r>
      <w:r>
        <w:t xml:space="preserve"> </w:t>
      </w:r>
      <w:r>
        <w:rPr>
          <w:iCs/>
          <w:i/>
        </w:rPr>
        <w:t xml:space="preserve">29</w:t>
      </w:r>
      <w:r>
        <w:t xml:space="preserve">(2), 68–72. https://doi.org/10.5830/CVJA-2017-046</w:t>
      </w:r>
    </w:p>
    <w:p>
      <w:pPr>
        <w:pStyle w:val="BodyText"/>
      </w:pPr>
      <w:r>
        <w:t xml:space="preserve">Kenya Medical Practitioners and Dentists Council. (2026).</w:t>
      </w:r>
      <w:r>
        <w:t xml:space="preserve"> </w:t>
      </w:r>
      <w:r>
        <w:rPr>
          <w:iCs/>
          <w:i/>
        </w:rPr>
        <w:t xml:space="preserve">Register of medical and dental practitioners</w:t>
      </w:r>
      <w:r>
        <w:t xml:space="preserve">.</w:t>
      </w:r>
      <w:r>
        <w:t xml:space="preserve"> </w:t>
      </w:r>
      <w:hyperlink r:id="rId76">
        <w:r>
          <w:rPr>
            <w:rStyle w:val="Hyperlink"/>
          </w:rPr>
          <w:t xml:space="preserve">https://kmpdc.go.ke/</w:t>
        </w:r>
      </w:hyperlink>
    </w:p>
    <w:p>
      <w:pPr>
        <w:pStyle w:val="BodyText"/>
      </w:pPr>
      <w:r>
        <w:t xml:space="preserve">Kreinovich, V., &amp; Kosheleva, O. (2021). Optimization Under Uncertainty Explains Empirical Success of Deep Learning Heuristics.</w:t>
      </w:r>
      <w:r>
        <w:t xml:space="preserve"> </w:t>
      </w:r>
      <w:r>
        <w:rPr>
          <w:iCs/>
          <w:i/>
        </w:rPr>
        <w:t xml:space="preserve">Springer Optimization and Its Applications</w:t>
      </w:r>
      <w:r>
        <w:t xml:space="preserve">,</w:t>
      </w:r>
      <w:r>
        <w:t xml:space="preserve"> </w:t>
      </w:r>
      <w:r>
        <w:rPr>
          <w:iCs/>
          <w:i/>
        </w:rPr>
        <w:t xml:space="preserve">170</w:t>
      </w:r>
      <w:r>
        <w:t xml:space="preserve">, 195–220. https://doi.org/10.1007/978-3-030-66515-9_8/</w:t>
      </w:r>
    </w:p>
    <w:p>
      <w:pPr>
        <w:pStyle w:val="BodyText"/>
      </w:pPr>
      <w:r>
        <w:t xml:space="preserve">Litjens, G., Kooi, T., Bejnordi, B. E., Setio, A. A. A., Ciompi, F., Ghafoorian, M., van der Laak, J. A. W. M., van Ginneken, B., &amp; Sánchez, C. I. (2017). A survey on deep learning in medical image analysis.</w:t>
      </w:r>
      <w:r>
        <w:t xml:space="preserve"> </w:t>
      </w:r>
      <w:r>
        <w:rPr>
          <w:iCs/>
          <w:i/>
        </w:rPr>
        <w:t xml:space="preserve">Medical Image Analysis</w:t>
      </w:r>
      <w:r>
        <w:t xml:space="preserve">, 42, 60–88. https://doi.org/10.1016/j.media.2017.07.005</w:t>
      </w:r>
    </w:p>
    <w:p>
      <w:pPr>
        <w:pStyle w:val="BodyText"/>
      </w:pPr>
      <w:r>
        <w:t xml:space="preserve">Liu, X., Faes, L., Kale, A. U., Wagner, S. K., Fu, D. J., Bruynseels, A., et al. (2019). A comparison of deep learning performance against health-care professionals in detecting diseases from medical imaging: A systematic review and meta-analysis.</w:t>
      </w:r>
      <w:r>
        <w:t xml:space="preserve"> </w:t>
      </w:r>
      <w:r>
        <w:rPr>
          <w:iCs/>
          <w:i/>
        </w:rPr>
        <w:t xml:space="preserve">The Lancet Digital Health</w:t>
      </w:r>
      <w:r>
        <w:t xml:space="preserve">, 1(6), e271–e297.</w:t>
      </w:r>
      <w:r>
        <w:t xml:space="preserve"> </w:t>
      </w:r>
      <w:hyperlink r:id="rId77">
        <w:r>
          <w:rPr>
            <w:rStyle w:val="Hyperlink"/>
          </w:rPr>
          <w:t xml:space="preserve">https://doi.org/10.1016/S2589-7500(19)30123-2</w:t>
        </w:r>
      </w:hyperlink>
    </w:p>
    <w:p>
      <w:pPr>
        <w:pStyle w:val="BodyText"/>
      </w:pPr>
      <w:r>
        <w:t xml:space="preserve">Ministry of Health. (2023).</w:t>
      </w:r>
      <w:r>
        <w:t xml:space="preserve"> </w:t>
      </w:r>
      <w:r>
        <w:rPr>
          <w:iCs/>
          <w:i/>
        </w:rPr>
        <w:t xml:space="preserve">Health labour market analysis for Kenya. Government of Kenya</w:t>
      </w:r>
      <w:r>
        <w:t xml:space="preserve">.</w:t>
      </w:r>
      <w:r>
        <w:t xml:space="preserve"> </w:t>
      </w:r>
      <w:hyperlink r:id="rId78">
        <w:r>
          <w:rPr>
            <w:rStyle w:val="Hyperlink"/>
          </w:rPr>
          <w:t xml:space="preserve">https://labourmarket.go.ke/media/resources/Final_Kenya_HLMA_Report_2023_v8.pdf</w:t>
        </w:r>
      </w:hyperlink>
    </w:p>
    <w:p>
      <w:pPr>
        <w:pStyle w:val="BodyText"/>
      </w:pPr>
      <w:r>
        <w:t xml:space="preserve">Ministry of Information, Communications and the Digital Economy. (2025).</w:t>
      </w:r>
      <w:r>
        <w:t xml:space="preserve"> </w:t>
      </w:r>
      <w:r>
        <w:rPr>
          <w:iCs/>
          <w:i/>
        </w:rPr>
        <w:t xml:space="preserve">Kenya artificial intelligence strategy</w:t>
      </w:r>
      <w:r>
        <w:t xml:space="preserve"> </w:t>
      </w:r>
      <w:r>
        <w:rPr>
          <w:iCs/>
          <w:i/>
        </w:rPr>
        <w:t xml:space="preserve">2025–2030</w:t>
      </w:r>
      <w:r>
        <w:t xml:space="preserve">. https://www.ict.go.ke/</w:t>
      </w:r>
    </w:p>
    <w:p>
      <w:pPr>
        <w:pStyle w:val="BodyText"/>
      </w:pPr>
      <w:r>
        <w:t xml:space="preserve">Obermeyer, Z., Powers, B., Vogeli, C., &amp; Mullainathan, S. (2019). Dissecting racial bias in an algorithm used to manage the health of populations.</w:t>
      </w:r>
      <w:r>
        <w:t xml:space="preserve"> </w:t>
      </w:r>
      <w:r>
        <w:rPr>
          <w:iCs/>
          <w:i/>
        </w:rPr>
        <w:t xml:space="preserve">Science</w:t>
      </w:r>
      <w:r>
        <w:t xml:space="preserve">, 366(6464), 447–453. https://doi.org/10.1126/science.aax2342</w:t>
      </w:r>
    </w:p>
    <w:p>
      <w:pPr>
        <w:pStyle w:val="BodyText"/>
      </w:pPr>
      <w:r>
        <w:t xml:space="preserve">Office of the Data Protection Commissioner. (2024).</w:t>
      </w:r>
      <w:r>
        <w:t xml:space="preserve"> </w:t>
      </w:r>
      <w:r>
        <w:rPr>
          <w:iCs/>
          <w:i/>
        </w:rPr>
        <w:t xml:space="preserve">Guidance note on the processing of health data</w:t>
      </w:r>
      <w:r>
        <w:t xml:space="preserve">. https://www.odpc.go.ke/</w:t>
      </w:r>
    </w:p>
    <w:p>
      <w:pPr>
        <w:pStyle w:val="BodyText"/>
      </w:pPr>
      <w:r>
        <w:t xml:space="preserve">Panch, T., Mattie, H., &amp; Atun, R. (2019). Artificial intelligence and algorithmic bias: Implications for health systems.</w:t>
      </w:r>
      <w:r>
        <w:t xml:space="preserve"> </w:t>
      </w:r>
      <w:r>
        <w:rPr>
          <w:iCs/>
          <w:i/>
        </w:rPr>
        <w:t xml:space="preserve">Journal of Global Health</w:t>
      </w:r>
      <w:r>
        <w:t xml:space="preserve">, 9(2), 020318.</w:t>
      </w:r>
      <w:r>
        <w:t xml:space="preserve"> </w:t>
      </w:r>
      <w:hyperlink r:id="rId79">
        <w:r>
          <w:rPr>
            <w:rStyle w:val="Hyperlink"/>
          </w:rPr>
          <w:t xml:space="preserve">https://doi.org/10.7189/jogh.09.010318</w:t>
        </w:r>
      </w:hyperlink>
    </w:p>
    <w:p>
      <w:pPr>
        <w:pStyle w:val="BodyText"/>
      </w:pPr>
      <w:r>
        <w:t xml:space="preserve">Radiological Society of North America. (2025).</w:t>
      </w:r>
      <w:r>
        <w:t xml:space="preserve"> </w:t>
      </w:r>
      <w:r>
        <w:rPr>
          <w:iCs/>
          <w:i/>
        </w:rPr>
        <w:t xml:space="preserve">RSNA intracranial aneurysm detection AI challenge</w:t>
      </w:r>
      <w:r>
        <w:t xml:space="preserve">.</w:t>
      </w:r>
      <w:r>
        <w:t xml:space="preserve"> </w:t>
      </w:r>
      <w:hyperlink r:id="rId80">
        <w:r>
          <w:rPr>
            <w:rStyle w:val="Hyperlink"/>
          </w:rPr>
          <w:t xml:space="preserve">https://www.rsna.org/artificial-intelligence/ai-image-challenge/intracranial-aneurysm-detection-ai-challenge</w:t>
        </w:r>
      </w:hyperlink>
    </w:p>
    <w:p>
      <w:pPr>
        <w:pStyle w:val="BodyText"/>
      </w:pPr>
      <w:r>
        <w:t xml:space="preserve">RSNA Intracranial Aneurysm Detection Dataset (RSNA-ICA) was accessed on May 13, 2026 from https://registry.opendata.aws/rsna-intracranial-aneurysm-detection-dataset.</w:t>
      </w:r>
    </w:p>
    <w:p>
      <w:pPr>
        <w:pStyle w:val="BodyText"/>
      </w:pPr>
      <w:r>
        <w:t xml:space="preserve">Radiology Business. (2024).</w:t>
      </w:r>
      <w:r>
        <w:t xml:space="preserve"> </w:t>
      </w:r>
      <w:r>
        <w:rPr>
          <w:iCs/>
          <w:i/>
        </w:rPr>
        <w:t xml:space="preserve">AI-based opportunistic screening for osteoporosis remains cost-effective below $62 per patient</w:t>
      </w:r>
      <w:r>
        <w:t xml:space="preserve">. https://radiologybusiness.com/topics/artificial-intelligence/opportunistic-ai-screening-osteoporosis-chest-x-ray-cost-effective-feasible</w:t>
      </w:r>
    </w:p>
    <w:p>
      <w:pPr>
        <w:pStyle w:val="BodyText"/>
      </w:pPr>
      <w:r>
        <w:t xml:space="preserve">Rajkomar, A., Hardt, M., Howell, M. D., Corrado, G., &amp; Chin, M. H. (2018). Ensuring fairness in machine learning to advance health equity.</w:t>
      </w:r>
      <w:r>
        <w:t xml:space="preserve"> </w:t>
      </w:r>
      <w:r>
        <w:rPr>
          <w:iCs/>
          <w:i/>
        </w:rPr>
        <w:t xml:space="preserve">Annals of Internal Medicine</w:t>
      </w:r>
      <w:r>
        <w:t xml:space="preserve">, 169(12), 866–872.</w:t>
      </w:r>
      <w:r>
        <w:t xml:space="preserve"> </w:t>
      </w:r>
      <w:hyperlink r:id="rId81">
        <w:r>
          <w:rPr>
            <w:rStyle w:val="Hyperlink"/>
          </w:rPr>
          <w:t xml:space="preserve">https://doi.org/10.7326/M18-1990</w:t>
        </w:r>
      </w:hyperlink>
    </w:p>
    <w:p>
      <w:pPr>
        <w:pStyle w:val="BodyText"/>
      </w:pPr>
      <w:r>
        <w:t xml:space="preserve">Rology. (2024). Kenya radiology workforce report: Addressing the shortage crisis.</w:t>
      </w:r>
      <w:r>
        <w:t xml:space="preserve"> </w:t>
      </w:r>
      <w:r>
        <w:rPr>
          <w:iCs/>
          <w:i/>
        </w:rPr>
        <w:t xml:space="preserve">Rology Healthcare Analytics</w:t>
      </w:r>
      <w:r>
        <w:t xml:space="preserve">. https://www.forbes.com/sites/andrewwight/2024/02/14/how-can-ai-help-more-people-access-radiology-in-kenya-and-egypt/</w:t>
      </w:r>
    </w:p>
    <w:p>
      <w:pPr>
        <w:pStyle w:val="BodyText"/>
      </w:pPr>
      <w:r>
        <w:t xml:space="preserve">Ronneberger, O., Fischer, P., &amp; Brox, T. (2015). U-Net: Convolutional networks for biomedical image segmentation. In</w:t>
      </w:r>
      <w:r>
        <w:t xml:space="preserve"> </w:t>
      </w:r>
      <w:r>
        <w:rPr>
          <w:iCs/>
          <w:i/>
        </w:rPr>
        <w:t xml:space="preserve">Lecture Notes in Computer Science</w:t>
      </w:r>
      <w:r>
        <w:t xml:space="preserve"> </w:t>
      </w:r>
      <w:r>
        <w:t xml:space="preserve">(Vol. 9351, pp. 234–241). Springer. https://doi.org/10.1007/978-3-319-24574-4_28</w:t>
      </w:r>
    </w:p>
    <w:p>
      <w:pPr>
        <w:pStyle w:val="BodyText"/>
      </w:pPr>
      <w:r>
        <w:t xml:space="preserve">RSNA Daily Bulletin. (2024).</w:t>
      </w:r>
      <w:r>
        <w:t xml:space="preserve"> </w:t>
      </w:r>
      <w:r>
        <w:rPr>
          <w:iCs/>
          <w:i/>
        </w:rPr>
        <w:t xml:space="preserve">Making the case for AI models in opportunistic screening</w:t>
      </w:r>
      <w:r>
        <w:t xml:space="preserve">.</w:t>
      </w:r>
    </w:p>
    <w:p>
      <w:pPr>
        <w:pStyle w:val="BodyText"/>
      </w:pPr>
      <w:r>
        <w:t xml:space="preserve">Seyyed-Kalantari, L., Liu, G., McDermott, M., Chen, I. Y., &amp; Ghassemi, M. (2021). CheXclusion: Fairness gaps in deep chest X-ray classifiers. In</w:t>
      </w:r>
      <w:r>
        <w:t xml:space="preserve"> </w:t>
      </w:r>
      <w:r>
        <w:rPr>
          <w:iCs/>
          <w:i/>
        </w:rPr>
        <w:t xml:space="preserve">Proceedings of the Pacific Symposium on Biocomputing</w:t>
      </w:r>
      <w:r>
        <w:t xml:space="preserve">, 232–243. https://doi.org/10.1142/9789811232701_0022</w:t>
      </w:r>
    </w:p>
    <w:p>
      <w:pPr>
        <w:pStyle w:val="BodyText"/>
      </w:pPr>
      <w:r>
        <w:t xml:space="preserve">Shamshad, F., Khan, S., Zamir, S. W., Khan, M. H., Hayat, M., Khan, F. S., &amp; Fu, H. (2023). Transformers in medical imaging: A survey.</w:t>
      </w:r>
      <w:r>
        <w:t xml:space="preserve"> </w:t>
      </w:r>
      <w:r>
        <w:rPr>
          <w:iCs/>
          <w:i/>
        </w:rPr>
        <w:t xml:space="preserve">Medical Image Analysis</w:t>
      </w:r>
      <w:r>
        <w:t xml:space="preserve">, 88, 102802.</w:t>
      </w:r>
      <w:r>
        <w:t xml:space="preserve"> </w:t>
      </w:r>
      <w:hyperlink r:id="rId82">
        <w:r>
          <w:rPr>
            <w:rStyle w:val="Hyperlink"/>
          </w:rPr>
          <w:t xml:space="preserve">https://doi.org/10.1016/j.media.2023.102802</w:t>
        </w:r>
      </w:hyperlink>
    </w:p>
    <w:p>
      <w:pPr>
        <w:pStyle w:val="BodyText"/>
      </w:pPr>
      <w:r>
        <w:t xml:space="preserve">Sichtermann, T., Faron, A., Sijben, R., Teichert, N., Freiherr, J., &amp; Wiesmann, M. (2019). Deep learning–based detection of intracranial aneurysms in 3D TOF-MRA.</w:t>
      </w:r>
      <w:r>
        <w:t xml:space="preserve"> </w:t>
      </w:r>
      <w:r>
        <w:rPr>
          <w:iCs/>
          <w:i/>
        </w:rPr>
        <w:t xml:space="preserve">American Journal of Neuroradiology</w:t>
      </w:r>
      <w:r>
        <w:t xml:space="preserve">, 40(1), 25–32.</w:t>
      </w:r>
      <w:r>
        <w:t xml:space="preserve"> </w:t>
      </w:r>
      <w:hyperlink r:id="rId83">
        <w:r>
          <w:rPr>
            <w:rStyle w:val="Hyperlink"/>
          </w:rPr>
          <w:t xml:space="preserve">https://doi.org/10.3174/ajnr.A5911</w:t>
        </w:r>
      </w:hyperlink>
    </w:p>
    <w:p>
      <w:pPr>
        <w:pStyle w:val="BodyText"/>
      </w:pPr>
      <w:r>
        <w:t xml:space="preserve">Song, M., Wang, S., Qian, Q., Zhou, Y., Luo, Y., Gong, X.,</w:t>
      </w:r>
      <w:r>
        <w:t xml:space="preserve"> </w:t>
      </w:r>
      <w:r>
        <w:rPr>
          <w:iCs/>
          <w:i/>
        </w:rPr>
        <w:t xml:space="preserve">et al</w:t>
      </w:r>
      <w:r>
        <w:t xml:space="preserve">. (2024). Intracranial aneurysm CTA images and 3D models dataset with clinical morphological and hemodynamic data.</w:t>
      </w:r>
      <w:r>
        <w:t xml:space="preserve"> </w:t>
      </w:r>
      <w:r>
        <w:rPr>
          <w:iCs/>
          <w:i/>
        </w:rPr>
        <w:t xml:space="preserve">Scientific Data</w:t>
      </w:r>
      <w:r>
        <w:t xml:space="preserve">, 11, 1213. https://doi.org/10.1038/s41597-024-04056-8</w:t>
      </w:r>
    </w:p>
    <w:p>
      <w:pPr>
        <w:pStyle w:val="BodyText"/>
      </w:pPr>
      <w:r>
        <w:t xml:space="preserve">The Senate of Kenya. (2026, February 19).</w:t>
      </w:r>
      <w:r>
        <w:t xml:space="preserve"> </w:t>
      </w:r>
      <w:r>
        <w:rPr>
          <w:iCs/>
          <w:i/>
        </w:rPr>
        <w:t xml:space="preserve">The Artificial Intelligence Bill, 2026 (Senate Bills No. 4 of 2025)</w:t>
      </w:r>
      <w:r>
        <w:t xml:space="preserve">. Parliament of Kenya.</w:t>
      </w:r>
      <w:r>
        <w:t xml:space="preserve"> </w:t>
      </w:r>
      <w:hyperlink r:id="rId84">
        <w:r>
          <w:rPr>
            <w:rStyle w:val="Hyperlink"/>
          </w:rPr>
          <w:t xml:space="preserve">https://www.parliament.go.ke/sites/default/files/2026-04/The%20Artificial%20Intelligence%20Bill%2C%202026%20%28Senate%20Bills%20No.4%20of%202025%29_0.pdf</w:t>
        </w:r>
      </w:hyperlink>
    </w:p>
    <w:p>
      <w:pPr>
        <w:pStyle w:val="BodyText"/>
      </w:pPr>
      <w:r>
        <w:t xml:space="preserve">Tiwari, S., Jain, G., Shetty, D. K., Sudhi, M., Balakrishnan, J. M., Selvam, R., Hiremath, P., Cs, et al (2023). A Comprehensive Review on the Application of 3D Convolutional Neural Networks in Medical Imaging.</w:t>
      </w:r>
      <w:r>
        <w:t xml:space="preserve"> </w:t>
      </w:r>
      <w:r>
        <w:rPr>
          <w:iCs/>
          <w:i/>
        </w:rPr>
        <w:t xml:space="preserve">Engineering Proceedings 2023, Vol. 59, Page 3</w:t>
      </w:r>
      <w:r>
        <w:t xml:space="preserve">,</w:t>
      </w:r>
      <w:r>
        <w:t xml:space="preserve"> </w:t>
      </w:r>
      <w:r>
        <w:rPr>
          <w:iCs/>
          <w:i/>
        </w:rPr>
        <w:t xml:space="preserve">59</w:t>
      </w:r>
      <w:r>
        <w:t xml:space="preserve">(1), 3. https://doi.org/10.3390/ENGPROC2023059003</w:t>
      </w:r>
    </w:p>
    <w:p>
      <w:pPr>
        <w:pStyle w:val="BodyText"/>
      </w:pPr>
      <w:r>
        <w:t xml:space="preserve">Tomašev, N., Glorot, X., Rae, J. W., et al. (2019). A clinically applicable approach to continuous prediction of future acute kidney injury.</w:t>
      </w:r>
      <w:r>
        <w:t xml:space="preserve"> </w:t>
      </w:r>
      <w:r>
        <w:rPr>
          <w:iCs/>
          <w:i/>
        </w:rPr>
        <w:t xml:space="preserve">Nature</w:t>
      </w:r>
      <w:r>
        <w:t xml:space="preserve">, 572, 116–119. https://doi.org/10.1038/s41586-019-1390-1</w:t>
      </w:r>
    </w:p>
    <w:p>
      <w:pPr>
        <w:pStyle w:val="BodyText"/>
      </w:pPr>
      <w:r>
        <w:t xml:space="preserve">Tonekaboni, S., Joshi, S., McCradden, M. D., &amp; Goldenberg, A. (2019, October). What clinicians want: Contextualizing explainable machine learning for clinical end use. In</w:t>
      </w:r>
      <w:r>
        <w:t xml:space="preserve"> </w:t>
      </w:r>
      <w:r>
        <w:rPr>
          <w:iCs/>
          <w:i/>
        </w:rPr>
        <w:t xml:space="preserve">Machine Learning for Healthcare Conference</w:t>
      </w:r>
      <w:r>
        <w:t xml:space="preserve"> </w:t>
      </w:r>
      <w:r>
        <w:t xml:space="preserve">(pp. 359–380). https://proceedings.mlr.press/v106/tonekaboni19a.html</w:t>
      </w:r>
    </w:p>
    <w:p>
      <w:pPr>
        <w:pStyle w:val="BodyText"/>
      </w:pPr>
      <w:r>
        <w:t xml:space="preserve">Topol, E. J. (2019). High-performance medicine: The convergence of human and artificial intelligence.</w:t>
      </w:r>
      <w:r>
        <w:t xml:space="preserve"> </w:t>
      </w:r>
      <w:r>
        <w:rPr>
          <w:iCs/>
          <w:i/>
        </w:rPr>
        <w:t xml:space="preserve">Nature Medicine</w:t>
      </w:r>
      <w:r>
        <w:t xml:space="preserve">, 25(1), 44–56.</w:t>
      </w:r>
      <w:r>
        <w:t xml:space="preserve"> </w:t>
      </w:r>
      <w:hyperlink r:id="rId85">
        <w:r>
          <w:rPr>
            <w:rStyle w:val="Hyperlink"/>
          </w:rPr>
          <w:t xml:space="preserve">https://doi.org/10.1038/s41591-018-0300-7</w:t>
        </w:r>
      </w:hyperlink>
    </w:p>
    <w:p>
      <w:pPr>
        <w:pStyle w:val="BodyText"/>
      </w:pPr>
      <w:r>
        <w:t xml:space="preserve">Verma, S., &amp; Rubin, J. (2018, May). Fairness definitions explained. In</w:t>
      </w:r>
      <w:r>
        <w:t xml:space="preserve"> </w:t>
      </w:r>
      <w:r>
        <w:rPr>
          <w:iCs/>
          <w:i/>
        </w:rPr>
        <w:t xml:space="preserve">Proceedings of the International Workshop on Software Fairness (FairWare ’18)</w:t>
      </w:r>
      <w:r>
        <w:t xml:space="preserve"> </w:t>
      </w:r>
      <w:r>
        <w:t xml:space="preserve">(pp. 1–7). Association for Computing Machinery.</w:t>
      </w:r>
      <w:r>
        <w:t xml:space="preserve"> </w:t>
      </w:r>
      <w:hyperlink r:id="rId86">
        <w:r>
          <w:rPr>
            <w:rStyle w:val="Hyperlink"/>
          </w:rPr>
          <w:t xml:space="preserve">https://doi.org/10.1145/3194770.3194776</w:t>
        </w:r>
      </w:hyperlink>
    </w:p>
    <w:p>
      <w:pPr>
        <w:pStyle w:val="BodyText"/>
      </w:pPr>
      <w:r>
        <w:t xml:space="preserve">Vlak, M. H. M., Algra, A., Brandenburg, R., &amp; Rinkel, G. J. E. (2011). Prevalence of unruptured intracranial aneurysms, with emphasis on sex, age, comorbidity, country, and time period: A systematic review and meta-analysis.</w:t>
      </w:r>
      <w:r>
        <w:t xml:space="preserve"> </w:t>
      </w:r>
      <w:r>
        <w:rPr>
          <w:iCs/>
          <w:i/>
        </w:rPr>
        <w:t xml:space="preserve">The Lancet Neurology</w:t>
      </w:r>
      <w:r>
        <w:t xml:space="preserve">, 10(7), 626–636.</w:t>
      </w:r>
      <w:r>
        <w:t xml:space="preserve"> </w:t>
      </w:r>
      <w:hyperlink r:id="rId87">
        <w:r>
          <w:rPr>
            <w:rStyle w:val="Hyperlink"/>
          </w:rPr>
          <w:t xml:space="preserve">https://doi.org/10.1016/S1474-4422(11)70109-0</w:t>
        </w:r>
      </w:hyperlink>
    </w:p>
    <w:p>
      <w:pPr>
        <w:pStyle w:val="BodyText"/>
      </w:pPr>
      <w:r>
        <w:t xml:space="preserve">Waweru, P., &amp; Gatimu, S. M. (2021). Stroke epidemiology, care, and outcomes in Kenya: A scoping review.</w:t>
      </w:r>
      <w:r>
        <w:t xml:space="preserve"> </w:t>
      </w:r>
      <w:r>
        <w:rPr>
          <w:iCs/>
          <w:i/>
        </w:rPr>
        <w:t xml:space="preserve">Frontiers in Neurology</w:t>
      </w:r>
      <w:r>
        <w:t xml:space="preserve">,</w:t>
      </w:r>
      <w:r>
        <w:t xml:space="preserve"> </w:t>
      </w:r>
      <w:r>
        <w:rPr>
          <w:iCs/>
          <w:i/>
        </w:rPr>
        <w:t xml:space="preserve">12</w:t>
      </w:r>
      <w:r>
        <w:t xml:space="preserve">, 785607.</w:t>
      </w:r>
      <w:r>
        <w:t xml:space="preserve"> </w:t>
      </w:r>
      <w:hyperlink r:id="rId88">
        <w:r>
          <w:rPr>
            <w:rStyle w:val="Hyperlink"/>
          </w:rPr>
          <w:t xml:space="preserve">https://doi.org/10.3389/fneur.2021.785607</w:t>
        </w:r>
      </w:hyperlink>
    </w:p>
    <w:p>
      <w:pPr>
        <w:pStyle w:val="BodyText"/>
      </w:pPr>
      <w:r>
        <w:t xml:space="preserve">Wei, J., Song, X., Wei, X., Yang, Z., Dai, L., Wang, M., et al. (2024). Knowledge-augmented deep learning for segmenting and detecting cerebral aneurysms with CT angiography: A multicenter study</w:t>
      </w:r>
      <w:r>
        <w:rPr>
          <w:iCs/>
          <w:i/>
        </w:rPr>
        <w:t xml:space="preserve">. Radiology</w:t>
      </w:r>
      <w:r>
        <w:t xml:space="preserve">, 312(2), e233197. https://doi.org/10.1148/radiol.233197</w:t>
      </w:r>
    </w:p>
    <w:p>
      <w:pPr>
        <w:pStyle w:val="BodyText"/>
      </w:pPr>
      <w:r>
        <w:t xml:space="preserve">Wight, A. (2024, February 14). How can AI help more people access radiology in Kenya and Egypt?</w:t>
      </w:r>
      <w:r>
        <w:t xml:space="preserve"> </w:t>
      </w:r>
      <w:r>
        <w:rPr>
          <w:iCs/>
          <w:i/>
        </w:rPr>
        <w:t xml:space="preserve">Forbes</w:t>
      </w:r>
      <w:r>
        <w:t xml:space="preserve">. https://www.forbes.com/sites/andrewwight/2024/02/14/how-can-ai-help-more-people-access-radiology-in-kenya-and-egypt/</w:t>
      </w:r>
    </w:p>
    <w:p>
      <w:pPr>
        <w:pStyle w:val="BodyText"/>
      </w:pPr>
      <w:r>
        <w:t xml:space="preserve">World Health Organization. (2021).</w:t>
      </w:r>
      <w:r>
        <w:t xml:space="preserve"> </w:t>
      </w:r>
      <w:r>
        <w:rPr>
          <w:iCs/>
          <w:i/>
        </w:rPr>
        <w:t xml:space="preserve">Ethics and governance of artificial intelligence for health</w:t>
      </w:r>
      <w:r>
        <w:t xml:space="preserve">. https://www.who.int/publications/i/item/9789240029200</w:t>
      </w:r>
    </w:p>
    <w:p>
      <w:pPr>
        <w:pStyle w:val="BodyText"/>
      </w:pPr>
      <w:r>
        <w:t xml:space="preserve">Xie, Y., Yang, B., Guan, Q., Zhang, J., Wu, Q., &amp; Xia, Y. (2023). Attention mechanisms in medical image segmentation: A survey.</w:t>
      </w:r>
      <w:r>
        <w:t xml:space="preserve"> </w:t>
      </w:r>
      <w:r>
        <w:rPr>
          <w:iCs/>
          <w:i/>
        </w:rPr>
        <w:t xml:space="preserve">arXiv</w:t>
      </w:r>
      <w:r>
        <w:t xml:space="preserve">. https://doi.org/10.48550/arXiv.2305.17937</w:t>
      </w:r>
    </w:p>
    <w:p>
      <w:pPr>
        <w:pStyle w:val="BodyText"/>
      </w:pPr>
      <w:r>
        <w:t xml:space="preserve">Yang, J., Wang, C., Chen, Y., Chen, Z., &amp; Tong, J. (2025). AS-YOLO: A novel YOLO model with multi-scale feature fusion for intracranial aneurysm recognition.</w:t>
      </w:r>
      <w:r>
        <w:t xml:space="preserve"> </w:t>
      </w:r>
      <w:r>
        <w:rPr>
          <w:iCs/>
          <w:i/>
        </w:rPr>
        <w:t xml:space="preserve">Electronics</w:t>
      </w:r>
      <w:r>
        <w:t xml:space="preserve">, 14(8), 1692. https://doi.org/10.3390/electronics14081692</w:t>
      </w:r>
    </w:p>
    <w:p>
      <w:pPr>
        <w:pStyle w:val="BodyText"/>
      </w:pPr>
      <w:r>
        <w:t xml:space="preserve">Yi, P. H., Bachina, P., Bharti, B., Garin, S. P., Kanhere, A., Kulkarni, P., et al. (2025). Pitfalls and best practices in evaluation of AI algorithmic biases in radiology.</w:t>
      </w:r>
      <w:r>
        <w:t xml:space="preserve"> </w:t>
      </w:r>
      <w:r>
        <w:rPr>
          <w:iCs/>
          <w:i/>
        </w:rPr>
        <w:t xml:space="preserve">Radiology,</w:t>
      </w:r>
      <w:r>
        <w:t xml:space="preserve"> </w:t>
      </w:r>
      <w:r>
        <w:t xml:space="preserve">315(2), e241674. https://doi.org/10.1148/radiol.241674</w:t>
      </w:r>
    </w:p>
    <w:p>
      <w:pPr>
        <w:pStyle w:val="BodyText"/>
      </w:pPr>
      <w:r>
        <w:t xml:space="preserve">Zhang, H., &amp; Shen, Y. (2020). Template-based prediction of protein structure with deep learning.</w:t>
      </w:r>
      <w:r>
        <w:t xml:space="preserve"> </w:t>
      </w:r>
      <w:r>
        <w:rPr>
          <w:iCs/>
          <w:i/>
        </w:rPr>
        <w:t xml:space="preserve">BMC Genomics</w:t>
      </w:r>
      <w:r>
        <w:t xml:space="preserve">, 21(Suppl 11), 878. https://doi.org/10.1186/s12864-020-07249-8</w:t>
      </w:r>
    </w:p>
    <w:p>
      <w:pPr>
        <w:pStyle w:val="BodyText"/>
      </w:pPr>
      <w:r>
        <w:t xml:space="preserve">Zhang, X., Shao, J., Li, X., Liu, X., Li, H., &amp; Jia, M. (2025). 3D segmentation combining spatial and multi-scale features for intracranial aneurysm.</w:t>
      </w:r>
      <w:r>
        <w:t xml:space="preserve"> </w:t>
      </w:r>
      <w:r>
        <w:rPr>
          <w:iCs/>
          <w:i/>
        </w:rPr>
        <w:t xml:space="preserve">Medical Physics</w:t>
      </w:r>
      <w:r>
        <w:t xml:space="preserve">, 52(6), 4742–4756.</w:t>
      </w:r>
      <w:r>
        <w:t xml:space="preserve"> </w:t>
      </w:r>
      <w:hyperlink r:id="rId89">
        <w:r>
          <w:rPr>
            <w:rStyle w:val="Hyperlink"/>
          </w:rPr>
          <w:t xml:space="preserve">https://doi.org/10.1002/mp.17783</w:t>
        </w:r>
      </w:hyperlink>
    </w:p>
    <w:p>
      <w:pPr>
        <w:pStyle w:val="BodyText"/>
      </w:pPr>
      <w:r>
        <w:t xml:space="preserve">Zhou, Z., Jin, Y., Ye, H., Zhang, X., Liu, J., &amp; Zhang, W. (2024). Classification, detection, and segmentation performance of image-based AI in intracranial aneurysm: a systematic review.</w:t>
      </w:r>
      <w:r>
        <w:t xml:space="preserve"> </w:t>
      </w:r>
      <w:r>
        <w:rPr>
          <w:iCs/>
          <w:i/>
        </w:rPr>
        <w:t xml:space="preserve">BMC Medical Imaging 2024 24:1</w:t>
      </w:r>
      <w:r>
        <w:t xml:space="preserve">,</w:t>
      </w:r>
      <w:r>
        <w:t xml:space="preserve"> </w:t>
      </w:r>
      <w:r>
        <w:rPr>
          <w:iCs/>
          <w:i/>
        </w:rPr>
        <w:t xml:space="preserve">24</w:t>
      </w:r>
      <w:r>
        <w:t xml:space="preserve">(1), 164-. https://doi.org/10.1186/S12880-024-01347-9</w:t>
      </w:r>
    </w:p>
    <w:bookmarkEnd w:id="90"/>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hyperlink" Target="https://aneurysm-detection-kenya.vercel.app/" TargetMode="External"/><Relationship Id="rId89" Type="http://schemas.openxmlformats.org/officeDocument/2006/relationships/hyperlink" Target="https://doi.org/10.1002/mp.17783" TargetMode="External"/><Relationship Id="rId68" Type="http://schemas.openxmlformats.org/officeDocument/2006/relationships/hyperlink" Target="https://doi.org/10.1007/s00330-025-12242-4" TargetMode="External"/><Relationship Id="rId87" Type="http://schemas.openxmlformats.org/officeDocument/2006/relationships/hyperlink" Target="https://doi.org/10.1016/S1474-4422(11)70109-0" TargetMode="External"/><Relationship Id="rId77" Type="http://schemas.openxmlformats.org/officeDocument/2006/relationships/hyperlink" Target="https://doi.org/10.1016/S2589-7500(19)30123-2" TargetMode="External"/><Relationship Id="rId70" Type="http://schemas.openxmlformats.org/officeDocument/2006/relationships/hyperlink" Target="https://doi.org/10.1016/j.jacr.2023.11.029" TargetMode="External"/><Relationship Id="rId72" Type="http://schemas.openxmlformats.org/officeDocument/2006/relationships/hyperlink" Target="https://doi.org/10.1016/j.jacr.2025.07.028" TargetMode="External"/><Relationship Id="rId71" Type="http://schemas.openxmlformats.org/officeDocument/2006/relationships/hyperlink" Target="https://doi.org/10.1016/j.jocn.2025.111243" TargetMode="External"/><Relationship Id="rId82" Type="http://schemas.openxmlformats.org/officeDocument/2006/relationships/hyperlink" Target="https://doi.org/10.1016/j.media.2023.102802" TargetMode="External"/><Relationship Id="rId75" Type="http://schemas.openxmlformats.org/officeDocument/2006/relationships/hyperlink" Target="https://doi.org/10.1038/s41586-021-03819-2" TargetMode="External"/><Relationship Id="rId85" Type="http://schemas.openxmlformats.org/officeDocument/2006/relationships/hyperlink" Target="https://doi.org/10.1038/s41591-018-0300-7" TargetMode="External"/><Relationship Id="rId66" Type="http://schemas.openxmlformats.org/officeDocument/2006/relationships/hyperlink" Target="https://doi.org/10.1038/s41591-019-0447-x" TargetMode="External"/><Relationship Id="rId86" Type="http://schemas.openxmlformats.org/officeDocument/2006/relationships/hyperlink" Target="https://doi.org/10.1145/3194770.3194776" TargetMode="External"/><Relationship Id="rId73" Type="http://schemas.openxmlformats.org/officeDocument/2006/relationships/hyperlink" Target="https://doi.org/10.1148/radiol.253580" TargetMode="External"/><Relationship Id="rId83" Type="http://schemas.openxmlformats.org/officeDocument/2006/relationships/hyperlink" Target="https://doi.org/10.3174/ajnr.A5911" TargetMode="External"/><Relationship Id="rId74" Type="http://schemas.openxmlformats.org/officeDocument/2006/relationships/hyperlink" Target="https://doi.org/10.5469/neuroint.2025.00283" TargetMode="External"/><Relationship Id="rId79" Type="http://schemas.openxmlformats.org/officeDocument/2006/relationships/hyperlink" Target="https://doi.org/10.7189/jogh.09.010318" TargetMode="External"/><Relationship Id="rId81" Type="http://schemas.openxmlformats.org/officeDocument/2006/relationships/hyperlink" Target="https://doi.org/10.7326/M18-1990" TargetMode="External"/><Relationship Id="rId76" Type="http://schemas.openxmlformats.org/officeDocument/2006/relationships/hyperlink" Target="https://kmpdc.go.ke/" TargetMode="External"/><Relationship Id="rId78" Type="http://schemas.openxmlformats.org/officeDocument/2006/relationships/hyperlink" Target="https://labourmarket.go.ke/media/resources/Final_Kenya_HLMA_Report_2023_v8.pdf" TargetMode="External"/><Relationship Id="rId67" Type="http://schemas.openxmlformats.org/officeDocument/2006/relationships/hyperlink" Target="https://registry.opendata.aws/rsna-aneurysm-detection/" TargetMode="External"/><Relationship Id="rId88" Type="http://schemas.openxmlformats.org/officeDocument/2006/relationships/hyperlink" Target="https://www.google.com/search?q=https://doi.org/10.3389/fneur.2021.785607" TargetMode="External"/><Relationship Id="rId69" Type="http://schemas.openxmlformats.org/officeDocument/2006/relationships/hyperlink" Target="https://www.google.com/search?q=https://doi.org/10.48550/arXiv.2211.02701" TargetMode="External"/><Relationship Id="rId84" Type="http://schemas.openxmlformats.org/officeDocument/2006/relationships/hyperlink" Target="https://www.parliament.go.ke/sites/default/files/2026-04/The%20Artificial%20Intelligence%20Bill%2C%202026%20%28Senate%20Bills%20No.4%20of%202025%29_0.pdf" TargetMode="External"/><Relationship Id="rId80" Type="http://schemas.openxmlformats.org/officeDocument/2006/relationships/hyperlink" Target="https://www.rsna.org/artificial-intelligence/ai-image-challenge/intracranial-aneurysm-detection-ai-challenge"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https://aneurysm-detection-kenya.vercel.app/" TargetMode="External"/><Relationship Id="rId89" Type="http://schemas.openxmlformats.org/officeDocument/2006/relationships/hyperlink" Target="https://doi.org/10.1002/mp.17783" TargetMode="External"/><Relationship Id="rId68" Type="http://schemas.openxmlformats.org/officeDocument/2006/relationships/hyperlink" Target="https://doi.org/10.1007/s00330-025-12242-4" TargetMode="External"/><Relationship Id="rId87" Type="http://schemas.openxmlformats.org/officeDocument/2006/relationships/hyperlink" Target="https://doi.org/10.1016/S1474-4422(11)70109-0" TargetMode="External"/><Relationship Id="rId77" Type="http://schemas.openxmlformats.org/officeDocument/2006/relationships/hyperlink" Target="https://doi.org/10.1016/S2589-7500(19)30123-2" TargetMode="External"/><Relationship Id="rId70" Type="http://schemas.openxmlformats.org/officeDocument/2006/relationships/hyperlink" Target="https://doi.org/10.1016/j.jacr.2023.11.029" TargetMode="External"/><Relationship Id="rId72" Type="http://schemas.openxmlformats.org/officeDocument/2006/relationships/hyperlink" Target="https://doi.org/10.1016/j.jacr.2025.07.028" TargetMode="External"/><Relationship Id="rId71" Type="http://schemas.openxmlformats.org/officeDocument/2006/relationships/hyperlink" Target="https://doi.org/10.1016/j.jocn.2025.111243" TargetMode="External"/><Relationship Id="rId82" Type="http://schemas.openxmlformats.org/officeDocument/2006/relationships/hyperlink" Target="https://doi.org/10.1016/j.media.2023.102802" TargetMode="External"/><Relationship Id="rId75" Type="http://schemas.openxmlformats.org/officeDocument/2006/relationships/hyperlink" Target="https://doi.org/10.1038/s41586-021-03819-2" TargetMode="External"/><Relationship Id="rId85" Type="http://schemas.openxmlformats.org/officeDocument/2006/relationships/hyperlink" Target="https://doi.org/10.1038/s41591-018-0300-7" TargetMode="External"/><Relationship Id="rId66" Type="http://schemas.openxmlformats.org/officeDocument/2006/relationships/hyperlink" Target="https://doi.org/10.1038/s41591-019-0447-x" TargetMode="External"/><Relationship Id="rId86" Type="http://schemas.openxmlformats.org/officeDocument/2006/relationships/hyperlink" Target="https://doi.org/10.1145/3194770.3194776" TargetMode="External"/><Relationship Id="rId73" Type="http://schemas.openxmlformats.org/officeDocument/2006/relationships/hyperlink" Target="https://doi.org/10.1148/radiol.253580" TargetMode="External"/><Relationship Id="rId83" Type="http://schemas.openxmlformats.org/officeDocument/2006/relationships/hyperlink" Target="https://doi.org/10.3174/ajnr.A5911" TargetMode="External"/><Relationship Id="rId74" Type="http://schemas.openxmlformats.org/officeDocument/2006/relationships/hyperlink" Target="https://doi.org/10.5469/neuroint.2025.00283" TargetMode="External"/><Relationship Id="rId79" Type="http://schemas.openxmlformats.org/officeDocument/2006/relationships/hyperlink" Target="https://doi.org/10.7189/jogh.09.010318" TargetMode="External"/><Relationship Id="rId81" Type="http://schemas.openxmlformats.org/officeDocument/2006/relationships/hyperlink" Target="https://doi.org/10.7326/M18-1990" TargetMode="External"/><Relationship Id="rId76" Type="http://schemas.openxmlformats.org/officeDocument/2006/relationships/hyperlink" Target="https://kmpdc.go.ke/" TargetMode="External"/><Relationship Id="rId78" Type="http://schemas.openxmlformats.org/officeDocument/2006/relationships/hyperlink" Target="https://labourmarket.go.ke/media/resources/Final_Kenya_HLMA_Report_2023_v8.pdf" TargetMode="External"/><Relationship Id="rId67" Type="http://schemas.openxmlformats.org/officeDocument/2006/relationships/hyperlink" Target="https://registry.opendata.aws/rsna-aneurysm-detection/" TargetMode="External"/><Relationship Id="rId88" Type="http://schemas.openxmlformats.org/officeDocument/2006/relationships/hyperlink" Target="https://www.google.com/search?q=https://doi.org/10.3389/fneur.2021.785607" TargetMode="External"/><Relationship Id="rId69" Type="http://schemas.openxmlformats.org/officeDocument/2006/relationships/hyperlink" Target="https://www.google.com/search?q=https://doi.org/10.48550/arXiv.2211.02701" TargetMode="External"/><Relationship Id="rId84" Type="http://schemas.openxmlformats.org/officeDocument/2006/relationships/hyperlink" Target="https://www.parliament.go.ke/sites/default/files/2026-04/The%20Artificial%20Intelligence%20Bill%2C%202026%20%28Senate%20Bills%20No.4%20of%202025%29_0.pdf" TargetMode="External"/><Relationship Id="rId80" Type="http://schemas.openxmlformats.org/officeDocument/2006/relationships/hyperlink" Target="https://www.rsna.org/artificial-intelligence/ai-image-challenge/intracranial-aneurysm-detection-ai-challen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2026-08-19T20:57:09Z</dcterms:created>
  <dcterms:modified xsi:type="dcterms:W3CDTF">2026-08-19T20:57:09Z</dcterms:modified>
</cp:coreProperties>
</file>

<file path=docProps/custom.xml><?xml version="1.0" encoding="utf-8"?>
<Properties xmlns="http://schemas.openxmlformats.org/officeDocument/2006/custom-properties" xmlns:vt="http://schemas.openxmlformats.org/officeDocument/2006/docPropsVTypes"/>
</file>