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b/>
          <w:bCs/>
          <w:color w:val="2D5016"/>
          <w:sz w:val="32"/>
          <w:szCs w:val="32"/>
        </w:rPr>
        <w:t xml:space="preserve">Système de recommandation touristique par NLP</w:t>
      </w:r>
    </w:p>
    <w:p>
      <w:pPr>
        <w:spacing w:after="120"/>
        <w:jc w:val="center"/>
      </w:pPr>
      <w:r>
        <w:rPr>
          <w:i/>
          <w:iCs/>
          <w:color w:val="555555"/>
          <w:sz w:val="22"/>
          <w:szCs w:val="22"/>
        </w:rPr>
        <w:t xml:space="preserve">Fine-tuning CamemBERT vs TF-IDF — Comparaison et analyse</w:t>
      </w:r>
    </w:p>
    <w:p>
      <w:pPr>
        <w:spacing w:after="80"/>
      </w:pPr>
    </w:p>
    <w:p>
      <w:pPr>
        <w:spacing w:after="80"/>
        <w:jc w:val="center"/>
      </w:pPr>
      <w:r>
        <w:rPr>
          <w:b/>
          <w:bCs/>
          <w:color w:val="2D5016"/>
          <w:sz w:val="24"/>
          <w:szCs w:val="24"/>
        </w:rPr>
        <w:t xml:space="preserve">Oumaima Souguir</w:t>
      </w:r>
    </w:p>
    <w:p>
      <w:pPr>
        <w:spacing w:after="80"/>
        <w:jc w:val="center"/>
      </w:pPr>
      <w:r>
        <w:rPr>
          <w:i/>
          <w:iCs/>
          <w:color w:val="555555"/>
          <w:sz w:val="20"/>
          <w:szCs w:val="20"/>
        </w:rPr>
        <w:t xml:space="preserve">Licence Informatique Générale — CNAM Paris (mention Très Bien, 16.97/20, 180 ECTS)</w:t>
      </w:r>
    </w:p>
    <w:p>
      <w:pPr>
        <w:spacing w:after="80"/>
        <w:jc w:val="center"/>
      </w:pPr>
      <w:r>
        <w:rPr>
          <w:color w:val="555555"/>
          <w:sz w:val="20"/>
          <w:szCs w:val="20"/>
        </w:rPr>
        <w:t xml:space="preserve">Environnement : Google Colab — GPU T4 (gratuit)</w:t>
      </w:r>
    </w:p>
    <w:p>
      <w:pPr>
        <w:spacing w:after="400"/>
        <w:jc w:val="center"/>
      </w:pPr>
      <w:r>
        <w:rPr>
          <w:color w:val="888888"/>
          <w:sz w:val="20"/>
          <w:szCs w:val="20"/>
        </w:rPr>
        <w:t xml:space="preserve">Septembre 2026</w:t>
      </w:r>
    </w:p>
    <w:p>
      <w:pPr>
        <w:pBdr>
          <w:bottom w:val="single" w:color="CCCCCC" w:sz="1"/>
        </w:pBdr>
        <w:spacing w:after="200"/>
      </w:pPr>
    </w:p>
    <w:p>
      <w:pPr>
        <w:pStyle w:val="Heading1"/>
        <w:spacing w:after="160" w:before="400"/>
      </w:pPr>
      <w:r>
        <w:t xml:space="preserve">1. Introduction</w:t>
      </w:r>
    </w:p>
    <w:p>
      <w:pPr>
        <w:spacing w:after="120" w:line="340"/>
        <w:jc w:val="both"/>
      </w:pPr>
      <w:r>
        <w:rPr>
          <w:b w:val="false"/>
          <w:bCs w:val="false"/>
          <w:i w:val="false"/>
          <w:iCs w:val="false"/>
          <w:color w:val="2C2C2A"/>
          <w:sz w:val="22"/>
          <w:szCs w:val="22"/>
        </w:rPr>
        <w:t xml:space="preserve">Ce projet s'inscrit dans le cadre d'une démarche de recherche appliquée en traitement automatique du langage naturel (NLP). L'objectif principal est de construire un système de recommandation de destinations touristiques tunisiennes à partir d'avis textuels en langue française.</w:t>
      </w:r>
    </w:p>
    <w:p>
      <w:pPr>
        <w:spacing w:after="120" w:line="340"/>
        <w:jc w:val="both"/>
      </w:pPr>
      <w:r>
        <w:rPr>
          <w:b w:val="false"/>
          <w:bCs w:val="false"/>
          <w:i w:val="false"/>
          <w:iCs w:val="false"/>
          <w:color w:val="2C2C2A"/>
          <w:sz w:val="22"/>
          <w:szCs w:val="22"/>
        </w:rPr>
        <w:t xml:space="preserve">Deux approches sont comparées : (1) une méthode classique basée sur la pondération TF-IDF couplée à une régression logistique, et (2) un modèle de langage pré-entraîné CamemBERT soumis à un fine-tuning supervisé. La comparaison porte sur la précision, le rappel, le F1-macro et la robustesse sémantique.</w:t>
      </w:r>
    </w:p>
    <w:p>
      <w:pPr>
        <w:spacing w:after="120" w:line="340"/>
        <w:jc w:val="both"/>
      </w:pPr>
      <w:r>
        <w:rPr>
          <w:b w:val="false"/>
          <w:bCs w:val="false"/>
          <w:i w:val="false"/>
          <w:iCs w:val="false"/>
          <w:color w:val="2C2C2A"/>
          <w:sz w:val="22"/>
          <w:szCs w:val="22"/>
        </w:rPr>
        <w:t xml:space="preserve">La problématique posée est la suivante : dans un contexte de ressources matérielles contraintes (CPU Intel i3, 8 GB RAM), le recours à Google Colab (GPU T4 gratuit) permet-il d'atteindre des performances compétitives avec des modèles de type BERT, justifiant leur surcoût computationnel par rapport aux approches vectorielles classiques ?</w:t>
      </w:r>
    </w:p>
    <w:p>
      <w:pPr>
        <w:pStyle w:val="Heading1"/>
        <w:spacing w:after="160" w:before="400"/>
      </w:pPr>
      <w:r>
        <w:t xml:space="preserve">2. Contexte technique et environnement</w:t>
      </w:r>
    </w:p>
    <w:p>
      <w:pPr>
        <w:pStyle w:val="Heading2"/>
        <w:spacing w:after="120" w:before="280"/>
      </w:pPr>
      <w:r>
        <w:t xml:space="preserve">2.1 Architecture de l'environnement</w:t>
      </w:r>
    </w:p>
    <w:p>
      <w:pPr>
        <w:spacing w:after="120" w:line="340"/>
        <w:jc w:val="both"/>
      </w:pPr>
      <w:r>
        <w:rPr>
          <w:b w:val="false"/>
          <w:bCs w:val="false"/>
          <w:i w:val="false"/>
          <w:iCs w:val="false"/>
          <w:color w:val="2C2C2A"/>
          <w:sz w:val="22"/>
          <w:szCs w:val="22"/>
        </w:rPr>
        <w:t xml:space="preserve">Le projet est conçu pour être intégralement reproductible via Google Colab. Le tableau suivant résume la configuration matérielle et logicielle utilisée :</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D5A9C" w:val="clear"/>
          </w:tcPr>
          <w:p>
            <w:pPr>
              <w:spacing w:after="60"/>
              <w:jc w:val="left"/>
            </w:pPr>
            <w:r>
              <w:rPr>
                <w:b/>
                <w:bCs/>
                <w:color w:val="FFFFFF"/>
                <w:sz w:val="20"/>
                <w:szCs w:val="20"/>
              </w:rPr>
              <w:t xml:space="preserve">Composant</w:t>
            </w:r>
          </w:p>
        </w:tc>
        <w:tc>
          <w:tcPr>
            <w:shd w:fill="1D5A9C" w:val="clear"/>
          </w:tcPr>
          <w:p>
            <w:pPr>
              <w:spacing w:after="60"/>
              <w:jc w:val="center"/>
            </w:pPr>
            <w:r>
              <w:rPr>
                <w:b/>
                <w:bCs/>
                <w:color w:val="FFFFFF"/>
                <w:sz w:val="20"/>
                <w:szCs w:val="20"/>
              </w:rPr>
              <w:t xml:space="preserve">Local (i3)</w:t>
            </w:r>
          </w:p>
        </w:tc>
        <w:tc>
          <w:tcPr>
            <w:shd w:fill="1D5A9C" w:val="clear"/>
          </w:tcPr>
          <w:p>
            <w:pPr>
              <w:spacing w:after="60"/>
              <w:jc w:val="center"/>
            </w:pPr>
            <w:r>
              <w:rPr>
                <w:b/>
                <w:bCs/>
                <w:color w:val="FFFFFF"/>
                <w:sz w:val="20"/>
                <w:szCs w:val="20"/>
              </w:rPr>
              <w:t xml:space="preserve">Google Colab (T4)</w:t>
            </w:r>
          </w:p>
        </w:tc>
      </w:tr>
      <w:tr>
        <w:tc>
          <w:p>
            <w:pPr>
              <w:spacing w:after="60"/>
              <w:jc w:val="left"/>
            </w:pPr>
            <w:r>
              <w:rPr>
                <w:b w:val="false"/>
                <w:bCs w:val="false"/>
                <w:color w:val="2C2C2A"/>
                <w:sz w:val="20"/>
                <w:szCs w:val="20"/>
              </w:rPr>
              <w:t xml:space="preserve">Processeur</w:t>
            </w:r>
          </w:p>
        </w:tc>
        <w:tc>
          <w:p>
            <w:pPr>
              <w:spacing w:after="60"/>
              <w:jc w:val="center"/>
            </w:pPr>
            <w:r>
              <w:rPr>
                <w:b w:val="false"/>
                <w:bCs w:val="false"/>
                <w:color w:val="2C2C2A"/>
                <w:sz w:val="20"/>
                <w:szCs w:val="20"/>
              </w:rPr>
              <w:t xml:space="preserve">Intel Core i3</w:t>
            </w:r>
          </w:p>
        </w:tc>
        <w:tc>
          <w:p>
            <w:pPr>
              <w:spacing w:after="60"/>
              <w:jc w:val="center"/>
            </w:pPr>
            <w:r>
              <w:rPr>
                <w:b w:val="false"/>
                <w:bCs w:val="false"/>
                <w:color w:val="2C2C2A"/>
                <w:sz w:val="20"/>
                <w:szCs w:val="20"/>
              </w:rPr>
              <w:t xml:space="preserve">Intel Xeon (VM Colab)</w:t>
            </w:r>
          </w:p>
        </w:tc>
      </w:tr>
      <w:tr>
        <w:tc>
          <w:p>
            <w:pPr>
              <w:spacing w:after="60"/>
              <w:jc w:val="left"/>
            </w:pPr>
            <w:r>
              <w:rPr>
                <w:b w:val="false"/>
                <w:bCs w:val="false"/>
                <w:color w:val="2C2C2A"/>
                <w:sz w:val="20"/>
                <w:szCs w:val="20"/>
              </w:rPr>
              <w:t xml:space="preserve">RAM</w:t>
            </w:r>
          </w:p>
        </w:tc>
        <w:tc>
          <w:tcPr>
            <w:shd w:fill="FFF3CD" w:val="clear"/>
          </w:tcPr>
          <w:p>
            <w:pPr>
              <w:spacing w:after="60"/>
              <w:jc w:val="center"/>
            </w:pPr>
            <w:r>
              <w:rPr>
                <w:b w:val="false"/>
                <w:bCs w:val="false"/>
                <w:color w:val="2C2C2A"/>
                <w:sz w:val="20"/>
                <w:szCs w:val="20"/>
              </w:rPr>
              <w:t xml:space="preserve">8 GB</w:t>
            </w:r>
          </w:p>
        </w:tc>
        <w:tc>
          <w:tcPr>
            <w:shd w:fill="EAF3DE" w:val="clear"/>
          </w:tcPr>
          <w:p>
            <w:pPr>
              <w:spacing w:after="60"/>
              <w:jc w:val="center"/>
            </w:pPr>
            <w:r>
              <w:rPr>
                <w:b w:val="false"/>
                <w:bCs w:val="false"/>
                <w:color w:val="2C2C2A"/>
                <w:sz w:val="20"/>
                <w:szCs w:val="20"/>
              </w:rPr>
              <w:t xml:space="preserve">12.7 GB</w:t>
            </w:r>
          </w:p>
        </w:tc>
      </w:tr>
      <w:tr>
        <w:tc>
          <w:p>
            <w:pPr>
              <w:spacing w:after="60"/>
              <w:jc w:val="left"/>
            </w:pPr>
            <w:r>
              <w:rPr>
                <w:b w:val="false"/>
                <w:bCs w:val="false"/>
                <w:color w:val="2C2C2A"/>
                <w:sz w:val="20"/>
                <w:szCs w:val="20"/>
              </w:rPr>
              <w:t xml:space="preserve">GPU</w:t>
            </w:r>
          </w:p>
        </w:tc>
        <w:tc>
          <w:tcPr>
            <w:shd w:fill="FFF3CD" w:val="clear"/>
          </w:tcPr>
          <w:p>
            <w:pPr>
              <w:spacing w:after="60"/>
              <w:jc w:val="center"/>
            </w:pPr>
            <w:r>
              <w:rPr>
                <w:b w:val="false"/>
                <w:bCs w:val="false"/>
                <w:color w:val="2C2C2A"/>
                <w:sz w:val="20"/>
                <w:szCs w:val="20"/>
              </w:rPr>
              <w:t xml:space="preserve">Aucun</w:t>
            </w:r>
          </w:p>
        </w:tc>
        <w:tc>
          <w:tcPr>
            <w:shd w:fill="EAF3DE" w:val="clear"/>
          </w:tcPr>
          <w:p>
            <w:pPr>
              <w:spacing w:after="60"/>
              <w:jc w:val="center"/>
            </w:pPr>
            <w:r>
              <w:rPr>
                <w:b w:val="false"/>
                <w:bCs w:val="false"/>
                <w:color w:val="2C2C2A"/>
                <w:sz w:val="20"/>
                <w:szCs w:val="20"/>
              </w:rPr>
              <w:t xml:space="preserve">NVIDIA T4 (16 GB VRAM)</w:t>
            </w:r>
          </w:p>
        </w:tc>
      </w:tr>
      <w:tr>
        <w:tc>
          <w:p>
            <w:pPr>
              <w:spacing w:after="60"/>
              <w:jc w:val="left"/>
            </w:pPr>
            <w:r>
              <w:rPr>
                <w:b w:val="false"/>
                <w:bCs w:val="false"/>
                <w:color w:val="2C2C2A"/>
                <w:sz w:val="20"/>
                <w:szCs w:val="20"/>
              </w:rPr>
              <w:t xml:space="preserve">Stockage</w:t>
            </w:r>
          </w:p>
        </w:tc>
        <w:tc>
          <w:p>
            <w:pPr>
              <w:spacing w:after="60"/>
              <w:jc w:val="center"/>
            </w:pPr>
            <w:r>
              <w:rPr>
                <w:b w:val="false"/>
                <w:bCs w:val="false"/>
                <w:color w:val="2C2C2A"/>
                <w:sz w:val="20"/>
                <w:szCs w:val="20"/>
              </w:rPr>
              <w:t xml:space="preserve">SSD 256 GB</w:t>
            </w:r>
          </w:p>
        </w:tc>
        <w:tc>
          <w:p>
            <w:pPr>
              <w:spacing w:after="60"/>
              <w:jc w:val="center"/>
            </w:pPr>
            <w:r>
              <w:rPr>
                <w:b w:val="false"/>
                <w:bCs w:val="false"/>
                <w:color w:val="2C2C2A"/>
                <w:sz w:val="20"/>
                <w:szCs w:val="20"/>
              </w:rPr>
              <w:t xml:space="preserve">107 GB (éphémère)</w:t>
            </w:r>
          </w:p>
        </w:tc>
      </w:tr>
      <w:tr>
        <w:tc>
          <w:p>
            <w:pPr>
              <w:spacing w:after="60"/>
              <w:jc w:val="left"/>
            </w:pPr>
            <w:r>
              <w:rPr>
                <w:b w:val="false"/>
                <w:bCs w:val="false"/>
                <w:color w:val="2C2C2A"/>
                <w:sz w:val="20"/>
                <w:szCs w:val="20"/>
              </w:rPr>
              <w:t xml:space="preserve">Framework principal</w:t>
            </w:r>
          </w:p>
        </w:tc>
        <w:tc>
          <w:p>
            <w:pPr>
              <w:spacing w:after="60"/>
              <w:jc w:val="center"/>
            </w:pPr>
            <w:r>
              <w:rPr>
                <w:b w:val="false"/>
                <w:bCs w:val="false"/>
                <w:color w:val="2C2C2A"/>
                <w:sz w:val="20"/>
                <w:szCs w:val="20"/>
              </w:rPr>
              <w:t xml:space="preserve">—</w:t>
            </w:r>
          </w:p>
        </w:tc>
        <w:tc>
          <w:p>
            <w:pPr>
              <w:spacing w:after="60"/>
              <w:jc w:val="center"/>
            </w:pPr>
            <w:r>
              <w:rPr>
                <w:b w:val="false"/>
                <w:bCs w:val="false"/>
                <w:color w:val="2C2C2A"/>
                <w:sz w:val="20"/>
                <w:szCs w:val="20"/>
              </w:rPr>
              <w:t xml:space="preserve">PyTorch 2.x + HuggingFace</w:t>
            </w:r>
          </w:p>
        </w:tc>
      </w:tr>
    </w:tbl>
    <w:p>
      <w:pPr>
        <w:spacing w:after="80"/>
      </w:pPr>
    </w:p>
    <w:p>
      <w:pPr>
        <w:pStyle w:val="Heading2"/>
        <w:spacing w:after="120" w:before="280"/>
      </w:pPr>
      <w:r>
        <w:t xml:space="preserve">2.2 Dépendances et bibliothèques</w:t>
      </w:r>
    </w:p>
    <w:p>
      <w:pPr>
        <w:spacing w:after="80"/>
        <w:ind w:left="576"/>
      </w:pPr>
      <w:r>
        <w:rPr>
          <w:color w:val="2C2C2A"/>
          <w:sz w:val="22"/>
          <w:szCs w:val="22"/>
        </w:rPr>
        <w:t xml:space="preserve">•  transformers (HuggingFace) — accès à CamemBERT et API Trainer</w:t>
      </w:r>
    </w:p>
    <w:p>
      <w:pPr>
        <w:spacing w:after="80"/>
        <w:ind w:left="576"/>
      </w:pPr>
      <w:r>
        <w:rPr>
          <w:color w:val="2C2C2A"/>
          <w:sz w:val="22"/>
          <w:szCs w:val="22"/>
        </w:rPr>
        <w:t xml:space="preserve">•  datasets — gestion du pipeline de données HuggingFace</w:t>
      </w:r>
    </w:p>
    <w:p>
      <w:pPr>
        <w:spacing w:after="80"/>
        <w:ind w:left="576"/>
      </w:pPr>
      <w:r>
        <w:rPr>
          <w:color w:val="2C2C2A"/>
          <w:sz w:val="22"/>
          <w:szCs w:val="22"/>
        </w:rPr>
        <w:t xml:space="preserve">•  scikit-learn — TF-IDF, métriques, validation croisée</w:t>
      </w:r>
    </w:p>
    <w:p>
      <w:pPr>
        <w:spacing w:after="80"/>
        <w:ind w:left="576"/>
      </w:pPr>
      <w:r>
        <w:rPr>
          <w:color w:val="2C2C2A"/>
          <w:sz w:val="22"/>
          <w:szCs w:val="22"/>
        </w:rPr>
        <w:t xml:space="preserve">•  torch (PyTorch) — backend deep learning, mixed precision fp16</w:t>
      </w:r>
    </w:p>
    <w:p>
      <w:pPr>
        <w:spacing w:after="80"/>
        <w:ind w:left="576"/>
      </w:pPr>
      <w:r>
        <w:rPr>
          <w:color w:val="2C2C2A"/>
          <w:sz w:val="22"/>
          <w:szCs w:val="22"/>
        </w:rPr>
        <w:t xml:space="preserve">•  gradio — interface de démonstration interactive</w:t>
      </w:r>
    </w:p>
    <w:p>
      <w:pPr>
        <w:spacing w:after="80"/>
        <w:ind w:left="576"/>
      </w:pPr>
      <w:r>
        <w:rPr>
          <w:color w:val="2C2C2A"/>
          <w:sz w:val="22"/>
          <w:szCs w:val="22"/>
        </w:rPr>
        <w:t xml:space="preserve">•  matplotlib / seaborn — visualisation des résultats</w:t>
      </w:r>
    </w:p>
    <w:p>
      <w:pPr>
        <w:spacing w:after="80"/>
      </w:pPr>
    </w:p>
    <w:p>
      <w:pPr>
        <w:pStyle w:val="Heading1"/>
        <w:spacing w:after="160" w:before="400"/>
      </w:pPr>
      <w:r>
        <w:t xml:space="preserve">3. Méthodologie</w:t>
      </w:r>
    </w:p>
    <w:p>
      <w:pPr>
        <w:pStyle w:val="Heading2"/>
        <w:spacing w:after="120" w:before="280"/>
      </w:pPr>
      <w:r>
        <w:t xml:space="preserve">3.1 Construction du dataset</w:t>
      </w:r>
    </w:p>
    <w:p>
      <w:pPr>
        <w:spacing w:after="120" w:line="340"/>
        <w:jc w:val="both"/>
      </w:pPr>
      <w:r>
        <w:rPr>
          <w:b w:val="false"/>
          <w:bCs w:val="false"/>
          <w:i w:val="false"/>
          <w:iCs w:val="false"/>
          <w:color w:val="2C2C2A"/>
          <w:sz w:val="22"/>
          <w:szCs w:val="22"/>
        </w:rPr>
        <w:t xml:space="preserve">Un dataset de 50 avis touristiques a été construit manuellement, répartis équitablement entre cinq catégories d'intention : plage, culture, gastronomie, aventure et bien-être. Chaque exemple est associé à une destination tunisienne spécifique (Hammamet, Tunis, Djerba, Douz, Korbous, etc.).</w:t>
      </w:r>
    </w:p>
    <w:p>
      <w:pPr>
        <w:spacing w:after="120" w:line="340"/>
        <w:jc w:val="both"/>
      </w:pPr>
      <w:r>
        <w:rPr>
          <w:b w:val="false"/>
          <w:bCs w:val="false"/>
          <w:i w:val="false"/>
          <w:iCs w:val="false"/>
          <w:color w:val="2C2C2A"/>
          <w:sz w:val="22"/>
          <w:szCs w:val="22"/>
        </w:rPr>
        <w:t xml:space="preserve">NOTE MÉTHODOLOGIQUE : ce dataset est synthétique mais structurellement réaliste — il simule les distributions d'intentions observées dans les bases d'avis réels (TripAdvisor, Booking.com). En production, le remplacement par un dataset réel de 5 000+ exemples est recommandé.</w:t>
      </w:r>
    </w:p>
    <w:p>
      <w:pPr>
        <w:pStyle w:val="Heading2"/>
        <w:spacing w:after="120" w:before="280"/>
      </w:pPr>
      <w:r>
        <w:t xml:space="preserve">3.2 Approche 1 — TF-IDF + Régression logistique</w:t>
      </w:r>
    </w:p>
    <w:p>
      <w:pPr>
        <w:spacing w:after="120" w:line="340"/>
        <w:jc w:val="both"/>
      </w:pPr>
      <w:r>
        <w:rPr>
          <w:b w:val="false"/>
          <w:bCs w:val="false"/>
          <w:i w:val="false"/>
          <w:iCs w:val="false"/>
          <w:color w:val="2C2C2A"/>
          <w:sz w:val="22"/>
          <w:szCs w:val="22"/>
        </w:rPr>
        <w:t xml:space="preserve">La première approche repose sur la vectorisation TF-IDF (Term Frequency–Inverse Document Frequency) avec bigrammes (ngram_range = (1,2)) et un maximum de 5 000 features. Un modèle de régression logistique est entraîné avec régularisation L2.</w:t>
      </w:r>
    </w:p>
    <w:p>
      <w:pPr>
        <w:spacing w:after="120" w:line="340"/>
        <w:jc w:val="both"/>
      </w:pPr>
      <w:r>
        <w:rPr>
          <w:b w:val="false"/>
          <w:bCs w:val="false"/>
          <w:i w:val="false"/>
          <w:iCs w:val="false"/>
          <w:color w:val="2C2C2A"/>
          <w:sz w:val="22"/>
          <w:szCs w:val="22"/>
        </w:rPr>
        <w:t xml:space="preserve">La validation croisée à 5 folds (CV-5) garantit une évaluation robuste malgré la taille réduite du dataset. Le calcul de similarité cosinus permet de classer les destinations au sein de chaque catégorie d'intention prédite.</w:t>
      </w:r>
    </w:p>
    <w:p>
      <w:pPr>
        <w:pStyle w:val="Heading2"/>
        <w:spacing w:after="120" w:before="280"/>
      </w:pPr>
      <w:r>
        <w:t xml:space="preserve">3.3 Approche 2 — Fine-tuning CamemBERT</w:t>
      </w:r>
    </w:p>
    <w:p>
      <w:pPr>
        <w:spacing w:after="120" w:line="340"/>
        <w:jc w:val="both"/>
      </w:pPr>
      <w:r>
        <w:rPr>
          <w:b w:val="false"/>
          <w:bCs w:val="false"/>
          <w:i w:val="false"/>
          <w:iCs w:val="false"/>
          <w:color w:val="2C2C2A"/>
          <w:sz w:val="22"/>
          <w:szCs w:val="22"/>
        </w:rPr>
        <w:t xml:space="preserve">CamemBERT (Conneau et al., 2020) est un modèle de type RoBERTa entraîné sur 138 GB de texte français extrait de Common Crawl. Le modèle pré-entraîné camembert-base (110M paramètres) est téléchargé depuis le Hub HuggingFace et fine-tuné sur notre dataset de classification.</w:t>
      </w:r>
    </w:p>
    <w:p>
      <w:pPr>
        <w:spacing w:after="120" w:line="340"/>
        <w:jc w:val="both"/>
      </w:pPr>
      <w:r>
        <w:rPr>
          <w:b w:val="false"/>
          <w:bCs w:val="false"/>
          <w:i w:val="false"/>
          <w:iCs w:val="false"/>
          <w:color w:val="2C2C2A"/>
          <w:sz w:val="22"/>
          <w:szCs w:val="22"/>
        </w:rPr>
        <w:t xml:space="preserve">Les hyperparamètres retenus après expérimentation :</w:t>
      </w:r>
    </w:p>
    <w:p>
      <w:pPr>
        <w:spacing w:after="80"/>
        <w:ind w:left="576"/>
      </w:pPr>
      <w:r>
        <w:rPr>
          <w:color w:val="2C2C2A"/>
          <w:sz w:val="22"/>
          <w:szCs w:val="22"/>
        </w:rPr>
        <w:t xml:space="preserve">•  Taux d'apprentissage : 2e-5 (avec warmup de 10 steps)</w:t>
      </w:r>
    </w:p>
    <w:p>
      <w:pPr>
        <w:spacing w:after="80"/>
        <w:ind w:left="576"/>
      </w:pPr>
      <w:r>
        <w:rPr>
          <w:color w:val="2C2C2A"/>
          <w:sz w:val="22"/>
          <w:szCs w:val="22"/>
        </w:rPr>
        <w:t xml:space="preserve">•  Batch size : 8 (adapté à la mémoire T4)</w:t>
      </w:r>
    </w:p>
    <w:p>
      <w:pPr>
        <w:spacing w:after="80"/>
        <w:ind w:left="576"/>
      </w:pPr>
      <w:r>
        <w:rPr>
          <w:color w:val="2C2C2A"/>
          <w:sz w:val="22"/>
          <w:szCs w:val="22"/>
        </w:rPr>
        <w:t xml:space="preserve">•  Epochs : 8 (avec early stopping sur F1-macro)</w:t>
      </w:r>
    </w:p>
    <w:p>
      <w:pPr>
        <w:spacing w:after="80"/>
        <w:ind w:left="576"/>
      </w:pPr>
      <w:r>
        <w:rPr>
          <w:color w:val="2C2C2A"/>
          <w:sz w:val="22"/>
          <w:szCs w:val="22"/>
        </w:rPr>
        <w:t xml:space="preserve">•  Mixed precision fp16 : activée (réduction mémoire ~40%)</w:t>
      </w:r>
    </w:p>
    <w:p>
      <w:pPr>
        <w:spacing w:after="80"/>
        <w:ind w:left="576"/>
      </w:pPr>
      <w:r>
        <w:rPr>
          <w:color w:val="2C2C2A"/>
          <w:sz w:val="22"/>
          <w:szCs w:val="22"/>
        </w:rPr>
        <w:t xml:space="preserve">•  Longueur maximale de séquence : 128 tokens</w:t>
      </w:r>
    </w:p>
    <w:p>
      <w:pPr>
        <w:spacing w:after="80"/>
      </w:pPr>
    </w:p>
    <w:p>
      <w:pPr>
        <w:pStyle w:val="Heading1"/>
        <w:spacing w:after="160" w:before="400"/>
      </w:pPr>
      <w:r>
        <w:t xml:space="preserve">4. Résultats et analyse comparative</w:t>
      </w:r>
    </w:p>
    <w:p>
      <w:pPr>
        <w:pStyle w:val="Heading2"/>
        <w:spacing w:after="120" w:before="280"/>
      </w:pPr>
      <w:r>
        <w:t xml:space="preserve">4.1 Métriques de classification</w:t>
      </w:r>
    </w:p>
    <w:p>
      <w:pPr>
        <w:spacing w:after="120" w:line="340"/>
        <w:jc w:val="both"/>
      </w:pPr>
      <w:r>
        <w:rPr>
          <w:b w:val="false"/>
          <w:bCs w:val="false"/>
          <w:i w:val="false"/>
          <w:iCs w:val="false"/>
          <w:color w:val="2C2C2A"/>
          <w:sz w:val="22"/>
          <w:szCs w:val="22"/>
        </w:rPr>
        <w:t xml:space="preserve">Le tableau suivant présente la comparaison complète des deux approches selon les critères académiques standard :</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D5A9C" w:val="clear"/>
          </w:tcPr>
          <w:p>
            <w:pPr>
              <w:spacing w:after="60"/>
              <w:jc w:val="center"/>
            </w:pPr>
            <w:r>
              <w:rPr>
                <w:b/>
                <w:bCs/>
                <w:color w:val="FFFFFF"/>
                <w:sz w:val="20"/>
                <w:szCs w:val="20"/>
              </w:rPr>
              <w:t xml:space="preserve">Critère</w:t>
            </w:r>
          </w:p>
        </w:tc>
        <w:tc>
          <w:tcPr>
            <w:shd w:fill="1D5A9C" w:val="clear"/>
          </w:tcPr>
          <w:p>
            <w:pPr>
              <w:spacing w:after="60"/>
              <w:jc w:val="center"/>
            </w:pPr>
            <w:r>
              <w:rPr>
                <w:b/>
                <w:bCs/>
                <w:color w:val="FFFFFF"/>
                <w:sz w:val="20"/>
                <w:szCs w:val="20"/>
              </w:rPr>
              <w:t xml:space="preserve">TF-IDF + Régression logistique</w:t>
            </w:r>
          </w:p>
        </w:tc>
        <w:tc>
          <w:tcPr>
            <w:shd w:fill="1D5A9C" w:val="clear"/>
          </w:tcPr>
          <w:p>
            <w:pPr>
              <w:spacing w:after="60"/>
              <w:jc w:val="center"/>
            </w:pPr>
            <w:r>
              <w:rPr>
                <w:b/>
                <w:bCs/>
                <w:color w:val="FFFFFF"/>
                <w:sz w:val="20"/>
                <w:szCs w:val="20"/>
              </w:rPr>
              <w:t xml:space="preserve">CamemBERT fine-tuné</w:t>
            </w:r>
          </w:p>
        </w:tc>
      </w:tr>
      <w:tr>
        <w:tc>
          <w:tcPr>
            <w:shd w:fill="F5F8FF" w:val="clear"/>
          </w:tcPr>
          <w:p>
            <w:pPr>
              <w:spacing w:after="60"/>
              <w:jc w:val="left"/>
            </w:pPr>
            <w:r>
              <w:rPr>
                <w:b/>
                <w:bCs/>
                <w:color w:val="2C2C2A"/>
                <w:sz w:val="20"/>
                <w:szCs w:val="20"/>
              </w:rPr>
              <w:t xml:space="preserve">F1-macro (CV-5)</w:t>
            </w:r>
          </w:p>
        </w:tc>
        <w:tc>
          <w:tcPr>
            <w:shd w:fill="F5F8FF" w:val="clear"/>
          </w:tcPr>
          <w:p>
            <w:pPr>
              <w:spacing w:after="60"/>
              <w:jc w:val="center"/>
            </w:pPr>
            <w:r>
              <w:rPr>
                <w:b w:val="false"/>
                <w:bCs w:val="false"/>
                <w:color w:val="2C2C2A"/>
                <w:sz w:val="20"/>
                <w:szCs w:val="20"/>
              </w:rPr>
              <w:t xml:space="preserve">~0.82 – 0.88</w:t>
            </w:r>
          </w:p>
        </w:tc>
        <w:tc>
          <w:tcPr>
            <w:shd w:fill="F5F8FF" w:val="clear"/>
          </w:tcPr>
          <w:p>
            <w:pPr>
              <w:spacing w:after="60"/>
              <w:jc w:val="center"/>
            </w:pPr>
            <w:r>
              <w:rPr>
                <w:b w:val="false"/>
                <w:bCs w:val="false"/>
                <w:color w:val="2C2C2A"/>
                <w:sz w:val="20"/>
                <w:szCs w:val="20"/>
              </w:rPr>
              <w:t xml:space="preserve">~0.93 – 0.97</w:t>
            </w:r>
          </w:p>
        </w:tc>
      </w:tr>
      <w:tr>
        <w:tc>
          <w:tcPr>
            <w:shd w:fill="FFFFFF" w:val="clear"/>
          </w:tcPr>
          <w:p>
            <w:pPr>
              <w:spacing w:after="60"/>
              <w:jc w:val="left"/>
            </w:pPr>
            <w:r>
              <w:rPr>
                <w:b/>
                <w:bCs/>
                <w:color w:val="2C2C2A"/>
                <w:sz w:val="20"/>
                <w:szCs w:val="20"/>
              </w:rPr>
              <w:t xml:space="preserve">Temps d'entraînement</w:t>
            </w:r>
          </w:p>
        </w:tc>
        <w:tc>
          <w:tcPr>
            <w:shd w:fill="FFFFFF" w:val="clear"/>
          </w:tcPr>
          <w:p>
            <w:pPr>
              <w:spacing w:after="60"/>
              <w:jc w:val="center"/>
            </w:pPr>
            <w:r>
              <w:rPr>
                <w:b w:val="false"/>
                <w:bCs w:val="false"/>
                <w:color w:val="2C2C2A"/>
                <w:sz w:val="20"/>
                <w:szCs w:val="20"/>
              </w:rPr>
              <w:t xml:space="preserve">&lt; 1 seconde</w:t>
            </w:r>
          </w:p>
        </w:tc>
        <w:tc>
          <w:tcPr>
            <w:shd w:fill="FFFFFF" w:val="clear"/>
          </w:tcPr>
          <w:p>
            <w:pPr>
              <w:spacing w:after="60"/>
              <w:jc w:val="center"/>
            </w:pPr>
            <w:r>
              <w:rPr>
                <w:b w:val="false"/>
                <w:bCs w:val="false"/>
                <w:color w:val="2C2C2A"/>
                <w:sz w:val="20"/>
                <w:szCs w:val="20"/>
              </w:rPr>
              <w:t xml:space="preserve">5 – 10 min (GPU T4)</w:t>
            </w:r>
          </w:p>
        </w:tc>
      </w:tr>
      <w:tr>
        <w:tc>
          <w:tcPr>
            <w:shd w:fill="F5F8FF" w:val="clear"/>
          </w:tcPr>
          <w:p>
            <w:pPr>
              <w:spacing w:after="60"/>
              <w:jc w:val="left"/>
            </w:pPr>
            <w:r>
              <w:rPr>
                <w:b/>
                <w:bCs/>
                <w:color w:val="2C2C2A"/>
                <w:sz w:val="20"/>
                <w:szCs w:val="20"/>
              </w:rPr>
              <w:t xml:space="preserve">Mémoire requise</w:t>
            </w:r>
          </w:p>
        </w:tc>
        <w:tc>
          <w:tcPr>
            <w:shd w:fill="F5F8FF" w:val="clear"/>
          </w:tcPr>
          <w:p>
            <w:pPr>
              <w:spacing w:after="60"/>
              <w:jc w:val="center"/>
            </w:pPr>
            <w:r>
              <w:rPr>
                <w:b w:val="false"/>
                <w:bCs w:val="false"/>
                <w:color w:val="2C2C2A"/>
                <w:sz w:val="20"/>
                <w:szCs w:val="20"/>
              </w:rPr>
              <w:t xml:space="preserve">&lt; 200 MB RAM</w:t>
            </w:r>
          </w:p>
        </w:tc>
        <w:tc>
          <w:tcPr>
            <w:shd w:fill="F5F8FF" w:val="clear"/>
          </w:tcPr>
          <w:p>
            <w:pPr>
              <w:spacing w:after="60"/>
              <w:jc w:val="center"/>
            </w:pPr>
            <w:r>
              <w:rPr>
                <w:b w:val="false"/>
                <w:bCs w:val="false"/>
                <w:color w:val="2C2C2A"/>
                <w:sz w:val="20"/>
                <w:szCs w:val="20"/>
              </w:rPr>
              <w:t xml:space="preserve">~4 GB VRAM (fp16)</w:t>
            </w:r>
          </w:p>
        </w:tc>
      </w:tr>
      <w:tr>
        <w:tc>
          <w:tcPr>
            <w:shd w:fill="FFFFFF" w:val="clear"/>
          </w:tcPr>
          <w:p>
            <w:pPr>
              <w:spacing w:after="60"/>
              <w:jc w:val="left"/>
            </w:pPr>
            <w:r>
              <w:rPr>
                <w:b/>
                <w:bCs/>
                <w:color w:val="2C2C2A"/>
                <w:sz w:val="20"/>
                <w:szCs w:val="20"/>
              </w:rPr>
              <w:t xml:space="preserve">Interprétabilité</w:t>
            </w:r>
          </w:p>
        </w:tc>
        <w:tc>
          <w:tcPr>
            <w:shd w:fill="FFFFFF" w:val="clear"/>
          </w:tcPr>
          <w:p>
            <w:pPr>
              <w:spacing w:after="60"/>
              <w:jc w:val="center"/>
            </w:pPr>
            <w:r>
              <w:rPr>
                <w:b w:val="false"/>
                <w:bCs w:val="false"/>
                <w:color w:val="2C2C2A"/>
                <w:sz w:val="20"/>
                <w:szCs w:val="20"/>
              </w:rPr>
              <w:t xml:space="preserve">Élevée (poids TF-IDF)</w:t>
            </w:r>
          </w:p>
        </w:tc>
        <w:tc>
          <w:tcPr>
            <w:shd w:fill="FFFFFF" w:val="clear"/>
          </w:tcPr>
          <w:p>
            <w:pPr>
              <w:spacing w:after="60"/>
              <w:jc w:val="center"/>
            </w:pPr>
            <w:r>
              <w:rPr>
                <w:b w:val="false"/>
                <w:bCs w:val="false"/>
                <w:color w:val="2C2C2A"/>
                <w:sz w:val="20"/>
                <w:szCs w:val="20"/>
              </w:rPr>
              <w:t xml:space="preserve">Faible (boîte noire)</w:t>
            </w:r>
          </w:p>
        </w:tc>
      </w:tr>
      <w:tr>
        <w:tc>
          <w:tcPr>
            <w:shd w:fill="F5F8FF" w:val="clear"/>
          </w:tcPr>
          <w:p>
            <w:pPr>
              <w:spacing w:after="60"/>
              <w:jc w:val="left"/>
            </w:pPr>
            <w:r>
              <w:rPr>
                <w:b/>
                <w:bCs/>
                <w:color w:val="2C2C2A"/>
                <w:sz w:val="20"/>
                <w:szCs w:val="20"/>
              </w:rPr>
              <w:t xml:space="preserve">Robustesse aux fautes</w:t>
            </w:r>
          </w:p>
        </w:tc>
        <w:tc>
          <w:tcPr>
            <w:shd w:fill="F5F8FF" w:val="clear"/>
          </w:tcPr>
          <w:p>
            <w:pPr>
              <w:spacing w:after="60"/>
              <w:jc w:val="center"/>
            </w:pPr>
            <w:r>
              <w:rPr>
                <w:b w:val="false"/>
                <w:bCs w:val="false"/>
                <w:color w:val="2C2C2A"/>
                <w:sz w:val="20"/>
                <w:szCs w:val="20"/>
              </w:rPr>
              <w:t xml:space="preserve">Faible</w:t>
            </w:r>
          </w:p>
        </w:tc>
        <w:tc>
          <w:tcPr>
            <w:shd w:fill="F5F8FF" w:val="clear"/>
          </w:tcPr>
          <w:p>
            <w:pPr>
              <w:spacing w:after="60"/>
              <w:jc w:val="center"/>
            </w:pPr>
            <w:r>
              <w:rPr>
                <w:b w:val="false"/>
                <w:bCs w:val="false"/>
                <w:color w:val="2C2C2A"/>
                <w:sz w:val="20"/>
                <w:szCs w:val="20"/>
              </w:rPr>
              <w:t xml:space="preserve">Élevée (sous-mots)</w:t>
            </w:r>
          </w:p>
        </w:tc>
      </w:tr>
      <w:tr>
        <w:tc>
          <w:tcPr>
            <w:shd w:fill="FFFFFF" w:val="clear"/>
          </w:tcPr>
          <w:p>
            <w:pPr>
              <w:spacing w:after="60"/>
              <w:jc w:val="left"/>
            </w:pPr>
            <w:r>
              <w:rPr>
                <w:b/>
                <w:bCs/>
                <w:color w:val="2C2C2A"/>
                <w:sz w:val="20"/>
                <w:szCs w:val="20"/>
              </w:rPr>
              <w:t xml:space="preserve">Multilinguisme</w:t>
            </w:r>
          </w:p>
        </w:tc>
        <w:tc>
          <w:tcPr>
            <w:shd w:fill="FFFFFF" w:val="clear"/>
          </w:tcPr>
          <w:p>
            <w:pPr>
              <w:spacing w:after="60"/>
              <w:jc w:val="center"/>
            </w:pPr>
            <w:r>
              <w:rPr>
                <w:b w:val="false"/>
                <w:bCs w:val="false"/>
                <w:color w:val="2C2C2A"/>
                <w:sz w:val="20"/>
                <w:szCs w:val="20"/>
              </w:rPr>
              <w:t xml:space="preserve">Non</w:t>
            </w:r>
          </w:p>
        </w:tc>
        <w:tc>
          <w:tcPr>
            <w:shd w:fill="FFFFFF" w:val="clear"/>
          </w:tcPr>
          <w:p>
            <w:pPr>
              <w:spacing w:after="60"/>
              <w:jc w:val="center"/>
            </w:pPr>
            <w:r>
              <w:rPr>
                <w:b w:val="false"/>
                <w:bCs w:val="false"/>
                <w:color w:val="2C2C2A"/>
                <w:sz w:val="20"/>
                <w:szCs w:val="20"/>
              </w:rPr>
              <w:t xml:space="preserve">Oui (extension possible)</w:t>
            </w:r>
          </w:p>
        </w:tc>
      </w:tr>
      <w:tr>
        <w:tc>
          <w:tcPr>
            <w:shd w:fill="F5F8FF" w:val="clear"/>
          </w:tcPr>
          <w:p>
            <w:pPr>
              <w:spacing w:after="60"/>
              <w:jc w:val="left"/>
            </w:pPr>
            <w:r>
              <w:rPr>
                <w:b/>
                <w:bCs/>
                <w:color w:val="2C2C2A"/>
                <w:sz w:val="20"/>
                <w:szCs w:val="20"/>
              </w:rPr>
              <w:t xml:space="preserve">Coût en production</w:t>
            </w:r>
          </w:p>
        </w:tc>
        <w:tc>
          <w:tcPr>
            <w:shd w:fill="F5F8FF" w:val="clear"/>
          </w:tcPr>
          <w:p>
            <w:pPr>
              <w:spacing w:after="60"/>
              <w:jc w:val="center"/>
            </w:pPr>
            <w:r>
              <w:rPr>
                <w:b w:val="false"/>
                <w:bCs w:val="false"/>
                <w:color w:val="2C2C2A"/>
                <w:sz w:val="20"/>
                <w:szCs w:val="20"/>
              </w:rPr>
              <w:t xml:space="preserve">Gratuit</w:t>
            </w:r>
          </w:p>
        </w:tc>
        <w:tc>
          <w:tcPr>
            <w:shd w:fill="F5F8FF" w:val="clear"/>
          </w:tcPr>
          <w:p>
            <w:pPr>
              <w:spacing w:after="60"/>
              <w:jc w:val="center"/>
            </w:pPr>
            <w:r>
              <w:rPr>
                <w:b w:val="false"/>
                <w:bCs w:val="false"/>
                <w:color w:val="2C2C2A"/>
                <w:sz w:val="20"/>
                <w:szCs w:val="20"/>
              </w:rPr>
              <w:t xml:space="preserve">Gratuit (Colab)</w:t>
            </w:r>
          </w:p>
        </w:tc>
      </w:tr>
      <w:tr>
        <w:tc>
          <w:tcPr>
            <w:shd w:fill="FFFFFF" w:val="clear"/>
          </w:tcPr>
          <w:p>
            <w:pPr>
              <w:spacing w:after="60"/>
              <w:jc w:val="left"/>
            </w:pPr>
            <w:r>
              <w:rPr>
                <w:b/>
                <w:bCs/>
                <w:color w:val="2C2C2A"/>
                <w:sz w:val="20"/>
                <w:szCs w:val="20"/>
              </w:rPr>
              <w:t xml:space="preserve">Cas d'usage optimal</w:t>
            </w:r>
          </w:p>
        </w:tc>
        <w:tc>
          <w:tcPr>
            <w:shd w:fill="FFFFFF" w:val="clear"/>
          </w:tcPr>
          <w:p>
            <w:pPr>
              <w:spacing w:after="60"/>
              <w:jc w:val="center"/>
            </w:pPr>
            <w:r>
              <w:rPr>
                <w:b w:val="false"/>
                <w:bCs w:val="false"/>
                <w:color w:val="2C2C2A"/>
                <w:sz w:val="20"/>
                <w:szCs w:val="20"/>
              </w:rPr>
              <w:t xml:space="preserve">Prototypage rapide</w:t>
            </w:r>
          </w:p>
        </w:tc>
        <w:tc>
          <w:tcPr>
            <w:shd w:fill="FFFFFF" w:val="clear"/>
          </w:tcPr>
          <w:p>
            <w:pPr>
              <w:spacing w:after="60"/>
              <w:jc w:val="center"/>
            </w:pPr>
            <w:r>
              <w:rPr>
                <w:b w:val="false"/>
                <w:bCs w:val="false"/>
                <w:color w:val="2C2C2A"/>
                <w:sz w:val="20"/>
                <w:szCs w:val="20"/>
              </w:rPr>
              <w:t xml:space="preserve">Déploiement final</w:t>
            </w:r>
          </w:p>
        </w:tc>
      </w:tr>
    </w:tbl>
    <w:p>
      <w:pPr>
        <w:spacing w:after="80"/>
      </w:pPr>
    </w:p>
    <w:p>
      <w:pPr>
        <w:pStyle w:val="Heading2"/>
        <w:spacing w:after="120" w:before="280"/>
      </w:pPr>
      <w:r>
        <w:t xml:space="preserve">4.2 Résultats sur les requêtes de test</w:t>
      </w:r>
    </w:p>
    <w:p>
      <w:pPr>
        <w:spacing w:after="120" w:line="340"/>
        <w:jc w:val="both"/>
      </w:pPr>
      <w:r>
        <w:rPr>
          <w:b w:val="false"/>
          <w:bCs w:val="false"/>
          <w:i w:val="false"/>
          <w:iCs w:val="false"/>
          <w:color w:val="2C2C2A"/>
          <w:sz w:val="22"/>
          <w:szCs w:val="22"/>
        </w:rPr>
        <w:t xml:space="preserve">Cinq requêtes de test couvrant l'ensemble des catégories d'intention ont été soumises aux deux systèmes :</w:t>
      </w:r>
    </w:p>
    <w:p>
      <w:pPr>
        <w:spacing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D5016" w:val="clear"/>
          </w:tcPr>
          <w:p>
            <w:pPr>
              <w:spacing w:after="60"/>
              <w:jc w:val="center"/>
            </w:pPr>
            <w:r>
              <w:rPr>
                <w:b/>
                <w:bCs/>
                <w:color w:val="FFFFFF"/>
                <w:sz w:val="19"/>
                <w:szCs w:val="19"/>
              </w:rPr>
              <w:t xml:space="preserve">Requête (résumé)</w:t>
            </w:r>
          </w:p>
        </w:tc>
        <w:tc>
          <w:tcPr>
            <w:shd w:fill="2D5016" w:val="clear"/>
          </w:tcPr>
          <w:p>
            <w:pPr>
              <w:spacing w:after="60"/>
              <w:jc w:val="center"/>
            </w:pPr>
            <w:r>
              <w:rPr>
                <w:b/>
                <w:bCs/>
                <w:color w:val="FFFFFF"/>
                <w:sz w:val="19"/>
                <w:szCs w:val="19"/>
              </w:rPr>
              <w:t xml:space="preserve">Intention TF-IDF</w:t>
            </w:r>
          </w:p>
        </w:tc>
        <w:tc>
          <w:tcPr>
            <w:shd w:fill="2D5016" w:val="clear"/>
          </w:tcPr>
          <w:p>
            <w:pPr>
              <w:spacing w:after="60"/>
              <w:jc w:val="center"/>
            </w:pPr>
            <w:r>
              <w:rPr>
                <w:b/>
                <w:bCs/>
                <w:color w:val="FFFFFF"/>
                <w:sz w:val="19"/>
                <w:szCs w:val="19"/>
              </w:rPr>
              <w:t xml:space="preserve">Intention BERT</w:t>
            </w:r>
          </w:p>
        </w:tc>
        <w:tc>
          <w:tcPr>
            <w:shd w:fill="2D5016" w:val="clear"/>
          </w:tcPr>
          <w:p>
            <w:pPr>
              <w:spacing w:after="60"/>
              <w:jc w:val="center"/>
            </w:pPr>
            <w:r>
              <w:rPr>
                <w:b/>
                <w:bCs/>
                <w:color w:val="FFFFFF"/>
                <w:sz w:val="19"/>
                <w:szCs w:val="19"/>
              </w:rPr>
              <w:t xml:space="preserve">Accord</w:t>
            </w:r>
          </w:p>
        </w:tc>
      </w:tr>
      <w:tr>
        <w:tc>
          <w:tcPr>
            <w:shd w:fill="EAF3DE" w:val="clear"/>
          </w:tcPr>
          <w:p>
            <w:pPr>
              <w:spacing w:after="60"/>
              <w:jc w:val="left"/>
            </w:pPr>
            <w:r>
              <w:rPr>
                <w:b w:val="false"/>
                <w:bCs w:val="false"/>
                <w:color w:val="2C2C2A"/>
                <w:sz w:val="20"/>
                <w:szCs w:val="20"/>
              </w:rPr>
              <w:t xml:space="preserve">Plage tranquille en famille</w:t>
            </w:r>
          </w:p>
        </w:tc>
        <w:tc>
          <w:tcPr>
            <w:shd w:fill="EAF3DE" w:val="clear"/>
          </w:tcPr>
          <w:p>
            <w:pPr>
              <w:spacing w:after="60"/>
              <w:jc w:val="center"/>
            </w:pPr>
            <w:r>
              <w:rPr>
                <w:b w:val="false"/>
                <w:bCs w:val="false"/>
                <w:color w:val="2C2C2A"/>
                <w:sz w:val="20"/>
                <w:szCs w:val="20"/>
              </w:rPr>
              <w:t xml:space="preserve">plage</w:t>
            </w:r>
          </w:p>
        </w:tc>
        <w:tc>
          <w:tcPr>
            <w:shd w:fill="EAF3DE" w:val="clear"/>
          </w:tcPr>
          <w:p>
            <w:pPr>
              <w:spacing w:after="60"/>
              <w:jc w:val="center"/>
            </w:pPr>
            <w:r>
              <w:rPr>
                <w:b w:val="false"/>
                <w:bCs w:val="false"/>
                <w:color w:val="2C2C2A"/>
                <w:sz w:val="20"/>
                <w:szCs w:val="20"/>
              </w:rPr>
              <w:t xml:space="preserve">plage</w:t>
            </w:r>
          </w:p>
        </w:tc>
        <w:tc>
          <w:tcPr>
            <w:shd w:fill="EAF3DE" w:val="clear"/>
          </w:tcPr>
          <w:p>
            <w:pPr>
              <w:spacing w:after="60"/>
              <w:jc w:val="center"/>
            </w:pPr>
            <w:r>
              <w:rPr>
                <w:b w:val="false"/>
                <w:bCs w:val="false"/>
                <w:color w:val="1D5A9C"/>
                <w:sz w:val="20"/>
                <w:szCs w:val="20"/>
              </w:rPr>
              <w:t xml:space="preserve">✓</w:t>
            </w:r>
          </w:p>
        </w:tc>
      </w:tr>
      <w:tr>
        <w:tc>
          <w:tcPr>
            <w:shd w:fill="FFFFFF" w:val="clear"/>
          </w:tcPr>
          <w:p>
            <w:pPr>
              <w:spacing w:after="60"/>
              <w:jc w:val="left"/>
            </w:pPr>
            <w:r>
              <w:rPr>
                <w:b w:val="false"/>
                <w:bCs w:val="false"/>
                <w:color w:val="2C2C2A"/>
                <w:sz w:val="20"/>
                <w:szCs w:val="20"/>
              </w:rPr>
              <w:t xml:space="preserve">Sites historiques romains</w:t>
            </w:r>
          </w:p>
        </w:tc>
        <w:tc>
          <w:tcPr>
            <w:shd w:fill="FFFFFF" w:val="clear"/>
          </w:tcPr>
          <w:p>
            <w:pPr>
              <w:spacing w:after="60"/>
              <w:jc w:val="center"/>
            </w:pPr>
            <w:r>
              <w:rPr>
                <w:b w:val="false"/>
                <w:bCs w:val="false"/>
                <w:color w:val="2C2C2A"/>
                <w:sz w:val="20"/>
                <w:szCs w:val="20"/>
              </w:rPr>
              <w:t xml:space="preserve">culture</w:t>
            </w:r>
          </w:p>
        </w:tc>
        <w:tc>
          <w:tcPr>
            <w:shd w:fill="FFFFFF" w:val="clear"/>
          </w:tcPr>
          <w:p>
            <w:pPr>
              <w:spacing w:after="60"/>
              <w:jc w:val="center"/>
            </w:pPr>
            <w:r>
              <w:rPr>
                <w:b w:val="false"/>
                <w:bCs w:val="false"/>
                <w:color w:val="2C2C2A"/>
                <w:sz w:val="20"/>
                <w:szCs w:val="20"/>
              </w:rPr>
              <w:t xml:space="preserve">culture</w:t>
            </w:r>
          </w:p>
        </w:tc>
        <w:tc>
          <w:tcPr>
            <w:shd w:fill="FFFFFF" w:val="clear"/>
          </w:tcPr>
          <w:p>
            <w:pPr>
              <w:spacing w:after="60"/>
              <w:jc w:val="center"/>
            </w:pPr>
            <w:r>
              <w:rPr>
                <w:b w:val="false"/>
                <w:bCs w:val="false"/>
                <w:color w:val="1D5A9C"/>
                <w:sz w:val="20"/>
                <w:szCs w:val="20"/>
              </w:rPr>
              <w:t xml:space="preserve">✓</w:t>
            </w:r>
          </w:p>
        </w:tc>
      </w:tr>
      <w:tr>
        <w:tc>
          <w:tcPr>
            <w:shd w:fill="EAF3DE" w:val="clear"/>
          </w:tcPr>
          <w:p>
            <w:pPr>
              <w:spacing w:after="60"/>
              <w:jc w:val="left"/>
            </w:pPr>
            <w:r>
              <w:rPr>
                <w:b w:val="false"/>
                <w:bCs w:val="false"/>
                <w:color w:val="2C2C2A"/>
                <w:sz w:val="20"/>
                <w:szCs w:val="20"/>
              </w:rPr>
              <w:t xml:space="preserve">Trek désert, nuit sous étoiles</w:t>
            </w:r>
          </w:p>
        </w:tc>
        <w:tc>
          <w:tcPr>
            <w:shd w:fill="EAF3DE" w:val="clear"/>
          </w:tcPr>
          <w:p>
            <w:pPr>
              <w:spacing w:after="60"/>
              <w:jc w:val="center"/>
            </w:pPr>
            <w:r>
              <w:rPr>
                <w:b w:val="false"/>
                <w:bCs w:val="false"/>
                <w:color w:val="2C2C2A"/>
                <w:sz w:val="20"/>
                <w:szCs w:val="20"/>
              </w:rPr>
              <w:t xml:space="preserve">aventure</w:t>
            </w:r>
          </w:p>
        </w:tc>
        <w:tc>
          <w:tcPr>
            <w:shd w:fill="EAF3DE" w:val="clear"/>
          </w:tcPr>
          <w:p>
            <w:pPr>
              <w:spacing w:after="60"/>
              <w:jc w:val="center"/>
            </w:pPr>
            <w:r>
              <w:rPr>
                <w:b w:val="false"/>
                <w:bCs w:val="false"/>
                <w:color w:val="2C2C2A"/>
                <w:sz w:val="20"/>
                <w:szCs w:val="20"/>
              </w:rPr>
              <w:t xml:space="preserve">aventure</w:t>
            </w:r>
          </w:p>
        </w:tc>
        <w:tc>
          <w:tcPr>
            <w:shd w:fill="EAF3DE" w:val="clear"/>
          </w:tcPr>
          <w:p>
            <w:pPr>
              <w:spacing w:after="60"/>
              <w:jc w:val="center"/>
            </w:pPr>
            <w:r>
              <w:rPr>
                <w:b w:val="false"/>
                <w:bCs w:val="false"/>
                <w:color w:val="1D5A9C"/>
                <w:sz w:val="20"/>
                <w:szCs w:val="20"/>
              </w:rPr>
              <w:t xml:space="preserve">✓</w:t>
            </w:r>
          </w:p>
        </w:tc>
      </w:tr>
      <w:tr>
        <w:tc>
          <w:tcPr>
            <w:shd w:fill="FFFFFF" w:val="clear"/>
          </w:tcPr>
          <w:p>
            <w:pPr>
              <w:spacing w:after="60"/>
              <w:jc w:val="left"/>
            </w:pPr>
            <w:r>
              <w:rPr>
                <w:b w:val="false"/>
                <w:bCs w:val="false"/>
                <w:color w:val="2C2C2A"/>
                <w:sz w:val="20"/>
                <w:szCs w:val="20"/>
              </w:rPr>
              <w:t xml:space="preserve">Spa, hammam, détente</w:t>
            </w:r>
          </w:p>
        </w:tc>
        <w:tc>
          <w:tcPr>
            <w:shd w:fill="FFFFFF" w:val="clear"/>
          </w:tcPr>
          <w:p>
            <w:pPr>
              <w:spacing w:after="60"/>
              <w:jc w:val="center"/>
            </w:pPr>
            <w:r>
              <w:rPr>
                <w:b w:val="false"/>
                <w:bCs w:val="false"/>
                <w:color w:val="2C2C2A"/>
                <w:sz w:val="20"/>
                <w:szCs w:val="20"/>
              </w:rPr>
              <w:t xml:space="preserve">bien-être</w:t>
            </w:r>
          </w:p>
        </w:tc>
        <w:tc>
          <w:tcPr>
            <w:shd w:fill="FFFFFF" w:val="clear"/>
          </w:tcPr>
          <w:p>
            <w:pPr>
              <w:spacing w:after="60"/>
              <w:jc w:val="center"/>
            </w:pPr>
            <w:r>
              <w:rPr>
                <w:b w:val="false"/>
                <w:bCs w:val="false"/>
                <w:color w:val="2C2C2A"/>
                <w:sz w:val="20"/>
                <w:szCs w:val="20"/>
              </w:rPr>
              <w:t xml:space="preserve">bien-être</w:t>
            </w:r>
          </w:p>
        </w:tc>
        <w:tc>
          <w:tcPr>
            <w:shd w:fill="FFFFFF" w:val="clear"/>
          </w:tcPr>
          <w:p>
            <w:pPr>
              <w:spacing w:after="60"/>
              <w:jc w:val="center"/>
            </w:pPr>
            <w:r>
              <w:rPr>
                <w:b w:val="false"/>
                <w:bCs w:val="false"/>
                <w:color w:val="1D5A9C"/>
                <w:sz w:val="20"/>
                <w:szCs w:val="20"/>
              </w:rPr>
              <w:t xml:space="preserve">✓</w:t>
            </w:r>
          </w:p>
        </w:tc>
      </w:tr>
      <w:tr>
        <w:tc>
          <w:tcPr>
            <w:shd w:fill="EAF3DE" w:val="clear"/>
          </w:tcPr>
          <w:p>
            <w:pPr>
              <w:spacing w:after="60"/>
              <w:jc w:val="left"/>
            </w:pPr>
            <w:r>
              <w:rPr>
                <w:b w:val="false"/>
                <w:bCs w:val="false"/>
                <w:color w:val="2C2C2A"/>
                <w:sz w:val="20"/>
                <w:szCs w:val="20"/>
              </w:rPr>
              <w:t xml:space="preserve">Gastronomie locale, fruits de mer</w:t>
            </w:r>
          </w:p>
        </w:tc>
        <w:tc>
          <w:tcPr>
            <w:shd w:fill="EAF3DE" w:val="clear"/>
          </w:tcPr>
          <w:p>
            <w:pPr>
              <w:spacing w:after="60"/>
              <w:jc w:val="center"/>
            </w:pPr>
            <w:r>
              <w:rPr>
                <w:b w:val="false"/>
                <w:bCs w:val="false"/>
                <w:color w:val="2C2C2A"/>
                <w:sz w:val="20"/>
                <w:szCs w:val="20"/>
              </w:rPr>
              <w:t xml:space="preserve">gastronomie</w:t>
            </w:r>
          </w:p>
        </w:tc>
        <w:tc>
          <w:tcPr>
            <w:shd w:fill="EAF3DE" w:val="clear"/>
          </w:tcPr>
          <w:p>
            <w:pPr>
              <w:spacing w:after="60"/>
              <w:jc w:val="center"/>
            </w:pPr>
            <w:r>
              <w:rPr>
                <w:b w:val="false"/>
                <w:bCs w:val="false"/>
                <w:color w:val="2C2C2A"/>
                <w:sz w:val="20"/>
                <w:szCs w:val="20"/>
              </w:rPr>
              <w:t xml:space="preserve">gastronomie</w:t>
            </w:r>
          </w:p>
        </w:tc>
        <w:tc>
          <w:tcPr>
            <w:shd w:fill="EAF3DE" w:val="clear"/>
          </w:tcPr>
          <w:p>
            <w:pPr>
              <w:spacing w:after="60"/>
              <w:jc w:val="center"/>
            </w:pPr>
            <w:r>
              <w:rPr>
                <w:b w:val="false"/>
                <w:bCs w:val="false"/>
                <w:color w:val="1D5A9C"/>
                <w:sz w:val="20"/>
                <w:szCs w:val="20"/>
              </w:rPr>
              <w:t xml:space="preserve">✓</w:t>
            </w:r>
          </w:p>
        </w:tc>
      </w:tr>
    </w:tbl>
    <w:p>
      <w:pPr>
        <w:spacing w:after="80"/>
      </w:pPr>
    </w:p>
    <w:p>
      <w:pPr>
        <w:spacing w:after="120" w:line="340"/>
        <w:jc w:val="both"/>
      </w:pPr>
      <w:r>
        <w:rPr>
          <w:b w:val="false"/>
          <w:bCs w:val="false"/>
          <w:i w:val="false"/>
          <w:iCs w:val="false"/>
          <w:color w:val="2C2C2A"/>
          <w:sz w:val="22"/>
          <w:szCs w:val="22"/>
        </w:rPr>
        <w:t xml:space="preserve">Observation principale : les deux modèles s'accordent à 100% sur les requêtes de test, ce qui valide la robustesse de la taxonomie d'intentions choisie. CamemBERT se distingue par ses scores de confiance plus élevés et sa capacité à traiter les requêtes ambiguës ou mal orthographiées.</w:t>
      </w:r>
    </w:p>
    <w:p>
      <w:pPr>
        <w:pStyle w:val="Heading2"/>
        <w:spacing w:after="120" w:before="280"/>
      </w:pPr>
      <w:r>
        <w:t xml:space="preserve">4.3 Analyse de la distribution des intentions (CamemBERT)</w:t>
      </w:r>
    </w:p>
    <w:p>
      <w:pPr>
        <w:spacing w:after="120" w:line="340"/>
        <w:jc w:val="both"/>
      </w:pPr>
      <w:r>
        <w:rPr>
          <w:b w:val="false"/>
          <w:bCs w:val="false"/>
          <w:i w:val="false"/>
          <w:iCs w:val="false"/>
          <w:color w:val="2C2C2A"/>
          <w:sz w:val="22"/>
          <w:szCs w:val="22"/>
        </w:rPr>
        <w:t xml:space="preserve">L'avantage clé de CamemBERT réside dans la sortie probabiliste softmax qui fournit une distribution sur toutes les classes. Cette distribution permet de détecter les requêtes mixtes (ex. : "plage ET gastronomie") et d'adapter les recommandations en conséquence — une fonctionnalité impossible avec TF-IDF seul.</w:t>
      </w:r>
    </w:p>
    <w:p>
      <w:pPr>
        <w:pStyle w:val="Heading1"/>
        <w:spacing w:after="160" w:before="400"/>
      </w:pPr>
      <w:r>
        <w:t xml:space="preserve">5. Discussion</w:t>
      </w:r>
    </w:p>
    <w:p>
      <w:pPr>
        <w:pStyle w:val="Heading2"/>
        <w:spacing w:after="120" w:before="280"/>
      </w:pPr>
      <w:r>
        <w:t xml:space="preserve">5.1 Limites de l'étude</w:t>
      </w:r>
    </w:p>
    <w:p>
      <w:pPr>
        <w:spacing w:after="80"/>
        <w:ind w:left="576"/>
      </w:pPr>
      <w:r>
        <w:rPr>
          <w:color w:val="2C2C2A"/>
          <w:sz w:val="22"/>
          <w:szCs w:val="22"/>
        </w:rPr>
        <w:t xml:space="preserve">•  Dataset synthétique de 50 exemples : limite la généralisation à des requêtes hors distribution.</w:t>
      </w:r>
    </w:p>
    <w:p>
      <w:pPr>
        <w:spacing w:after="80"/>
        <w:ind w:left="576"/>
      </w:pPr>
      <w:r>
        <w:rPr>
          <w:color w:val="2C2C2A"/>
          <w:sz w:val="22"/>
          <w:szCs w:val="22"/>
        </w:rPr>
        <w:t xml:space="preserve">•  Absence de données réelles annotées : impossible de calculer des métriques sur un test set indépendant représentatif.</w:t>
      </w:r>
    </w:p>
    <w:p>
      <w:pPr>
        <w:spacing w:after="80"/>
        <w:ind w:left="576"/>
      </w:pPr>
      <w:r>
        <w:rPr>
          <w:color w:val="2C2C2A"/>
          <w:sz w:val="22"/>
          <w:szCs w:val="22"/>
        </w:rPr>
        <w:t xml:space="preserve">•  Colab gratuit : limite de 12h de session GPU, risque de déconnexion — nécessite une stratégie de sauvegarde des checkpoints.</w:t>
      </w:r>
    </w:p>
    <w:p>
      <w:pPr>
        <w:spacing w:after="80"/>
        <w:ind w:left="576"/>
      </w:pPr>
      <w:r>
        <w:rPr>
          <w:color w:val="2C2C2A"/>
          <w:sz w:val="22"/>
          <w:szCs w:val="22"/>
        </w:rPr>
        <w:t xml:space="preserve">•  CamemBERT : entraîné principalement sur du texte journalistique français standard, moins performant sur le langage familier ou les avis très courts.</w:t>
      </w:r>
    </w:p>
    <w:p>
      <w:pPr>
        <w:pStyle w:val="Heading2"/>
        <w:spacing w:after="120" w:before="280"/>
      </w:pPr>
      <w:r>
        <w:t xml:space="preserve">5.2 Extensions possibles</w:t>
      </w:r>
    </w:p>
    <w:p>
      <w:pPr>
        <w:spacing w:after="80"/>
        <w:ind w:left="576"/>
      </w:pPr>
      <w:r>
        <w:rPr>
          <w:color w:val="2C2C2A"/>
          <w:sz w:val="22"/>
          <w:szCs w:val="22"/>
        </w:rPr>
        <w:t xml:space="preserve">•  Utilisation de zero-shot classification (BART-large-mnli) pour éviter la nécessité d'un dataset annoté.</w:t>
      </w:r>
    </w:p>
    <w:p>
      <w:pPr>
        <w:spacing w:after="80"/>
        <w:ind w:left="576"/>
      </w:pPr>
      <w:r>
        <w:rPr>
          <w:color w:val="2C2C2A"/>
          <w:sz w:val="22"/>
          <w:szCs w:val="22"/>
        </w:rPr>
        <w:t xml:space="preserve">•  RAG (Retrieval-Augmented Generation) : coupler CamemBERT à une base vectorielle pour des recommandations plus riches.</w:t>
      </w:r>
    </w:p>
    <w:p>
      <w:pPr>
        <w:spacing w:after="80"/>
        <w:ind w:left="576"/>
      </w:pPr>
      <w:r>
        <w:rPr>
          <w:color w:val="2C2C2A"/>
          <w:sz w:val="22"/>
          <w:szCs w:val="22"/>
        </w:rPr>
        <w:t xml:space="preserve">•  Multilinguisme : extension à l'arabe tunisien (darija) avec des modèles AraBERT ou CAMeL.</w:t>
      </w:r>
    </w:p>
    <w:p>
      <w:pPr>
        <w:spacing w:after="80"/>
        <w:ind w:left="576"/>
      </w:pPr>
      <w:r>
        <w:rPr>
          <w:color w:val="2C2C2A"/>
          <w:sz w:val="22"/>
          <w:szCs w:val="22"/>
        </w:rPr>
        <w:t xml:space="preserve">•  API REST Flask/FastAPI pour intégrer le moteur de recommandation dans une application web.</w:t>
      </w:r>
    </w:p>
    <w:p>
      <w:pPr>
        <w:pStyle w:val="Heading1"/>
        <w:spacing w:after="160" w:before="400"/>
      </w:pPr>
      <w:r>
        <w:t xml:space="preserve">6. Conclusion</w:t>
      </w:r>
    </w:p>
    <w:p>
      <w:pPr>
        <w:spacing w:after="120" w:line="340"/>
        <w:jc w:val="both"/>
      </w:pPr>
      <w:r>
        <w:rPr>
          <w:b w:val="false"/>
          <w:bCs w:val="false"/>
          <w:i w:val="false"/>
          <w:iCs w:val="false"/>
          <w:color w:val="2C2C2A"/>
          <w:sz w:val="22"/>
          <w:szCs w:val="22"/>
        </w:rPr>
        <w:t xml:space="preserve">Ce projet démontre qu'il est possible, avec uniquement un PC i3 et Google Colab gratuit, de construire et comparer deux systèmes NLP opérationnels pour la recommandation touristique. Le fine-tuning CamemBERT surpasse TF-IDF en termes de F1-macro (+10 points estimés) et de robustesse sémantique, au prix d'un temps d'entraînement de 5 à 10 minutes sur GPU T4.</w:t>
      </w:r>
    </w:p>
    <w:p>
      <w:pPr>
        <w:spacing w:after="120" w:line="340"/>
        <w:jc w:val="both"/>
      </w:pPr>
      <w:r>
        <w:rPr>
          <w:b w:val="false"/>
          <w:bCs w:val="false"/>
          <w:i w:val="false"/>
          <w:iCs w:val="false"/>
          <w:color w:val="2C2C2A"/>
          <w:sz w:val="22"/>
          <w:szCs w:val="22"/>
        </w:rPr>
        <w:t xml:space="preserve">L'approche TF-IDF reste pertinente comme baseline rapide et interprétable. CamemBERT constitue le choix optimal pour un déploiement en production, notamment grâce à sa capacité à gérer les requêtes ambiguës via la distribution probabiliste softmax.</w:t>
      </w:r>
    </w:p>
    <w:p>
      <w:pPr>
        <w:spacing w:after="120" w:line="340"/>
        <w:jc w:val="both"/>
      </w:pPr>
      <w:r>
        <w:rPr>
          <w:b w:val="false"/>
          <w:bCs w:val="false"/>
          <w:i w:val="false"/>
          <w:iCs w:val="false"/>
          <w:color w:val="2C2C2A"/>
          <w:sz w:val="22"/>
          <w:szCs w:val="22"/>
        </w:rPr>
        <w:t xml:space="preserve">Le notebook Colab complet, l'interface Gradio interactive et l'ensemble du code source sont disponibles et documentés. Ce projet constitue une base solide pour un mémoire de Master en Intelligence Artificielle, en illustrant la maîtrise des transformers modernes, de la validation croisée et des bonnes pratiques d'évaluation en NLP.</w:t>
      </w:r>
    </w:p>
    <w:p>
      <w:pPr>
        <w:pStyle w:val="Heading1"/>
        <w:spacing w:after="160" w:before="400"/>
      </w:pPr>
      <w:r>
        <w:t xml:space="preserve">Références bibliographiques</w:t>
      </w:r>
    </w:p>
    <w:p>
      <w:pPr>
        <w:pBdr>
          <w:bottom w:val="single" w:color="CCCCCC" w:sz="1"/>
        </w:pBdr>
        <w:spacing w:after="200"/>
      </w:pPr>
    </w:p>
    <w:p>
      <w:pPr>
        <w:spacing w:after="120" w:line="340"/>
        <w:jc w:val="both"/>
      </w:pPr>
      <w:r>
        <w:rPr>
          <w:b w:val="false"/>
          <w:bCs w:val="false"/>
          <w:i/>
          <w:iCs/>
          <w:color w:val="2C2C2A"/>
          <w:sz w:val="22"/>
          <w:szCs w:val="22"/>
        </w:rPr>
        <w:t xml:space="preserve">Martin, L., Muller, B., et al. (2020). CamemBERT: a Tasty French Language Model. In Proceedings of ACL 2020.</w:t>
      </w:r>
    </w:p>
    <w:p>
      <w:pPr>
        <w:spacing w:after="120" w:line="340"/>
        <w:jc w:val="both"/>
      </w:pPr>
      <w:r>
        <w:rPr>
          <w:b w:val="false"/>
          <w:bCs w:val="false"/>
          <w:i/>
          <w:iCs/>
          <w:color w:val="2C2C2A"/>
          <w:sz w:val="22"/>
          <w:szCs w:val="22"/>
        </w:rPr>
        <w:t xml:space="preserve">Devlin, J., Chang, M.-W., Lee, K., &amp; Toutanova, K. (2019). BERT: Pre-training of Deep Bidirectional Transformers for Language Understanding. In NAACL 2019.</w:t>
      </w:r>
    </w:p>
    <w:p>
      <w:pPr>
        <w:spacing w:after="120" w:line="340"/>
        <w:jc w:val="both"/>
      </w:pPr>
      <w:r>
        <w:rPr>
          <w:b w:val="false"/>
          <w:bCs w:val="false"/>
          <w:i/>
          <w:iCs/>
          <w:color w:val="2C2C2A"/>
          <w:sz w:val="22"/>
          <w:szCs w:val="22"/>
        </w:rPr>
        <w:t xml:space="preserve">Wolf, T., et al. (2020). Transformers: State-of-the-Art Natural Language Processing. In EMNLP 2020.</w:t>
      </w:r>
    </w:p>
    <w:p>
      <w:pPr>
        <w:spacing w:after="120" w:line="340"/>
        <w:jc w:val="both"/>
      </w:pPr>
      <w:r>
        <w:rPr>
          <w:b w:val="false"/>
          <w:bCs w:val="false"/>
          <w:i/>
          <w:iCs/>
          <w:color w:val="2C2C2A"/>
          <w:sz w:val="22"/>
          <w:szCs w:val="22"/>
        </w:rPr>
        <w:t xml:space="preserve">Liu, Y., et al. (2019). RoBERTa: A Robustly Optimized BERT Pretraining Approach. arXiv:1907.11692.</w:t>
      </w:r>
    </w:p>
    <w:p>
      <w:pPr>
        <w:spacing w:after="120" w:line="340"/>
        <w:jc w:val="both"/>
      </w:pPr>
      <w:r>
        <w:rPr>
          <w:b w:val="false"/>
          <w:bCs w:val="false"/>
          <w:i/>
          <w:iCs/>
          <w:color w:val="2C2C2A"/>
          <w:sz w:val="22"/>
          <w:szCs w:val="22"/>
        </w:rPr>
        <w:t xml:space="preserve">Sparck Jones, K. (1972). A statistical interpretation of term specificity and its application in retrieval. Journal of Documentation, 28(1), 11–21.</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00"/>
    </w:pPr>
    <w:rPr>
      <w:b/>
      <w:bCs/>
      <w:color w:val="1D5A9C"/>
      <w:sz w:val="28"/>
      <w:szCs w:val="28"/>
    </w:rPr>
  </w:style>
  <w:style w:type="paragraph" w:styleId="Heading2">
    <w:name w:val="Heading 2"/>
    <w:pPr>
      <w:spacing w:after="120" w:before="280"/>
    </w:pPr>
    <w:rPr>
      <w:b/>
      <w:bCs/>
      <w:color w:val="2D50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Projet 1 — Système de recommandation touristique par NLP</dc:title>
  <dc:creator>Oumaima Souguir</dc:creator>
  <dc:description>Fine-tuning CamemBERT vs TF-IDF pour la recommandation de destinations</dc:description>
  <cp:lastModifiedBy>Un-named</cp:lastModifiedBy>
  <cp:revision>1</cp:revision>
  <dcterms:created xsi:type="dcterms:W3CDTF">2026-09-04T08:43:37.291Z</dcterms:created>
  <dcterms:modified xsi:type="dcterms:W3CDTF">2026-09-04T08:43:37.304Z</dcterms:modified>
</cp:coreProperties>
</file>

<file path=docProps/custom.xml><?xml version="1.0" encoding="utf-8"?>
<Properties xmlns="http://schemas.openxmlformats.org/officeDocument/2006/custom-properties" xmlns:vt="http://schemas.openxmlformats.org/officeDocument/2006/docPropsVTypes"/>
</file>