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472D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>Art. 1</w:t>
      </w:r>
      <w:r>
        <w:rPr>
          <w:b/>
          <w:vertAlign w:val="superscript"/>
        </w:rPr>
        <w:t>er</w:t>
      </w:r>
      <w:r>
        <w:rPr>
          <w:b/>
        </w:rPr>
        <w:t xml:space="preserve">. – </w:t>
      </w:r>
      <w:r>
        <w:t>Les dispositions du présent décret déterminent les conditions particulières de l’aliénation</w:t>
      </w:r>
      <w:r>
        <w:rPr>
          <w:spacing w:val="1"/>
        </w:rPr>
        <w:t xml:space="preserve"> </w:t>
      </w:r>
      <w:r>
        <w:t>des terrains domaniaux</w:t>
      </w:r>
      <w:r>
        <w:rPr>
          <w:spacing w:val="60"/>
        </w:rPr>
        <w:t xml:space="preserve"> </w:t>
      </w:r>
      <w:r>
        <w:t>destinés à l’habitation situés en zones urbaines dont la vente est autorisée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 n°87-11 du 24 février</w:t>
      </w:r>
      <w:r>
        <w:rPr>
          <w:spacing w:val="-1"/>
        </w:rPr>
        <w:t xml:space="preserve"> </w:t>
      </w:r>
      <w:r>
        <w:t>1987 précitée.</w:t>
      </w:r>
    </w:p>
    <w:p w14:paraId="1BFD5D0C" w14:textId="77777777" w:rsidR="0092513D" w:rsidRDefault="0092513D">
      <w:pPr>
        <w:pStyle w:val="Corpsdetexte"/>
      </w:pPr>
    </w:p>
    <w:p w14:paraId="61E744B6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2. – </w:t>
      </w:r>
      <w:r>
        <w:t>Les terrains domaniaux destinés à l’habitation en zones urbaines au sens de l’article 1</w:t>
      </w:r>
      <w:r>
        <w:rPr>
          <w:vertAlign w:val="superscript"/>
        </w:rPr>
        <w:t>er</w:t>
      </w:r>
      <w:r>
        <w:t xml:space="preserve">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n°87-11 du 24 Février</w:t>
      </w:r>
      <w:r>
        <w:rPr>
          <w:spacing w:val="-1"/>
        </w:rPr>
        <w:t xml:space="preserve"> </w:t>
      </w:r>
      <w:r>
        <w:t>1987 sont :</w:t>
      </w:r>
    </w:p>
    <w:p w14:paraId="0043F288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2" w:line="237" w:lineRule="auto"/>
        <w:ind w:right="251" w:hanging="360"/>
        <w:jc w:val="both"/>
        <w:rPr>
          <w:sz w:val="24"/>
        </w:rPr>
      </w:pPr>
      <w:r>
        <w:rPr>
          <w:sz w:val="24"/>
        </w:rPr>
        <w:t>les terrains domaniaux attribués ou occupés en vertu de titres administratifs d’occupation</w:t>
      </w:r>
      <w:r>
        <w:rPr>
          <w:spacing w:val="1"/>
          <w:sz w:val="24"/>
        </w:rPr>
        <w:t xml:space="preserve"> </w:t>
      </w:r>
      <w:r>
        <w:rPr>
          <w:sz w:val="24"/>
        </w:rPr>
        <w:t>provisoires qualifiés de « permis d’habiter », « autorisation d’occupation », « autorisation</w:t>
      </w:r>
      <w:r>
        <w:rPr>
          <w:spacing w:val="1"/>
          <w:sz w:val="24"/>
        </w:rPr>
        <w:t xml:space="preserve"> </w:t>
      </w:r>
      <w:r>
        <w:rPr>
          <w:sz w:val="24"/>
        </w:rPr>
        <w:t>d’occuper</w:t>
      </w:r>
      <w:r>
        <w:rPr>
          <w:spacing w:val="2"/>
          <w:sz w:val="24"/>
        </w:rPr>
        <w:t xml:space="preserve"> </w:t>
      </w:r>
      <w:r>
        <w:rPr>
          <w:sz w:val="24"/>
        </w:rPr>
        <w:t>»,</w:t>
      </w:r>
      <w:r>
        <w:rPr>
          <w:spacing w:val="41"/>
          <w:sz w:val="24"/>
        </w:rPr>
        <w:t xml:space="preserve"> </w:t>
      </w:r>
      <w:r>
        <w:rPr>
          <w:sz w:val="24"/>
        </w:rPr>
        <w:t>visés</w:t>
      </w:r>
      <w:r>
        <w:rPr>
          <w:spacing w:val="41"/>
          <w:sz w:val="24"/>
        </w:rPr>
        <w:t xml:space="preserve"> </w:t>
      </w:r>
      <w:r>
        <w:rPr>
          <w:sz w:val="24"/>
        </w:rPr>
        <w:t>par</w:t>
      </w:r>
      <w:r>
        <w:rPr>
          <w:spacing w:val="39"/>
          <w:sz w:val="24"/>
        </w:rPr>
        <w:t xml:space="preserve"> </w:t>
      </w:r>
      <w:r>
        <w:rPr>
          <w:sz w:val="24"/>
        </w:rPr>
        <w:t>l’article</w:t>
      </w:r>
      <w:r>
        <w:rPr>
          <w:spacing w:val="40"/>
          <w:sz w:val="24"/>
        </w:rPr>
        <w:t xml:space="preserve"> </w:t>
      </w:r>
      <w:r>
        <w:rPr>
          <w:sz w:val="24"/>
        </w:rPr>
        <w:t>59</w:t>
      </w:r>
      <w:r>
        <w:rPr>
          <w:spacing w:val="41"/>
          <w:sz w:val="24"/>
        </w:rPr>
        <w:t xml:space="preserve"> </w:t>
      </w:r>
      <w:r>
        <w:rPr>
          <w:sz w:val="24"/>
        </w:rPr>
        <w:t>du</w:t>
      </w:r>
      <w:r>
        <w:rPr>
          <w:spacing w:val="40"/>
          <w:sz w:val="24"/>
        </w:rPr>
        <w:t xml:space="preserve"> </w:t>
      </w:r>
      <w:r>
        <w:rPr>
          <w:sz w:val="24"/>
        </w:rPr>
        <w:t>Code</w:t>
      </w:r>
      <w:r>
        <w:rPr>
          <w:spacing w:val="40"/>
          <w:sz w:val="24"/>
        </w:rPr>
        <w:t xml:space="preserve"> </w:t>
      </w:r>
      <w:r>
        <w:rPr>
          <w:sz w:val="24"/>
        </w:rPr>
        <w:t>du</w:t>
      </w:r>
      <w:r>
        <w:rPr>
          <w:spacing w:val="38"/>
          <w:sz w:val="24"/>
        </w:rPr>
        <w:t xml:space="preserve"> </w:t>
      </w:r>
      <w:r>
        <w:rPr>
          <w:sz w:val="24"/>
        </w:rPr>
        <w:t>Domaine</w:t>
      </w:r>
      <w:r>
        <w:rPr>
          <w:spacing w:val="40"/>
          <w:sz w:val="24"/>
        </w:rPr>
        <w:t xml:space="preserve"> </w:t>
      </w:r>
      <w:r>
        <w:rPr>
          <w:sz w:val="24"/>
        </w:rPr>
        <w:t>l’Etat</w:t>
      </w:r>
      <w:r>
        <w:rPr>
          <w:spacing w:val="41"/>
          <w:sz w:val="24"/>
        </w:rPr>
        <w:t xml:space="preserve"> </w:t>
      </w:r>
      <w:r>
        <w:rPr>
          <w:sz w:val="24"/>
        </w:rPr>
        <w:t>à</w:t>
      </w:r>
      <w:r>
        <w:rPr>
          <w:spacing w:val="39"/>
          <w:sz w:val="24"/>
        </w:rPr>
        <w:t xml:space="preserve"> </w:t>
      </w:r>
      <w:r>
        <w:rPr>
          <w:sz w:val="24"/>
        </w:rPr>
        <w:t>l’exclusion</w:t>
      </w:r>
      <w:r>
        <w:rPr>
          <w:spacing w:val="41"/>
          <w:sz w:val="24"/>
        </w:rPr>
        <w:t xml:space="preserve"> </w:t>
      </w:r>
      <w:r>
        <w:rPr>
          <w:sz w:val="24"/>
        </w:rPr>
        <w:t>des</w:t>
      </w:r>
      <w:r>
        <w:rPr>
          <w:spacing w:val="41"/>
          <w:sz w:val="24"/>
        </w:rPr>
        <w:t xml:space="preserve"> </w:t>
      </w:r>
      <w:r>
        <w:rPr>
          <w:sz w:val="24"/>
        </w:rPr>
        <w:t>terrains</w:t>
      </w:r>
      <w:r>
        <w:rPr>
          <w:spacing w:val="-58"/>
          <w:sz w:val="24"/>
        </w:rPr>
        <w:t xml:space="preserve"> </w:t>
      </w:r>
      <w:r>
        <w:rPr>
          <w:sz w:val="24"/>
        </w:rPr>
        <w:t>ayant fait l’objet d’une demande de constat de mise en valeur en vue d’obtenir l’attribution</w:t>
      </w:r>
      <w:r>
        <w:rPr>
          <w:spacing w:val="1"/>
          <w:sz w:val="24"/>
        </w:rPr>
        <w:t xml:space="preserve"> </w:t>
      </w:r>
      <w:r>
        <w:rPr>
          <w:sz w:val="24"/>
        </w:rPr>
        <w:t>définitive dans les formes et conditions fixées par le décret n°81-557</w:t>
      </w:r>
      <w:r>
        <w:rPr>
          <w:spacing w:val="60"/>
          <w:sz w:val="24"/>
        </w:rPr>
        <w:t xml:space="preserve"> </w:t>
      </w:r>
      <w:r>
        <w:rPr>
          <w:sz w:val="24"/>
        </w:rPr>
        <w:t>du 21 Mai 1981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du Code</w:t>
      </w:r>
      <w:r>
        <w:rPr>
          <w:spacing w:val="-1"/>
          <w:sz w:val="24"/>
        </w:rPr>
        <w:t xml:space="preserve"> </w:t>
      </w:r>
      <w:r>
        <w:rPr>
          <w:sz w:val="24"/>
        </w:rPr>
        <w:t>du Domaine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49BBFAE9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3" w:line="230" w:lineRule="auto"/>
        <w:ind w:right="254"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terrains domaniaux attribués par voie de bail ordinaire, de bail </w:t>
      </w:r>
      <w:proofErr w:type="spellStart"/>
      <w:r>
        <w:rPr>
          <w:sz w:val="24"/>
        </w:rPr>
        <w:t>emphythéotique</w:t>
      </w:r>
      <w:proofErr w:type="spellEnd"/>
      <w:r>
        <w:rPr>
          <w:sz w:val="24"/>
        </w:rPr>
        <w:t xml:space="preserve"> ou ayant</w:t>
      </w:r>
      <w:r>
        <w:rPr>
          <w:spacing w:val="1"/>
          <w:sz w:val="24"/>
        </w:rPr>
        <w:t xml:space="preserve"> </w:t>
      </w:r>
      <w:r>
        <w:rPr>
          <w:sz w:val="24"/>
        </w:rPr>
        <w:t>fait l’objet d’une concession du droit de superficie, dans les conditions fixées par les articles</w:t>
      </w:r>
      <w:r>
        <w:rPr>
          <w:spacing w:val="-57"/>
          <w:sz w:val="24"/>
        </w:rPr>
        <w:t xml:space="preserve"> </w:t>
      </w:r>
      <w:r>
        <w:rPr>
          <w:sz w:val="24"/>
        </w:rPr>
        <w:t>38,</w:t>
      </w:r>
      <w:r>
        <w:rPr>
          <w:spacing w:val="-1"/>
          <w:sz w:val="24"/>
        </w:rPr>
        <w:t xml:space="preserve"> </w:t>
      </w:r>
      <w:r>
        <w:rPr>
          <w:sz w:val="24"/>
        </w:rPr>
        <w:t>39 et 40 du Code</w:t>
      </w:r>
      <w:r>
        <w:rPr>
          <w:spacing w:val="-1"/>
          <w:sz w:val="24"/>
        </w:rPr>
        <w:t xml:space="preserve"> </w:t>
      </w:r>
      <w:r>
        <w:rPr>
          <w:sz w:val="24"/>
        </w:rPr>
        <w:t>du domaine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4B959CA1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19" w:line="223" w:lineRule="auto"/>
        <w:ind w:right="256" w:hanging="360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terrains domaniaux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60"/>
          <w:sz w:val="24"/>
        </w:rPr>
        <w:t xml:space="preserve"> </w:t>
      </w:r>
      <w:r>
        <w:rPr>
          <w:sz w:val="24"/>
        </w:rPr>
        <w:t>bâtir réservés à l’habitation compris dans les zones dotées d’un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d’urbanisation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résultant</w:t>
      </w:r>
      <w:r>
        <w:rPr>
          <w:spacing w:val="-1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</w:t>
      </w:r>
      <w:r>
        <w:rPr>
          <w:spacing w:val="-2"/>
          <w:sz w:val="24"/>
        </w:rPr>
        <w:t xml:space="preserve"> </w:t>
      </w:r>
      <w:r>
        <w:rPr>
          <w:sz w:val="24"/>
        </w:rPr>
        <w:t>approuvés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l’autorité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administrative.</w:t>
      </w:r>
    </w:p>
    <w:p w14:paraId="45A6A880" w14:textId="77777777" w:rsidR="0092513D" w:rsidRDefault="0092513D">
      <w:pPr>
        <w:pStyle w:val="Corpsdetexte"/>
        <w:spacing w:before="4"/>
      </w:pPr>
    </w:p>
    <w:p w14:paraId="259B1270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Art. 3. – </w:t>
      </w:r>
      <w:r>
        <w:t>Les terrains visés à l’article précédent sont cédés moyennant un prix fixé par arrêté 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attributaires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occupants</w:t>
      </w:r>
      <w:r>
        <w:rPr>
          <w:spacing w:val="1"/>
        </w:rPr>
        <w:t xml:space="preserve"> </w:t>
      </w:r>
      <w:r>
        <w:t>détenteurs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titres</w:t>
      </w:r>
      <w:r>
        <w:rPr>
          <w:spacing w:val="1"/>
        </w:rPr>
        <w:t xml:space="preserve"> </w:t>
      </w:r>
      <w:r>
        <w:t>d’occupation ci-dessus qui sont à jour de leurs redevances, lorsque l’attribution ou l’occupation est</w:t>
      </w:r>
      <w:r>
        <w:rPr>
          <w:spacing w:val="1"/>
        </w:rPr>
        <w:t xml:space="preserve"> </w:t>
      </w:r>
      <w:r>
        <w:t>assortie du paiement d’une redevance ou loyer et qui ne sont pas déchus de leurs droits avant la</w:t>
      </w:r>
      <w:r>
        <w:rPr>
          <w:spacing w:val="1"/>
        </w:rPr>
        <w:t xml:space="preserve"> </w:t>
      </w:r>
      <w:r>
        <w:t>cession</w:t>
      </w:r>
      <w:r>
        <w:rPr>
          <w:spacing w:val="-1"/>
        </w:rPr>
        <w:t xml:space="preserve"> </w:t>
      </w:r>
      <w:r>
        <w:t>définitive.</w:t>
      </w:r>
    </w:p>
    <w:p w14:paraId="491F27A8" w14:textId="77777777" w:rsidR="0092513D" w:rsidRDefault="0092513D">
      <w:pPr>
        <w:pStyle w:val="Corpsdetexte"/>
      </w:pPr>
    </w:p>
    <w:p w14:paraId="4B41311F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4. – </w:t>
      </w:r>
      <w:r>
        <w:t>La demande de cession accompagnée du titre administratif d’occupation correspondant à</w:t>
      </w:r>
      <w:r>
        <w:rPr>
          <w:spacing w:val="1"/>
        </w:rPr>
        <w:t xml:space="preserve"> </w:t>
      </w:r>
      <w:r>
        <w:t>l’un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modes</w:t>
      </w:r>
      <w:r>
        <w:rPr>
          <w:spacing w:val="1"/>
        </w:rPr>
        <w:t xml:space="preserve"> </w:t>
      </w:r>
      <w:r>
        <w:t>d’amodiation</w:t>
      </w:r>
      <w:r>
        <w:rPr>
          <w:spacing w:val="1"/>
        </w:rPr>
        <w:t xml:space="preserve"> </w:t>
      </w:r>
      <w:r>
        <w:t>prévus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adressée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Receveur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territorialement</w:t>
      </w:r>
      <w:r>
        <w:rPr>
          <w:spacing w:val="-1"/>
        </w:rPr>
        <w:t xml:space="preserve"> </w:t>
      </w:r>
      <w:r>
        <w:t>compétent.</w:t>
      </w:r>
    </w:p>
    <w:p w14:paraId="1F064AFB" w14:textId="77777777" w:rsidR="0092513D" w:rsidRDefault="0092513D">
      <w:pPr>
        <w:pStyle w:val="Corpsdetexte"/>
      </w:pPr>
    </w:p>
    <w:p w14:paraId="4F77350E" w14:textId="77777777" w:rsidR="0092513D" w:rsidRDefault="009D46A9">
      <w:pPr>
        <w:pStyle w:val="Corpsdetexte"/>
        <w:spacing w:before="1"/>
        <w:ind w:left="292"/>
      </w:pPr>
      <w:r>
        <w:t>En</w:t>
      </w:r>
      <w:r>
        <w:rPr>
          <w:spacing w:val="-1"/>
        </w:rPr>
        <w:t xml:space="preserve"> </w:t>
      </w:r>
      <w:r>
        <w:t>outre,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héritiers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décédée</w:t>
      </w:r>
      <w:r>
        <w:rPr>
          <w:spacing w:val="-2"/>
        </w:rPr>
        <w:t xml:space="preserve"> </w:t>
      </w:r>
      <w:r>
        <w:t>devront</w:t>
      </w:r>
      <w:r>
        <w:rPr>
          <w:spacing w:val="-1"/>
        </w:rPr>
        <w:t xml:space="preserve"> </w:t>
      </w:r>
      <w:r>
        <w:t>fournir</w:t>
      </w:r>
      <w:r>
        <w:rPr>
          <w:spacing w:val="-2"/>
        </w:rPr>
        <w:t xml:space="preserve"> </w:t>
      </w:r>
      <w:r>
        <w:t>:</w:t>
      </w:r>
    </w:p>
    <w:p w14:paraId="2B3B4AEE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line="28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jugement</w:t>
      </w:r>
      <w:r>
        <w:rPr>
          <w:spacing w:val="-1"/>
          <w:sz w:val="24"/>
        </w:rPr>
        <w:t xml:space="preserve"> </w:t>
      </w:r>
      <w:r>
        <w:rPr>
          <w:sz w:val="24"/>
        </w:rPr>
        <w:t>d’hérédité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CB65512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line="276" w:lineRule="exact"/>
        <w:ind w:left="1000" w:hanging="34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acte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partage</w:t>
      </w:r>
      <w:r>
        <w:rPr>
          <w:spacing w:val="-2"/>
          <w:sz w:val="24"/>
        </w:rPr>
        <w:t xml:space="preserve"> </w:t>
      </w:r>
      <w:r>
        <w:rPr>
          <w:sz w:val="24"/>
        </w:rPr>
        <w:t>définitif,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cas</w:t>
      </w:r>
      <w:r>
        <w:rPr>
          <w:spacing w:val="-1"/>
          <w:sz w:val="24"/>
        </w:rPr>
        <w:t xml:space="preserve"> </w:t>
      </w:r>
      <w:r>
        <w:rPr>
          <w:sz w:val="24"/>
        </w:rPr>
        <w:t>échéant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9EA4764" w14:textId="77777777" w:rsidR="0092513D" w:rsidRDefault="009D46A9">
      <w:pPr>
        <w:pStyle w:val="Paragraphedeliste"/>
        <w:numPr>
          <w:ilvl w:val="0"/>
          <w:numId w:val="209"/>
        </w:numPr>
        <w:tabs>
          <w:tab w:val="left" w:pos="1001"/>
        </w:tabs>
        <w:spacing w:before="4" w:line="223" w:lineRule="auto"/>
        <w:ind w:right="254" w:hanging="361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52"/>
          <w:sz w:val="24"/>
        </w:rPr>
        <w:t xml:space="preserve"> </w:t>
      </w:r>
      <w:r>
        <w:rPr>
          <w:sz w:val="24"/>
        </w:rPr>
        <w:t>attestation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paiement</w:t>
      </w:r>
      <w:r>
        <w:rPr>
          <w:spacing w:val="53"/>
          <w:sz w:val="24"/>
        </w:rPr>
        <w:t xml:space="preserve"> </w:t>
      </w:r>
      <w:r>
        <w:rPr>
          <w:sz w:val="24"/>
        </w:rPr>
        <w:t>ou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non</w:t>
      </w:r>
      <w:r>
        <w:rPr>
          <w:spacing w:val="53"/>
          <w:sz w:val="24"/>
        </w:rPr>
        <w:t xml:space="preserve"> </w:t>
      </w:r>
      <w:r>
        <w:rPr>
          <w:sz w:val="24"/>
        </w:rPr>
        <w:t>exigibilité</w:t>
      </w:r>
      <w:r>
        <w:rPr>
          <w:spacing w:val="52"/>
          <w:sz w:val="24"/>
        </w:rPr>
        <w:t xml:space="preserve"> </w:t>
      </w:r>
      <w:r>
        <w:rPr>
          <w:sz w:val="24"/>
        </w:rPr>
        <w:t>des</w:t>
      </w:r>
      <w:r>
        <w:rPr>
          <w:spacing w:val="54"/>
          <w:sz w:val="24"/>
        </w:rPr>
        <w:t xml:space="preserve"> </w:t>
      </w:r>
      <w:r>
        <w:rPr>
          <w:sz w:val="24"/>
        </w:rPr>
        <w:t>demandes</w:t>
      </w:r>
      <w:r>
        <w:rPr>
          <w:spacing w:val="53"/>
          <w:sz w:val="24"/>
        </w:rPr>
        <w:t xml:space="preserve"> </w:t>
      </w:r>
      <w:r>
        <w:rPr>
          <w:sz w:val="24"/>
        </w:rPr>
        <w:t>de</w:t>
      </w:r>
      <w:r>
        <w:rPr>
          <w:spacing w:val="52"/>
          <w:sz w:val="24"/>
        </w:rPr>
        <w:t xml:space="preserve"> </w:t>
      </w:r>
      <w:r>
        <w:rPr>
          <w:sz w:val="24"/>
        </w:rPr>
        <w:t>mutation</w:t>
      </w:r>
      <w:r>
        <w:rPr>
          <w:spacing w:val="53"/>
          <w:sz w:val="24"/>
        </w:rPr>
        <w:t xml:space="preserve"> </w:t>
      </w:r>
      <w:r>
        <w:rPr>
          <w:sz w:val="24"/>
        </w:rPr>
        <w:t>par</w:t>
      </w:r>
      <w:r>
        <w:rPr>
          <w:spacing w:val="52"/>
          <w:sz w:val="24"/>
        </w:rPr>
        <w:t xml:space="preserve"> </w:t>
      </w:r>
      <w:r>
        <w:rPr>
          <w:sz w:val="24"/>
        </w:rPr>
        <w:t>décès</w:t>
      </w:r>
      <w:r>
        <w:rPr>
          <w:spacing w:val="-57"/>
          <w:sz w:val="24"/>
        </w:rPr>
        <w:t xml:space="preserve"> </w:t>
      </w:r>
      <w:r>
        <w:rPr>
          <w:sz w:val="24"/>
        </w:rPr>
        <w:t>délivrée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Receveur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l’Enregistrement territorialement</w:t>
      </w:r>
      <w:r>
        <w:rPr>
          <w:spacing w:val="-1"/>
          <w:sz w:val="24"/>
        </w:rPr>
        <w:t xml:space="preserve"> </w:t>
      </w:r>
      <w:r>
        <w:rPr>
          <w:sz w:val="24"/>
        </w:rPr>
        <w:t>compétent.</w:t>
      </w:r>
    </w:p>
    <w:p w14:paraId="4BC1957A" w14:textId="77777777" w:rsidR="0092513D" w:rsidRDefault="0092513D">
      <w:pPr>
        <w:pStyle w:val="Corpsdetexte"/>
        <w:spacing w:before="4"/>
      </w:pPr>
    </w:p>
    <w:p w14:paraId="5C90547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réception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dossier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Directeur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l’Enregistrement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Timbre,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Receveur</w:t>
      </w:r>
      <w:r>
        <w:rPr>
          <w:spacing w:val="1"/>
        </w:rPr>
        <w:t xml:space="preserve"> </w:t>
      </w:r>
      <w:r>
        <w:t>vérifie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concordance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renseignements contenus dans les pièces du dossier avec les énonciations des documents et registres</w:t>
      </w:r>
      <w:r>
        <w:rPr>
          <w:spacing w:val="-57"/>
        </w:rPr>
        <w:t xml:space="preserve"> </w:t>
      </w:r>
      <w:r>
        <w:t>du bureau. Il réclame, s’il y a lieu, les droits, redevances et taxes exigibles et transmet avec son avis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dossier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l’Enregistrement, des</w:t>
      </w:r>
      <w:r>
        <w:rPr>
          <w:spacing w:val="-1"/>
        </w:rPr>
        <w:t xml:space="preserve"> </w:t>
      </w:r>
      <w:r>
        <w:t>Domaines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Timbre.</w:t>
      </w:r>
    </w:p>
    <w:p w14:paraId="28054FB2" w14:textId="77777777" w:rsidR="0092513D" w:rsidRDefault="0092513D">
      <w:pPr>
        <w:pStyle w:val="Corpsdetexte"/>
      </w:pPr>
    </w:p>
    <w:p w14:paraId="6ECF19CE" w14:textId="77777777" w:rsidR="0092513D" w:rsidRDefault="009D46A9">
      <w:pPr>
        <w:pStyle w:val="Corpsdetexte"/>
        <w:ind w:left="292" w:right="253"/>
        <w:jc w:val="both"/>
      </w:pPr>
      <w:r>
        <w:rPr>
          <w:b/>
        </w:rPr>
        <w:t xml:space="preserve">Art. 6. – </w:t>
      </w:r>
      <w:r>
        <w:t>Les dossiers des demandes classés par zones sont soumis à l’avis de la Commission de</w:t>
      </w:r>
      <w:r>
        <w:rPr>
          <w:spacing w:val="1"/>
        </w:rPr>
        <w:t xml:space="preserve"> </w:t>
      </w:r>
      <w:r>
        <w:t>contrôle</w:t>
      </w:r>
      <w:r>
        <w:rPr>
          <w:spacing w:val="-2"/>
        </w:rPr>
        <w:t xml:space="preserve"> </w:t>
      </w:r>
      <w:r>
        <w:t>des opérations</w:t>
      </w:r>
      <w:r>
        <w:rPr>
          <w:spacing w:val="-1"/>
        </w:rPr>
        <w:t xml:space="preserve"> </w:t>
      </w:r>
      <w:r>
        <w:t>domaniales prévue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55</w:t>
      </w:r>
      <w:r>
        <w:rPr>
          <w:spacing w:val="-1"/>
        </w:rPr>
        <w:t xml:space="preserve"> </w:t>
      </w:r>
      <w:r>
        <w:t>du Code</w:t>
      </w:r>
      <w:r>
        <w:rPr>
          <w:spacing w:val="-2"/>
        </w:rPr>
        <w:t xml:space="preserve"> </w:t>
      </w:r>
      <w:r>
        <w:t>du Domaine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1A1DF23E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09E2F87D" w14:textId="77777777" w:rsidR="0092513D" w:rsidRDefault="009D46A9">
      <w:pPr>
        <w:pStyle w:val="Corpsdetexte"/>
        <w:spacing w:before="60"/>
        <w:ind w:left="292" w:right="253"/>
        <w:jc w:val="both"/>
      </w:pPr>
      <w:r>
        <w:lastRenderedPageBreak/>
        <w:t>Les délibérations de la Commission prises en application de l’alinéa ci-dessus, sont approuvées par</w:t>
      </w:r>
      <w:r>
        <w:rPr>
          <w:spacing w:val="1"/>
        </w:rPr>
        <w:t xml:space="preserve"> </w:t>
      </w:r>
      <w:r>
        <w:t>arrêté du Ministre chargé des Domaines après avis du Ministre chargé de l’urbanisme. L’arrêté fixe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</w:t>
      </w:r>
      <w:r>
        <w:rPr>
          <w:spacing w:val="-1"/>
        </w:rPr>
        <w:t xml:space="preserve"> </w:t>
      </w:r>
      <w:r>
        <w:t>des parcelles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céder, le</w:t>
      </w:r>
      <w:r>
        <w:rPr>
          <w:spacing w:val="-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cession et</w:t>
      </w:r>
      <w:r>
        <w:rPr>
          <w:spacing w:val="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bénéficiaires.</w:t>
      </w:r>
    </w:p>
    <w:p w14:paraId="63637D38" w14:textId="77777777" w:rsidR="0092513D" w:rsidRDefault="0092513D">
      <w:pPr>
        <w:pStyle w:val="Corpsdetexte"/>
      </w:pPr>
    </w:p>
    <w:p w14:paraId="7AC7B4D1" w14:textId="77777777" w:rsidR="0092513D" w:rsidRDefault="009D46A9">
      <w:pPr>
        <w:pStyle w:val="Corpsdetexte"/>
        <w:ind w:left="292" w:right="255"/>
        <w:jc w:val="both"/>
      </w:pPr>
      <w:r>
        <w:rPr>
          <w:b/>
        </w:rPr>
        <w:t>Art.</w:t>
      </w:r>
      <w:r>
        <w:rPr>
          <w:b/>
          <w:spacing w:val="1"/>
        </w:rPr>
        <w:t xml:space="preserve"> </w:t>
      </w:r>
      <w:r>
        <w:rPr>
          <w:b/>
        </w:rPr>
        <w:t>7.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cessions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dressés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Receveur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</w:t>
      </w:r>
      <w:r>
        <w:rPr>
          <w:spacing w:val="1"/>
        </w:rPr>
        <w:t xml:space="preserve"> </w:t>
      </w:r>
      <w:r>
        <w:t>territorialement</w:t>
      </w:r>
      <w:r>
        <w:rPr>
          <w:spacing w:val="1"/>
        </w:rPr>
        <w:t xml:space="preserve"> </w:t>
      </w:r>
      <w:r>
        <w:t>compétent dans les formes et conditions prévues par l’article 23 du Décret n°81-557 du 21 Mai</w:t>
      </w:r>
      <w:r>
        <w:rPr>
          <w:spacing w:val="1"/>
        </w:rPr>
        <w:t xml:space="preserve"> </w:t>
      </w:r>
      <w:r>
        <w:t>1981.</w:t>
      </w:r>
    </w:p>
    <w:p w14:paraId="5A70B035" w14:textId="77777777" w:rsidR="0092513D" w:rsidRDefault="009D46A9">
      <w:pPr>
        <w:pStyle w:val="Corpsdetexte"/>
        <w:ind w:left="292" w:right="257"/>
        <w:jc w:val="both"/>
      </w:pPr>
      <w:r>
        <w:t>Dans ces actes, l’Etat est représenté par le Directeur de l’Enregistrement, des Domaines et du</w:t>
      </w:r>
      <w:r>
        <w:rPr>
          <w:spacing w:val="1"/>
        </w:rPr>
        <w:t xml:space="preserve"> </w:t>
      </w:r>
      <w:r>
        <w:t>Timbre.</w:t>
      </w:r>
      <w:r>
        <w:rPr>
          <w:spacing w:val="1"/>
        </w:rPr>
        <w:t xml:space="preserve"> </w:t>
      </w:r>
      <w:r>
        <w:t>Desdits</w:t>
      </w:r>
      <w:r>
        <w:rPr>
          <w:spacing w:val="1"/>
        </w:rPr>
        <w:t xml:space="preserve"> </w:t>
      </w:r>
      <w:r>
        <w:t>actes,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définitifs,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approuvés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-58"/>
        </w:rPr>
        <w:t xml:space="preserve"> </w:t>
      </w:r>
      <w:r>
        <w:t>domaines.</w:t>
      </w:r>
    </w:p>
    <w:p w14:paraId="3024CBE1" w14:textId="77777777" w:rsidR="0092513D" w:rsidRDefault="0092513D">
      <w:pPr>
        <w:pStyle w:val="Corpsdetexte"/>
        <w:spacing w:before="9"/>
        <w:rPr>
          <w:sz w:val="23"/>
        </w:rPr>
      </w:pPr>
    </w:p>
    <w:p w14:paraId="0EAE3C6D" w14:textId="77777777" w:rsidR="0092513D" w:rsidRDefault="009D46A9">
      <w:pPr>
        <w:pStyle w:val="Corpsdetexte"/>
        <w:ind w:left="292" w:right="254"/>
        <w:jc w:val="both"/>
      </w:pPr>
      <w:r>
        <w:rPr>
          <w:b/>
        </w:rPr>
        <w:t xml:space="preserve">Art. 8. – </w:t>
      </w:r>
      <w:r>
        <w:t>Les ventes de terrains nus sont placées sous la condition résolutoire de construire, dans un</w:t>
      </w:r>
      <w:r>
        <w:rPr>
          <w:spacing w:val="1"/>
        </w:rPr>
        <w:t xml:space="preserve"> </w:t>
      </w:r>
      <w:r>
        <w:t>délai de trois ans à compter de la date de l’approbation de l’acte, un immeuble à usage d’habitation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d’habitat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secteur.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résolutoire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mentionnée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livre</w:t>
      </w:r>
      <w:r>
        <w:rPr>
          <w:spacing w:val="1"/>
        </w:rPr>
        <w:t xml:space="preserve"> </w:t>
      </w:r>
      <w:r>
        <w:t>foncier</w:t>
      </w:r>
      <w:r>
        <w:rPr>
          <w:spacing w:val="-1"/>
        </w:rPr>
        <w:t xml:space="preserve"> </w:t>
      </w:r>
      <w:r>
        <w:t>lors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l’inscription de</w:t>
      </w:r>
      <w:r>
        <w:rPr>
          <w:spacing w:val="-1"/>
        </w:rPr>
        <w:t xml:space="preserve"> </w:t>
      </w:r>
      <w:r>
        <w:t>l’acte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vente.</w:t>
      </w:r>
    </w:p>
    <w:p w14:paraId="4D50D23A" w14:textId="77777777" w:rsidR="0092513D" w:rsidRDefault="0092513D">
      <w:pPr>
        <w:pStyle w:val="Corpsdetexte"/>
      </w:pPr>
    </w:p>
    <w:p w14:paraId="1FAB346B" w14:textId="1D44163F" w:rsidR="0092513D" w:rsidRDefault="009D46A9" w:rsidP="0001109F">
      <w:pPr>
        <w:pStyle w:val="Corpsdetexte"/>
        <w:ind w:left="292" w:right="256"/>
        <w:jc w:val="both"/>
        <w:rPr>
          <w:sz w:val="2"/>
        </w:rPr>
      </w:pPr>
      <w:r>
        <w:rPr>
          <w:b/>
        </w:rPr>
        <w:t xml:space="preserve">Art. 9. – </w:t>
      </w:r>
      <w:r>
        <w:t>Le Ministre de l’Economie et le Ministre de l’urbanisme et de l’Habitat sont chargés,</w:t>
      </w:r>
      <w:r>
        <w:rPr>
          <w:spacing w:val="1"/>
        </w:rPr>
        <w:t xml:space="preserve"> </w:t>
      </w:r>
      <w:r>
        <w:t>chacun en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le concerne,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publié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Officiel.</w:t>
      </w:r>
    </w:p>
    <w:sectPr w:rsidR="0092513D" w:rsidSect="0001109F">
      <w:pgSz w:w="11900" w:h="16840"/>
      <w:pgMar w:top="106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2CE1F" w14:textId="77777777" w:rsidR="00C52FBB" w:rsidRDefault="00C52FBB">
      <w:r>
        <w:separator/>
      </w:r>
    </w:p>
  </w:endnote>
  <w:endnote w:type="continuationSeparator" w:id="0">
    <w:p w14:paraId="632702E8" w14:textId="77777777" w:rsidR="00C52FBB" w:rsidRDefault="00C52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81E1A52" w:rsidR="0092513D" w:rsidRDefault="00E37E6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4D19A6C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7C4C1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22B40B52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7C1BC" w14:textId="77777777" w:rsidR="00C52FBB" w:rsidRDefault="00C52FBB">
      <w:r>
        <w:separator/>
      </w:r>
    </w:p>
  </w:footnote>
  <w:footnote w:type="continuationSeparator" w:id="0">
    <w:p w14:paraId="066F1631" w14:textId="77777777" w:rsidR="00C52FBB" w:rsidRDefault="00C52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00B3D"/>
    <w:rsid w:val="0001109F"/>
    <w:rsid w:val="0003617B"/>
    <w:rsid w:val="000B290F"/>
    <w:rsid w:val="00134D63"/>
    <w:rsid w:val="005D3843"/>
    <w:rsid w:val="00677402"/>
    <w:rsid w:val="00804EC6"/>
    <w:rsid w:val="00856962"/>
    <w:rsid w:val="0092513D"/>
    <w:rsid w:val="009756BE"/>
    <w:rsid w:val="009D46A9"/>
    <w:rsid w:val="00A30673"/>
    <w:rsid w:val="00C23B30"/>
    <w:rsid w:val="00C52FBB"/>
    <w:rsid w:val="00E37E65"/>
    <w:rsid w:val="00E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3</cp:revision>
  <dcterms:created xsi:type="dcterms:W3CDTF">2024-03-18T13:36:00Z</dcterms:created>
  <dcterms:modified xsi:type="dcterms:W3CDTF">2024-03-18T13:37:00Z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