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EDAD" w14:textId="77777777" w:rsidR="00D174CC" w:rsidRDefault="00D174CC">
      <w:pPr>
        <w:pStyle w:val="Titre3"/>
        <w:spacing w:before="1"/>
        <w:ind w:left="207" w:right="0"/>
        <w:jc w:val="left"/>
      </w:pPr>
      <w:bookmarkStart w:id="0" w:name="_TOC_250118"/>
    </w:p>
    <w:p w14:paraId="7B542501" w14:textId="0F43D6A3" w:rsidR="0092513D" w:rsidRDefault="009D46A9">
      <w:pPr>
        <w:pStyle w:val="Titre3"/>
        <w:spacing w:before="1"/>
        <w:ind w:left="207" w:right="0"/>
        <w:jc w:val="left"/>
      </w:pPr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CHAMP</w:t>
      </w:r>
      <w:r>
        <w:rPr>
          <w:spacing w:val="-4"/>
        </w:rPr>
        <w:t xml:space="preserve"> </w:t>
      </w:r>
      <w:bookmarkEnd w:id="0"/>
      <w:r>
        <w:t>D’APPLICATION</w:t>
      </w:r>
    </w:p>
    <w:p w14:paraId="661C9FE1" w14:textId="77777777" w:rsidR="0092513D" w:rsidRDefault="0092513D">
      <w:p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82" w:space="40"/>
            <w:col w:w="8558"/>
          </w:cols>
        </w:sectPr>
      </w:pPr>
    </w:p>
    <w:p w14:paraId="732E7924" w14:textId="77777777" w:rsidR="0092513D" w:rsidRDefault="0092513D">
      <w:pPr>
        <w:pStyle w:val="Corpsdetexte"/>
        <w:spacing w:before="9"/>
        <w:rPr>
          <w:b/>
          <w:sz w:val="15"/>
        </w:rPr>
      </w:pPr>
    </w:p>
    <w:p w14:paraId="58EA4453" w14:textId="77777777" w:rsidR="0092513D" w:rsidRDefault="009D46A9">
      <w:pPr>
        <w:pStyle w:val="Corpsdetexte"/>
        <w:spacing w:before="90"/>
        <w:ind w:left="292" w:right="252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PREMIER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 des permis d’habiter et titres similaires en titres fonciers, s’appliquent aux titres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ci-après désignés :</w:t>
      </w:r>
    </w:p>
    <w:p w14:paraId="2E4C13DF" w14:textId="77777777" w:rsidR="0092513D" w:rsidRDefault="009D46A9">
      <w:pPr>
        <w:pStyle w:val="Paragraphedeliste"/>
        <w:numPr>
          <w:ilvl w:val="0"/>
          <w:numId w:val="166"/>
        </w:numPr>
        <w:tabs>
          <w:tab w:val="left" w:pos="1001"/>
        </w:tabs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coloniale</w:t>
      </w:r>
      <w:r>
        <w:rPr>
          <w:spacing w:val="-1"/>
          <w:sz w:val="24"/>
        </w:rPr>
        <w:t xml:space="preserve"> </w:t>
      </w:r>
      <w:r>
        <w:rPr>
          <w:sz w:val="24"/>
        </w:rPr>
        <w:t>en vertu des textes</w:t>
      </w:r>
      <w:r>
        <w:rPr>
          <w:spacing w:val="-1"/>
          <w:sz w:val="24"/>
        </w:rPr>
        <w:t xml:space="preserve"> </w:t>
      </w:r>
      <w:r>
        <w:rPr>
          <w:sz w:val="24"/>
        </w:rPr>
        <w:t>ci-après :</w:t>
      </w:r>
    </w:p>
    <w:p w14:paraId="37A3252F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1" w:line="286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04</w:t>
      </w:r>
      <w:r>
        <w:rPr>
          <w:spacing w:val="-1"/>
          <w:sz w:val="24"/>
        </w:rPr>
        <w:t xml:space="preserve"> </w:t>
      </w:r>
      <w:r>
        <w:rPr>
          <w:sz w:val="24"/>
        </w:rPr>
        <w:t>mars</w:t>
      </w:r>
      <w:r>
        <w:rPr>
          <w:spacing w:val="-2"/>
          <w:sz w:val="24"/>
        </w:rPr>
        <w:t xml:space="preserve"> </w:t>
      </w:r>
      <w:r>
        <w:rPr>
          <w:sz w:val="24"/>
        </w:rPr>
        <w:t>1926</w:t>
      </w:r>
      <w:r>
        <w:rPr>
          <w:spacing w:val="1"/>
          <w:sz w:val="24"/>
        </w:rPr>
        <w:t xml:space="preserve"> </w:t>
      </w:r>
      <w:r>
        <w:rPr>
          <w:sz w:val="24"/>
        </w:rPr>
        <w:t>prescrivant</w:t>
      </w:r>
      <w:r>
        <w:rPr>
          <w:spacing w:val="-1"/>
          <w:sz w:val="24"/>
        </w:rPr>
        <w:t xml:space="preserve"> </w:t>
      </w:r>
      <w:r>
        <w:rPr>
          <w:sz w:val="24"/>
        </w:rPr>
        <w:t>l’allotissement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Tound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»</w:t>
      </w:r>
      <w:r>
        <w:rPr>
          <w:spacing w:val="-10"/>
          <w:sz w:val="24"/>
        </w:rPr>
        <w:t xml:space="preserve"> </w:t>
      </w:r>
      <w:r>
        <w:rPr>
          <w:sz w:val="24"/>
        </w:rPr>
        <w:t>à 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D64761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0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n°1487</w:t>
      </w:r>
      <w:r>
        <w:rPr>
          <w:spacing w:val="-1"/>
          <w:sz w:val="24"/>
        </w:rPr>
        <w:t xml:space="preserve"> </w:t>
      </w:r>
      <w:r>
        <w:rPr>
          <w:sz w:val="24"/>
        </w:rPr>
        <w:t>bis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 ;</w:t>
      </w:r>
    </w:p>
    <w:p w14:paraId="1F7D1CC5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n°723/AD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-1"/>
          <w:sz w:val="24"/>
        </w:rPr>
        <w:t xml:space="preserve"> </w:t>
      </w:r>
      <w:r>
        <w:rPr>
          <w:sz w:val="24"/>
        </w:rPr>
        <w:t>1937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C584D0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n°4701/SDE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septembre</w:t>
      </w:r>
      <w:r>
        <w:rPr>
          <w:spacing w:val="-2"/>
          <w:sz w:val="24"/>
        </w:rPr>
        <w:t xml:space="preserve"> </w:t>
      </w:r>
      <w:r>
        <w:rPr>
          <w:sz w:val="24"/>
        </w:rPr>
        <w:t>1949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84F1D6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n°2352/SDE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1955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3E6327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line="281" w:lineRule="exact"/>
        <w:ind w:hanging="282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n°7304/MFAE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46EA2C9" w14:textId="77777777" w:rsidR="0092513D" w:rsidRDefault="009D46A9">
      <w:pPr>
        <w:pStyle w:val="Paragraphedeliste"/>
        <w:numPr>
          <w:ilvl w:val="0"/>
          <w:numId w:val="166"/>
        </w:numPr>
        <w:tabs>
          <w:tab w:val="left" w:pos="1001"/>
        </w:tabs>
        <w:spacing w:line="270" w:lineRule="exact"/>
        <w:ind w:left="1000" w:hanging="349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similaires.</w:t>
      </w:r>
    </w:p>
    <w:p w14:paraId="0367EE23" w14:textId="77777777" w:rsidR="0092513D" w:rsidRDefault="0092513D">
      <w:pPr>
        <w:pStyle w:val="Corpsdetexte"/>
      </w:pPr>
    </w:p>
    <w:p w14:paraId="45276485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similaires,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entend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4817D0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7" w:line="232" w:lineRule="auto"/>
        <w:ind w:right="255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permis et autorisations d’occuper délivrés par l’administration des Domaines sur le</w:t>
      </w:r>
      <w:r>
        <w:rPr>
          <w:spacing w:val="1"/>
          <w:sz w:val="24"/>
        </w:rPr>
        <w:t xml:space="preserve"> </w:t>
      </w:r>
      <w:r>
        <w:rPr>
          <w:sz w:val="24"/>
        </w:rPr>
        <w:t>domaine privé de l’Etat postérieurement à la loi n°76-66 du 02 juillet 1976 portant Code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FC643B4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6" w:line="237" w:lineRule="auto"/>
        <w:ind w:right="25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permis d’habiter ou d’occuper, les autorisations d’occuper, les actes administratifs</w:t>
      </w:r>
      <w:r>
        <w:rPr>
          <w:spacing w:val="1"/>
          <w:sz w:val="24"/>
        </w:rPr>
        <w:t xml:space="preserve"> </w:t>
      </w:r>
      <w:r>
        <w:rPr>
          <w:sz w:val="24"/>
        </w:rPr>
        <w:t>établis par les autorités administratives (gouverneurs ou préfets) ou locales (maires) à la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portent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parcelles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 régulièrement réalisés sur une assiette foncière située dans une zone dotée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1"/>
          <w:sz w:val="24"/>
        </w:rPr>
        <w:t xml:space="preserve"> </w:t>
      </w:r>
      <w:r>
        <w:rPr>
          <w:sz w:val="24"/>
        </w:rPr>
        <w:t>et dépendant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042032A0" w14:textId="77777777" w:rsidR="0092513D" w:rsidRDefault="009D46A9">
      <w:pPr>
        <w:pStyle w:val="Corpsdetexte"/>
        <w:ind w:left="292" w:right="253"/>
        <w:jc w:val="both"/>
      </w:pPr>
      <w:r>
        <w:t>Cependant, les titres d’occupation, postérieurement établis par ces autorités administratives, après</w:t>
      </w:r>
      <w:r>
        <w:rPr>
          <w:spacing w:val="1"/>
        </w:rPr>
        <w:t xml:space="preserve"> </w:t>
      </w:r>
      <w:r>
        <w:t>l’entrée en vigueur de la loi visée à l’article premier, ne sont pas concernés par les dispositions de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2 du présent article.</w:t>
      </w:r>
    </w:p>
    <w:p w14:paraId="6242DC9F" w14:textId="77777777" w:rsidR="0092513D" w:rsidRDefault="0092513D">
      <w:pPr>
        <w:pStyle w:val="Corpsdetexte"/>
      </w:pPr>
    </w:p>
    <w:p w14:paraId="3A1697F4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20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titres</w:t>
      </w:r>
      <w:r>
        <w:rPr>
          <w:spacing w:val="22"/>
        </w:rPr>
        <w:t xml:space="preserve"> </w:t>
      </w:r>
      <w:r>
        <w:t>d’occupation</w:t>
      </w:r>
      <w:r>
        <w:rPr>
          <w:spacing w:val="20"/>
        </w:rPr>
        <w:t xml:space="preserve"> </w:t>
      </w:r>
      <w:r>
        <w:t>ci-après</w:t>
      </w:r>
      <w:r>
        <w:rPr>
          <w:spacing w:val="19"/>
        </w:rPr>
        <w:t xml:space="preserve"> </w:t>
      </w:r>
      <w:r>
        <w:t>listés</w:t>
      </w:r>
      <w:r>
        <w:rPr>
          <w:spacing w:val="20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exclus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champ</w:t>
      </w:r>
      <w:r>
        <w:rPr>
          <w:spacing w:val="20"/>
        </w:rPr>
        <w:t xml:space="preserve"> </w:t>
      </w:r>
      <w:r>
        <w:t>d’application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:</w:t>
      </w:r>
    </w:p>
    <w:p w14:paraId="0FD03D77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9" w:line="230" w:lineRule="auto"/>
        <w:ind w:right="253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baux</w:t>
      </w:r>
      <w:r>
        <w:rPr>
          <w:spacing w:val="17"/>
          <w:sz w:val="24"/>
        </w:rPr>
        <w:t xml:space="preserve"> </w:t>
      </w:r>
      <w:r>
        <w:rPr>
          <w:sz w:val="24"/>
        </w:rPr>
        <w:t>emphytéotiques,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baux</w:t>
      </w:r>
      <w:r>
        <w:rPr>
          <w:spacing w:val="14"/>
          <w:sz w:val="24"/>
        </w:rPr>
        <w:t xml:space="preserve"> </w:t>
      </w:r>
      <w:r>
        <w:rPr>
          <w:sz w:val="24"/>
        </w:rPr>
        <w:t>ordinaires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droits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superficie</w:t>
      </w:r>
      <w:r>
        <w:rPr>
          <w:spacing w:val="13"/>
          <w:sz w:val="24"/>
        </w:rPr>
        <w:t xml:space="preserve"> </w:t>
      </w:r>
      <w:r>
        <w:rPr>
          <w:sz w:val="24"/>
        </w:rPr>
        <w:t>concédés</w:t>
      </w:r>
      <w:r>
        <w:rPr>
          <w:spacing w:val="15"/>
          <w:sz w:val="24"/>
        </w:rPr>
        <w:t xml:space="preserve"> </w:t>
      </w:r>
      <w:r>
        <w:rPr>
          <w:sz w:val="24"/>
        </w:rPr>
        <w:t>sur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2D2BF32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5"/>
          <w:tab w:val="left" w:pos="1426"/>
        </w:tabs>
        <w:spacing w:before="11" w:line="230" w:lineRule="auto"/>
        <w:ind w:right="252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34"/>
          <w:sz w:val="24"/>
        </w:rPr>
        <w:t xml:space="preserve"> </w:t>
      </w:r>
      <w:r>
        <w:rPr>
          <w:sz w:val="24"/>
        </w:rPr>
        <w:t>d’occuper</w:t>
      </w:r>
      <w:r>
        <w:rPr>
          <w:spacing w:val="33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sz w:val="24"/>
        </w:rPr>
        <w:t>titre</w:t>
      </w:r>
      <w:r>
        <w:rPr>
          <w:spacing w:val="33"/>
          <w:sz w:val="24"/>
        </w:rPr>
        <w:t xml:space="preserve"> </w:t>
      </w:r>
      <w:r>
        <w:rPr>
          <w:sz w:val="24"/>
        </w:rPr>
        <w:t>précaire</w:t>
      </w:r>
      <w:r>
        <w:rPr>
          <w:spacing w:val="33"/>
          <w:sz w:val="24"/>
        </w:rPr>
        <w:t xml:space="preserve"> </w:t>
      </w:r>
      <w:r>
        <w:rPr>
          <w:sz w:val="24"/>
        </w:rPr>
        <w:t>et</w:t>
      </w:r>
      <w:r>
        <w:rPr>
          <w:spacing w:val="34"/>
          <w:sz w:val="24"/>
        </w:rPr>
        <w:t xml:space="preserve"> </w:t>
      </w:r>
      <w:r>
        <w:rPr>
          <w:sz w:val="24"/>
        </w:rPr>
        <w:t>révocable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les</w:t>
      </w:r>
      <w:r>
        <w:rPr>
          <w:spacing w:val="34"/>
          <w:sz w:val="24"/>
        </w:rPr>
        <w:t xml:space="preserve"> </w:t>
      </w:r>
      <w:r>
        <w:rPr>
          <w:sz w:val="24"/>
        </w:rPr>
        <w:t>concessions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voiries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29FDA726" w14:textId="77777777" w:rsidR="0092513D" w:rsidRDefault="0092513D">
      <w:pPr>
        <w:spacing w:line="230" w:lineRule="auto"/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0302294F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71" w:line="232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titre d’occupation, quelle que soit leur appellation (baux, autorisations 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d’habiter)</w:t>
      </w:r>
      <w:r>
        <w:rPr>
          <w:spacing w:val="1"/>
          <w:sz w:val="24"/>
        </w:rPr>
        <w:t xml:space="preserve"> </w:t>
      </w:r>
      <w:r>
        <w:rPr>
          <w:sz w:val="24"/>
        </w:rPr>
        <w:t>délivrés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maires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n’ayant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dotés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F780A3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8" w:line="235" w:lineRule="auto"/>
        <w:ind w:right="255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titres</w:t>
      </w:r>
      <w:r>
        <w:rPr>
          <w:spacing w:val="58"/>
          <w:sz w:val="24"/>
        </w:rPr>
        <w:t xml:space="preserve"> </w:t>
      </w:r>
      <w:r>
        <w:rPr>
          <w:sz w:val="24"/>
        </w:rPr>
        <w:t>d’occupation,</w:t>
      </w:r>
      <w:r>
        <w:rPr>
          <w:spacing w:val="58"/>
          <w:sz w:val="24"/>
        </w:rPr>
        <w:t xml:space="preserve"> </w:t>
      </w:r>
      <w:r>
        <w:rPr>
          <w:sz w:val="24"/>
        </w:rPr>
        <w:t>quelle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7"/>
          <w:sz w:val="24"/>
        </w:rPr>
        <w:t xml:space="preserve"> </w:t>
      </w:r>
      <w:r>
        <w:rPr>
          <w:sz w:val="24"/>
        </w:rPr>
        <w:t>soit</w:t>
      </w:r>
      <w:r>
        <w:rPr>
          <w:spacing w:val="58"/>
          <w:sz w:val="24"/>
        </w:rPr>
        <w:t xml:space="preserve"> </w:t>
      </w:r>
      <w:r>
        <w:rPr>
          <w:sz w:val="24"/>
        </w:rPr>
        <w:t>leur</w:t>
      </w:r>
      <w:r>
        <w:rPr>
          <w:spacing w:val="57"/>
          <w:sz w:val="24"/>
        </w:rPr>
        <w:t xml:space="preserve"> </w:t>
      </w:r>
      <w:r>
        <w:rPr>
          <w:sz w:val="24"/>
        </w:rPr>
        <w:t>dénomination,</w:t>
      </w:r>
      <w:r>
        <w:rPr>
          <w:spacing w:val="58"/>
          <w:sz w:val="24"/>
        </w:rPr>
        <w:t xml:space="preserve"> </w:t>
      </w:r>
      <w:r>
        <w:rPr>
          <w:sz w:val="24"/>
        </w:rPr>
        <w:t>délivrés</w:t>
      </w:r>
      <w:r>
        <w:rPr>
          <w:spacing w:val="58"/>
          <w:sz w:val="24"/>
        </w:rPr>
        <w:t xml:space="preserve"> </w:t>
      </w:r>
      <w:r>
        <w:rPr>
          <w:sz w:val="24"/>
        </w:rPr>
        <w:t>par</w:t>
      </w:r>
      <w:r>
        <w:rPr>
          <w:spacing w:val="57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sociétés</w:t>
      </w:r>
      <w:r>
        <w:rPr>
          <w:spacing w:val="-58"/>
          <w:sz w:val="24"/>
        </w:rPr>
        <w:t xml:space="preserve"> </w:t>
      </w:r>
      <w:r>
        <w:rPr>
          <w:sz w:val="24"/>
        </w:rPr>
        <w:t>nationales exerçant dans le domaine de la promotion immobilière, notamment la SICAP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SNHLM ;</w:t>
      </w:r>
    </w:p>
    <w:p w14:paraId="260EA4E4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10" w:line="230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délibérations des conseils ruraux portant affectation des terrains sur le 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national.</w:t>
      </w:r>
    </w:p>
    <w:p w14:paraId="1AD887BA" w14:textId="77777777" w:rsidR="0092513D" w:rsidRDefault="0092513D">
      <w:pPr>
        <w:pStyle w:val="Corpsdetexte"/>
        <w:spacing w:before="7"/>
      </w:pPr>
    </w:p>
    <w:p w14:paraId="7FDBAB0B" w14:textId="77777777" w:rsidR="0092513D" w:rsidRDefault="009D46A9">
      <w:pPr>
        <w:pStyle w:val="Titre3"/>
        <w:ind w:left="284"/>
      </w:pPr>
      <w:bookmarkStart w:id="1" w:name="_TOC_250117"/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"/>
      <w:r>
        <w:t>TRANSFORMATION</w:t>
      </w:r>
    </w:p>
    <w:p w14:paraId="293DBD98" w14:textId="77777777" w:rsidR="0092513D" w:rsidRDefault="009D46A9">
      <w:pPr>
        <w:pStyle w:val="Corpsdetexte"/>
        <w:spacing w:before="270"/>
        <w:ind w:left="292" w:right="253" w:hanging="1"/>
        <w:jc w:val="both"/>
      </w:pPr>
      <w:r>
        <w:rPr>
          <w:b/>
        </w:rPr>
        <w:t xml:space="preserve">ARTICLE 4 </w:t>
      </w:r>
      <w:r>
        <w:t>: La procédure de transformation des titres provisoires en titres définitifs peut être</w:t>
      </w:r>
      <w:r>
        <w:rPr>
          <w:spacing w:val="1"/>
        </w:rPr>
        <w:t xml:space="preserve"> </w:t>
      </w:r>
      <w:r>
        <w:t>initiée</w:t>
      </w:r>
      <w:r>
        <w:rPr>
          <w:spacing w:val="-2"/>
        </w:rPr>
        <w:t xml:space="preserve"> </w:t>
      </w:r>
      <w:r>
        <w:t>indifféremment :</w:t>
      </w:r>
    </w:p>
    <w:p w14:paraId="409F445D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9" w:line="230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l’administration des Domaines qui, dans ce cas, opère d’office la mutation des titres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litigieux</w:t>
      </w:r>
      <w:r>
        <w:rPr>
          <w:spacing w:val="2"/>
          <w:sz w:val="24"/>
        </w:rPr>
        <w:t xml:space="preserve"> </w:t>
      </w:r>
      <w:r>
        <w:rPr>
          <w:sz w:val="24"/>
        </w:rPr>
        <w:t>recensés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des 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détenus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0E7CF3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6" w:line="235" w:lineRule="auto"/>
        <w:ind w:right="255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 titulaire du titre provisoire qui saisit l’administration des Domaines sur la base</w:t>
      </w:r>
      <w:r>
        <w:rPr>
          <w:spacing w:val="1"/>
          <w:sz w:val="24"/>
        </w:rPr>
        <w:t xml:space="preserve"> </w:t>
      </w:r>
      <w:r>
        <w:rPr>
          <w:sz w:val="24"/>
        </w:rPr>
        <w:t>d’un dossier comprenant</w:t>
      </w:r>
      <w:r>
        <w:rPr>
          <w:spacing w:val="60"/>
          <w:sz w:val="24"/>
        </w:rPr>
        <w:t xml:space="preserve"> </w:t>
      </w:r>
      <w:r>
        <w:rPr>
          <w:sz w:val="24"/>
        </w:rPr>
        <w:t>un extrait de plan parcellaire certifié conforme par le service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1"/>
          <w:sz w:val="24"/>
        </w:rPr>
        <w:t xml:space="preserve"> </w:t>
      </w:r>
      <w:r>
        <w:rPr>
          <w:sz w:val="24"/>
        </w:rPr>
        <w:t>et l’original</w:t>
      </w:r>
      <w:r>
        <w:rPr>
          <w:spacing w:val="2"/>
          <w:sz w:val="24"/>
        </w:rPr>
        <w:t xml:space="preserve"> </w:t>
      </w:r>
      <w:r>
        <w:rPr>
          <w:sz w:val="24"/>
        </w:rPr>
        <w:t>dudit titre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DC55F5" w14:textId="77777777" w:rsidR="0092513D" w:rsidRDefault="009D46A9">
      <w:pPr>
        <w:pStyle w:val="Paragraphedeliste"/>
        <w:numPr>
          <w:ilvl w:val="1"/>
          <w:numId w:val="166"/>
        </w:numPr>
        <w:tabs>
          <w:tab w:val="left" w:pos="1426"/>
        </w:tabs>
        <w:spacing w:before="5" w:line="235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 notaire, qui requiert au moment du dépôt aux bureaux des domaines compétent de</w:t>
      </w:r>
      <w:r>
        <w:rPr>
          <w:spacing w:val="-57"/>
          <w:sz w:val="24"/>
        </w:rPr>
        <w:t xml:space="preserve"> </w:t>
      </w:r>
      <w:r>
        <w:rPr>
          <w:sz w:val="24"/>
        </w:rPr>
        <w:t>l’acte relatif à une transaction portant sur un titre provisoire, la transformation dudit titre</w:t>
      </w:r>
      <w:r>
        <w:rPr>
          <w:spacing w:val="-57"/>
          <w:sz w:val="24"/>
        </w:rPr>
        <w:t xml:space="preserve"> </w:t>
      </w:r>
      <w:r>
        <w:rPr>
          <w:sz w:val="24"/>
        </w:rPr>
        <w:t>provisoire</w:t>
      </w:r>
      <w:r>
        <w:rPr>
          <w:spacing w:val="-2"/>
          <w:sz w:val="24"/>
        </w:rPr>
        <w:t xml:space="preserve"> </w:t>
      </w:r>
      <w:r>
        <w:rPr>
          <w:sz w:val="24"/>
        </w:rPr>
        <w:t>en 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4EDA967B" w14:textId="77777777" w:rsidR="0092513D" w:rsidRDefault="0092513D">
      <w:pPr>
        <w:pStyle w:val="Corpsdetexte"/>
      </w:pPr>
    </w:p>
    <w:p w14:paraId="32CBDDE7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5 </w:t>
      </w:r>
      <w:r>
        <w:t>: Sur la base d’un arrêté du Ministre chargé des Domaines, le chef du bureau de la</w:t>
      </w:r>
      <w:r>
        <w:rPr>
          <w:spacing w:val="1"/>
        </w:rPr>
        <w:t xml:space="preserve"> </w:t>
      </w:r>
      <w:r>
        <w:t>conservation de la propriété et des droits fonciers procède aux formalités relatives à la mutation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subséquente</w:t>
      </w:r>
      <w:r>
        <w:rPr>
          <w:spacing w:val="-1"/>
        </w:rPr>
        <w:t xml:space="preserve"> </w:t>
      </w:r>
      <w:r>
        <w:t>du nouveau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correspondant.</w:t>
      </w:r>
    </w:p>
    <w:p w14:paraId="520CAC00" w14:textId="77777777" w:rsidR="0092513D" w:rsidRDefault="0092513D">
      <w:pPr>
        <w:pStyle w:val="Corpsdetexte"/>
      </w:pPr>
    </w:p>
    <w:p w14:paraId="4B2F67F9" w14:textId="77777777" w:rsidR="0092513D" w:rsidRDefault="009D46A9">
      <w:pPr>
        <w:pStyle w:val="Corpsdetexte"/>
        <w:ind w:left="292" w:right="254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L’arrêté</w:t>
      </w:r>
      <w:r>
        <w:rPr>
          <w:spacing w:val="3"/>
        </w:rPr>
        <w:t xml:space="preserve"> </w:t>
      </w:r>
      <w:r>
        <w:t>ministériel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être</w:t>
      </w:r>
      <w:r>
        <w:rPr>
          <w:spacing w:val="3"/>
        </w:rPr>
        <w:t xml:space="preserve"> </w:t>
      </w:r>
      <w:r>
        <w:t>individuel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collectif.</w:t>
      </w:r>
      <w:r>
        <w:rPr>
          <w:spacing w:val="6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comprend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renseignements</w:t>
      </w:r>
      <w:r>
        <w:rPr>
          <w:spacing w:val="-57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74B48B7A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titulaire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57C739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82B1F2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F15B65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officiel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cession 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94BFA4D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CE0FD3" w14:textId="77777777" w:rsidR="0092513D" w:rsidRDefault="009D46A9">
      <w:pPr>
        <w:pStyle w:val="Paragraphedeliste"/>
        <w:numPr>
          <w:ilvl w:val="0"/>
          <w:numId w:val="165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éludés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publicité foncière.</w:t>
      </w:r>
    </w:p>
    <w:p w14:paraId="7641DFCD" w14:textId="77777777" w:rsidR="0092513D" w:rsidRDefault="0092513D">
      <w:pPr>
        <w:pStyle w:val="Corpsdetexte"/>
        <w:spacing w:before="6"/>
      </w:pPr>
    </w:p>
    <w:p w14:paraId="5833A69E" w14:textId="77777777" w:rsidR="0092513D" w:rsidRDefault="009D46A9">
      <w:pPr>
        <w:pStyle w:val="Titre3"/>
      </w:pPr>
      <w:bookmarkStart w:id="2" w:name="_TOC_250116"/>
      <w:r>
        <w:t>CHAPITRE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RAPPEL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2"/>
      <w:r>
        <w:t>ELUDES</w:t>
      </w:r>
    </w:p>
    <w:p w14:paraId="508BF202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7 </w:t>
      </w:r>
      <w:r>
        <w:t>: La cession par le détenteur d’un titre définitif résultant d’une application de la loi</w:t>
      </w:r>
      <w:r>
        <w:rPr>
          <w:spacing w:val="1"/>
        </w:rPr>
        <w:t xml:space="preserve"> </w:t>
      </w:r>
      <w:r>
        <w:t>n’est soumise à aucune clause restrictive. Toutefois, lorsque la cession intervient dans l’intervalle</w:t>
      </w:r>
      <w:r>
        <w:rPr>
          <w:spacing w:val="1"/>
        </w:rPr>
        <w:t xml:space="preserve"> </w:t>
      </w:r>
      <w:r>
        <w:t>des cinq (05) années consécutives à la transformation du titre provisoire en titre définitif, le vendeur</w:t>
      </w:r>
      <w:r>
        <w:rPr>
          <w:spacing w:val="-57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d’acquitter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taxe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due,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d’enregistrement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foncières</w:t>
      </w:r>
      <w:r>
        <w:rPr>
          <w:spacing w:val="2"/>
        </w:rPr>
        <w:t xml:space="preserve"> </w:t>
      </w:r>
      <w:r>
        <w:t>initialement</w:t>
      </w:r>
      <w:r>
        <w:rPr>
          <w:spacing w:val="-1"/>
        </w:rPr>
        <w:t xml:space="preserve"> </w:t>
      </w:r>
      <w:r>
        <w:t>éludés.</w:t>
      </w:r>
    </w:p>
    <w:p w14:paraId="23D0252C" w14:textId="77777777" w:rsidR="0092513D" w:rsidRDefault="009D46A9">
      <w:pPr>
        <w:pStyle w:val="Corpsdetexte"/>
        <w:ind w:left="292" w:right="251"/>
        <w:jc w:val="both"/>
      </w:pPr>
      <w:r>
        <w:t>A cet effet l’administration procède à l’évaluation du terrain objet du titre provisoire et mentionne</w:t>
      </w:r>
      <w:r>
        <w:rPr>
          <w:spacing w:val="1"/>
        </w:rPr>
        <w:t xml:space="preserve"> </w:t>
      </w:r>
      <w:r>
        <w:t>ainsi qu’il est indiqué à l’article précédent sur l’acte administratif support de l’opération, la valeur</w:t>
      </w:r>
      <w:r>
        <w:rPr>
          <w:spacing w:val="1"/>
        </w:rPr>
        <w:t xml:space="preserve"> </w:t>
      </w:r>
      <w:r>
        <w:t>d’acquisition</w:t>
      </w:r>
      <w:r>
        <w:rPr>
          <w:spacing w:val="-1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sur 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barème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 domaniaux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l’arrêté.</w:t>
      </w:r>
    </w:p>
    <w:p w14:paraId="032ED8C9" w14:textId="77777777" w:rsidR="0092513D" w:rsidRDefault="0092513D">
      <w:pPr>
        <w:pStyle w:val="Corpsdetexte"/>
      </w:pPr>
    </w:p>
    <w:p w14:paraId="465657A1" w14:textId="6C431176" w:rsidR="0092513D" w:rsidRDefault="009D46A9" w:rsidP="00D174CC">
      <w:pPr>
        <w:pStyle w:val="Corpsdetexte"/>
        <w:ind w:left="292"/>
        <w:rPr>
          <w:sz w:val="2"/>
        </w:rPr>
      </w:pPr>
      <w:r>
        <w:rPr>
          <w:b/>
        </w:rPr>
        <w:t>ARTICLE</w:t>
      </w:r>
      <w:r>
        <w:rPr>
          <w:b/>
          <w:spacing w:val="37"/>
        </w:rPr>
        <w:t xml:space="preserve"> </w:t>
      </w:r>
      <w:r>
        <w:rPr>
          <w:b/>
        </w:rPr>
        <w:t>8</w:t>
      </w:r>
      <w:r>
        <w:rPr>
          <w:b/>
          <w:spacing w:val="-2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Ministre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l’Economie</w:t>
      </w:r>
      <w:r>
        <w:rPr>
          <w:spacing w:val="38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Finances</w:t>
      </w:r>
      <w:r>
        <w:rPr>
          <w:spacing w:val="37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chargé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l’exécution</w:t>
      </w:r>
      <w:r>
        <w:rPr>
          <w:spacing w:val="36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journal officiel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du Sénégal.</w:t>
      </w:r>
    </w:p>
    <w:sectPr w:rsidR="0092513D" w:rsidSect="00D174CC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CB84" w14:textId="77777777" w:rsidR="00F93E81" w:rsidRDefault="00F93E81">
      <w:r>
        <w:separator/>
      </w:r>
    </w:p>
  </w:endnote>
  <w:endnote w:type="continuationSeparator" w:id="0">
    <w:p w14:paraId="5ECF490A" w14:textId="77777777" w:rsidR="00F93E81" w:rsidRDefault="00F9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D791" w14:textId="77777777" w:rsidR="00F93E81" w:rsidRDefault="00F93E81">
      <w:r>
        <w:separator/>
      </w:r>
    </w:p>
  </w:footnote>
  <w:footnote w:type="continuationSeparator" w:id="0">
    <w:p w14:paraId="3D9F3E28" w14:textId="77777777" w:rsidR="00F93E81" w:rsidRDefault="00F93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5D3843"/>
    <w:rsid w:val="00677402"/>
    <w:rsid w:val="00804EC6"/>
    <w:rsid w:val="0092513D"/>
    <w:rsid w:val="009756BE"/>
    <w:rsid w:val="009D46A9"/>
    <w:rsid w:val="00A03C28"/>
    <w:rsid w:val="00A30673"/>
    <w:rsid w:val="00C23B30"/>
    <w:rsid w:val="00D174CC"/>
    <w:rsid w:val="00DC4F95"/>
    <w:rsid w:val="00ED51FD"/>
    <w:rsid w:val="00ED5F08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2024-03-19T12:31:00Z</dcterms:created>
  <dcterms:modified xsi:type="dcterms:W3CDTF">2024-03-19T12:31:00Z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