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1144" w14:textId="77777777" w:rsidR="00447B79" w:rsidRDefault="006F7D9C">
      <w:pPr>
        <w:pStyle w:val="Titre1"/>
        <w:ind w:right="1991"/>
      </w:pPr>
      <w:bookmarkStart w:id="0" w:name="_TOC_250302"/>
      <w:bookmarkEnd w:id="0"/>
      <w:r>
        <w:rPr>
          <w:color w:val="355E91"/>
        </w:rPr>
        <w:t>PREFACE</w:t>
      </w:r>
    </w:p>
    <w:p w14:paraId="06DF2018" w14:textId="77777777" w:rsidR="00447B79" w:rsidRDefault="006F7D9C">
      <w:pPr>
        <w:pStyle w:val="Corpsdetexte"/>
        <w:spacing w:before="568"/>
        <w:ind w:left="292" w:right="252"/>
        <w:jc w:val="both"/>
      </w:pPr>
      <w:r>
        <w:t>C’est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plaisir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j’ai</w:t>
      </w:r>
      <w:r>
        <w:rPr>
          <w:spacing w:val="1"/>
        </w:rPr>
        <w:t xml:space="preserve"> </w:t>
      </w:r>
      <w:r>
        <w:t>accepté</w:t>
      </w:r>
      <w:r>
        <w:rPr>
          <w:spacing w:val="1"/>
        </w:rPr>
        <w:t xml:space="preserve"> </w:t>
      </w:r>
      <w:r>
        <w:t>d’être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préfacier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recueil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textes</w:t>
      </w:r>
      <w:r>
        <w:rPr>
          <w:spacing w:val="1"/>
        </w:rPr>
        <w:t xml:space="preserve"> </w:t>
      </w:r>
      <w:r>
        <w:t>législatifs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réglementaires, les plus importants en matière foncière et domaniale au Sénégal. Le plaisir est</w:t>
      </w:r>
      <w:r>
        <w:rPr>
          <w:spacing w:val="1"/>
        </w:rPr>
        <w:t xml:space="preserve"> </w:t>
      </w:r>
      <w:r>
        <w:t>d’autant plus grand que j’ai la conviction, qu’il s’agit d’une œuvre très utile et d’une grande qualité,</w:t>
      </w:r>
      <w:r>
        <w:rPr>
          <w:spacing w:val="-57"/>
        </w:rPr>
        <w:t xml:space="preserve"> </w:t>
      </w:r>
      <w:r>
        <w:t>fruit</w:t>
      </w:r>
      <w:r>
        <w:rPr>
          <w:spacing w:val="-1"/>
        </w:rPr>
        <w:t xml:space="preserve"> </w:t>
      </w:r>
      <w:r>
        <w:t>d’un travail de</w:t>
      </w:r>
      <w:r>
        <w:rPr>
          <w:spacing w:val="1"/>
        </w:rPr>
        <w:t xml:space="preserve"> </w:t>
      </w:r>
      <w:r>
        <w:t>recherche</w:t>
      </w:r>
      <w:r>
        <w:rPr>
          <w:spacing w:val="-1"/>
        </w:rPr>
        <w:t xml:space="preserve"> </w:t>
      </w:r>
      <w:r>
        <w:t>acharné.</w:t>
      </w:r>
    </w:p>
    <w:p w14:paraId="38DEE9A6" w14:textId="77777777" w:rsidR="00447B79" w:rsidRDefault="00447B79">
      <w:pPr>
        <w:pStyle w:val="Corpsdetexte"/>
      </w:pPr>
    </w:p>
    <w:p w14:paraId="5AB6673A" w14:textId="77777777" w:rsidR="00447B79" w:rsidRDefault="006F7D9C">
      <w:pPr>
        <w:pStyle w:val="Corpsdetexte"/>
        <w:ind w:left="292" w:right="253"/>
        <w:jc w:val="both"/>
      </w:pPr>
      <w:r>
        <w:t>Nous devons la recherche et la compilation des textes qui ont été publiés dans ce recueil à deux</w:t>
      </w:r>
      <w:r>
        <w:rPr>
          <w:spacing w:val="1"/>
        </w:rPr>
        <w:t xml:space="preserve"> </w:t>
      </w:r>
      <w:r>
        <w:t>membres de la magistrature sénégalaise qui, confrontés à la réalité du prétoire, ont compris que ce</w:t>
      </w:r>
      <w:r>
        <w:rPr>
          <w:spacing w:val="1"/>
        </w:rPr>
        <w:t xml:space="preserve"> </w:t>
      </w:r>
      <w:r>
        <w:t>besoin existe. Messieur</w:t>
      </w:r>
      <w:r>
        <w:t>s SENE et TRAORE, en plus d’être de jeunes magistrats sont encore attirés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recherche.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propos,</w:t>
      </w:r>
      <w:r>
        <w:rPr>
          <w:spacing w:val="-1"/>
        </w:rPr>
        <w:t xml:space="preserve"> </w:t>
      </w:r>
      <w:r>
        <w:t>relevons</w:t>
      </w:r>
      <w:r>
        <w:rPr>
          <w:spacing w:val="-1"/>
        </w:rPr>
        <w:t xml:space="preserve"> </w:t>
      </w:r>
      <w:r>
        <w:t xml:space="preserve">que </w:t>
      </w:r>
      <w:proofErr w:type="spellStart"/>
      <w:r>
        <w:t>Biram</w:t>
      </w:r>
      <w:proofErr w:type="spellEnd"/>
      <w:r>
        <w:rPr>
          <w:spacing w:val="2"/>
        </w:rPr>
        <w:t xml:space="preserve"> </w:t>
      </w:r>
      <w:r>
        <w:t>SENE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inscrit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thèse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doctorat</w:t>
      </w:r>
      <w:r>
        <w:rPr>
          <w:spacing w:val="-1"/>
        </w:rPr>
        <w:t xml:space="preserve"> </w:t>
      </w:r>
      <w:r>
        <w:t>d’Etat.</w:t>
      </w:r>
    </w:p>
    <w:p w14:paraId="22A2F623" w14:textId="77777777" w:rsidR="00447B79" w:rsidRDefault="00447B79">
      <w:pPr>
        <w:pStyle w:val="Corpsdetexte"/>
      </w:pPr>
    </w:p>
    <w:p w14:paraId="60C95CED" w14:textId="77777777" w:rsidR="00447B79" w:rsidRDefault="006F7D9C">
      <w:pPr>
        <w:pStyle w:val="Corpsdetexte"/>
        <w:ind w:left="292" w:right="252"/>
        <w:jc w:val="both"/>
      </w:pPr>
      <w:r>
        <w:t>En Afrique, comme d’ailleurs dans le reste du monde, en milieu urbain ou dans les campagnes, le</w:t>
      </w:r>
      <w:r>
        <w:rPr>
          <w:spacing w:val="1"/>
        </w:rPr>
        <w:t xml:space="preserve"> </w:t>
      </w:r>
      <w:r>
        <w:t>foncier est l’enjeu de nombreux conflits. Des réglementations diverses et variables dans le temps et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l’espace, tentent</w:t>
      </w:r>
      <w:r>
        <w:rPr>
          <w:spacing w:val="-1"/>
        </w:rPr>
        <w:t xml:space="preserve"> </w:t>
      </w:r>
      <w:r>
        <w:t>d’encadrer</w:t>
      </w:r>
      <w:r>
        <w:rPr>
          <w:spacing w:val="-1"/>
        </w:rPr>
        <w:t xml:space="preserve"> </w:t>
      </w:r>
      <w:r>
        <w:t>la gestion de</w:t>
      </w:r>
      <w:r>
        <w:rPr>
          <w:spacing w:val="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outil q</w:t>
      </w:r>
      <w:r>
        <w:t>u’est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Foncier.</w:t>
      </w:r>
    </w:p>
    <w:p w14:paraId="27FEE37D" w14:textId="77777777" w:rsidR="00447B79" w:rsidRDefault="00447B79">
      <w:pPr>
        <w:pStyle w:val="Corpsdetexte"/>
      </w:pPr>
    </w:p>
    <w:p w14:paraId="786A01C2" w14:textId="77777777" w:rsidR="00447B79" w:rsidRDefault="006F7D9C">
      <w:pPr>
        <w:pStyle w:val="Corpsdetexte"/>
        <w:ind w:left="292" w:right="251"/>
        <w:jc w:val="both"/>
      </w:pPr>
      <w:r>
        <w:t>Quelles que soient les vertus simplificatrices de la réforme de 1964 qui a</w:t>
      </w:r>
      <w:r>
        <w:rPr>
          <w:spacing w:val="1"/>
        </w:rPr>
        <w:t xml:space="preserve"> </w:t>
      </w:r>
      <w:r>
        <w:t>mis fin à la situation</w:t>
      </w:r>
      <w:r>
        <w:rPr>
          <w:spacing w:val="1"/>
        </w:rPr>
        <w:t xml:space="preserve"> </w:t>
      </w:r>
      <w:r>
        <w:t>confuse et complexe qui régnait en matière foncière à l’accession du Sénégal à l’indépendance, il</w:t>
      </w:r>
      <w:r>
        <w:rPr>
          <w:spacing w:val="1"/>
        </w:rPr>
        <w:t xml:space="preserve"> </w:t>
      </w:r>
      <w:r>
        <w:t>n’y a pas aujourd’hui un régime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e</w:t>
      </w:r>
      <w:r>
        <w:t>t domanial</w:t>
      </w:r>
      <w:r>
        <w:rPr>
          <w:spacing w:val="1"/>
        </w:rPr>
        <w:t xml:space="preserve"> </w:t>
      </w:r>
      <w:r>
        <w:t>unique. Une analyse statique</w:t>
      </w:r>
      <w:r>
        <w:rPr>
          <w:spacing w:val="60"/>
        </w:rPr>
        <w:t xml:space="preserve"> </w:t>
      </w:r>
      <w:r>
        <w:t>du système</w:t>
      </w:r>
      <w:r>
        <w:rPr>
          <w:spacing w:val="1"/>
        </w:rPr>
        <w:t xml:space="preserve"> </w:t>
      </w:r>
      <w:r>
        <w:t>foncier</w:t>
      </w:r>
      <w:r>
        <w:rPr>
          <w:spacing w:val="14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Sénégal</w:t>
      </w:r>
      <w:r>
        <w:rPr>
          <w:spacing w:val="15"/>
        </w:rPr>
        <w:t xml:space="preserve"> </w:t>
      </w:r>
      <w:r>
        <w:t>laisse</w:t>
      </w:r>
      <w:r>
        <w:rPr>
          <w:spacing w:val="16"/>
        </w:rPr>
        <w:t xml:space="preserve"> </w:t>
      </w:r>
      <w:r>
        <w:t>apparaître</w:t>
      </w:r>
      <w:r>
        <w:rPr>
          <w:spacing w:val="13"/>
        </w:rPr>
        <w:t xml:space="preserve"> </w:t>
      </w:r>
      <w:r>
        <w:t>trois</w:t>
      </w:r>
      <w:r>
        <w:rPr>
          <w:spacing w:val="15"/>
        </w:rPr>
        <w:t xml:space="preserve"> </w:t>
      </w:r>
      <w:proofErr w:type="gramStart"/>
      <w:r>
        <w:t>régimes:</w:t>
      </w:r>
      <w:proofErr w:type="gramEnd"/>
      <w:r>
        <w:rPr>
          <w:spacing w:val="16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régime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domanialité</w:t>
      </w:r>
      <w:r>
        <w:rPr>
          <w:spacing w:val="13"/>
        </w:rPr>
        <w:t xml:space="preserve"> </w:t>
      </w:r>
      <w:r>
        <w:t>nationale,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régime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domanialité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l’immatriculation..</w:t>
      </w:r>
    </w:p>
    <w:p w14:paraId="15D25708" w14:textId="77777777" w:rsidR="00447B79" w:rsidRDefault="00447B79">
      <w:pPr>
        <w:pStyle w:val="Corpsdetexte"/>
        <w:spacing w:before="2"/>
      </w:pPr>
    </w:p>
    <w:p w14:paraId="41618295" w14:textId="77777777" w:rsidR="00447B79" w:rsidRDefault="006F7D9C" w:rsidP="006F7D9C">
      <w:pPr>
        <w:pStyle w:val="Paragraphedeliste"/>
        <w:numPr>
          <w:ilvl w:val="0"/>
          <w:numId w:val="2"/>
        </w:numPr>
        <w:tabs>
          <w:tab w:val="left" w:pos="1145"/>
        </w:tabs>
        <w:ind w:right="251"/>
        <w:jc w:val="both"/>
        <w:rPr>
          <w:sz w:val="24"/>
        </w:rPr>
      </w:pPr>
      <w:r>
        <w:rPr>
          <w:sz w:val="24"/>
        </w:rPr>
        <w:t>La domanialité nationale a été instituée par la loi n°64-46 du 17 juin 1964.   C’est un</w:t>
      </w:r>
      <w:r>
        <w:rPr>
          <w:spacing w:val="1"/>
          <w:sz w:val="24"/>
        </w:rPr>
        <w:t xml:space="preserve"> </w:t>
      </w:r>
      <w:r>
        <w:rPr>
          <w:sz w:val="24"/>
        </w:rPr>
        <w:t>régime original basé sur de grands principes parmi lesquels la gratuité de l’accès à la terre,</w:t>
      </w:r>
      <w:r>
        <w:rPr>
          <w:spacing w:val="1"/>
          <w:sz w:val="24"/>
        </w:rPr>
        <w:t xml:space="preserve"> </w:t>
      </w:r>
      <w:r>
        <w:rPr>
          <w:sz w:val="24"/>
        </w:rPr>
        <w:t>l’absence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propriété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terre</w:t>
      </w:r>
      <w:r>
        <w:rPr>
          <w:spacing w:val="25"/>
          <w:sz w:val="24"/>
        </w:rPr>
        <w:t xml:space="preserve"> </w:t>
      </w:r>
      <w:r>
        <w:rPr>
          <w:sz w:val="24"/>
        </w:rPr>
        <w:t>et</w:t>
      </w:r>
      <w:r>
        <w:rPr>
          <w:spacing w:val="24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terres</w:t>
      </w:r>
      <w:r>
        <w:rPr>
          <w:spacing w:val="24"/>
          <w:sz w:val="24"/>
        </w:rPr>
        <w:t xml:space="preserve"> </w:t>
      </w:r>
      <w:r>
        <w:rPr>
          <w:sz w:val="24"/>
        </w:rPr>
        <w:t>dans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z w:val="24"/>
        </w:rPr>
        <w:t>ur</w:t>
      </w:r>
      <w:r>
        <w:rPr>
          <w:spacing w:val="26"/>
          <w:sz w:val="24"/>
        </w:rPr>
        <w:t xml:space="preserve"> </w:t>
      </w:r>
      <w:r>
        <w:rPr>
          <w:sz w:val="24"/>
        </w:rPr>
        <w:t>grande</w:t>
      </w:r>
      <w:r>
        <w:rPr>
          <w:spacing w:val="23"/>
          <w:sz w:val="24"/>
        </w:rPr>
        <w:t xml:space="preserve"> </w:t>
      </w:r>
      <w:r>
        <w:rPr>
          <w:sz w:val="24"/>
        </w:rPr>
        <w:t>majorité</w:t>
      </w:r>
      <w:r>
        <w:rPr>
          <w:spacing w:val="-58"/>
          <w:sz w:val="24"/>
        </w:rPr>
        <w:t xml:space="preserve"> </w:t>
      </w:r>
      <w:r>
        <w:rPr>
          <w:sz w:val="24"/>
        </w:rPr>
        <w:t>par les collectivités locales. Le domaine national comprend des terres classées en quatre</w:t>
      </w:r>
      <w:r>
        <w:rPr>
          <w:spacing w:val="1"/>
          <w:sz w:val="24"/>
        </w:rPr>
        <w:t xml:space="preserve"> </w:t>
      </w:r>
      <w:r>
        <w:rPr>
          <w:sz w:val="24"/>
        </w:rPr>
        <w:t>catégories constituant les zones urbaines, les zones classées, les zones des terroirs et les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pionnières.</w:t>
      </w:r>
    </w:p>
    <w:p w14:paraId="54DB5C34" w14:textId="77777777" w:rsidR="00447B79" w:rsidRDefault="00447B79">
      <w:pPr>
        <w:pStyle w:val="Corpsdetexte"/>
      </w:pPr>
    </w:p>
    <w:p w14:paraId="7E6D1B11" w14:textId="77777777" w:rsidR="00447B79" w:rsidRDefault="006F7D9C" w:rsidP="006F7D9C">
      <w:pPr>
        <w:pStyle w:val="Paragraphedeliste"/>
        <w:numPr>
          <w:ilvl w:val="0"/>
          <w:numId w:val="2"/>
        </w:numPr>
        <w:tabs>
          <w:tab w:val="left" w:pos="1145"/>
        </w:tabs>
        <w:ind w:right="251"/>
        <w:jc w:val="both"/>
        <w:rPr>
          <w:sz w:val="24"/>
        </w:rPr>
      </w:pPr>
      <w:r>
        <w:rPr>
          <w:sz w:val="24"/>
        </w:rPr>
        <w:t>La domanialité publique est un régi</w:t>
      </w:r>
      <w:r>
        <w:rPr>
          <w:sz w:val="24"/>
        </w:rPr>
        <w:t>me de protection des biens meubles ou immeubles</w:t>
      </w:r>
      <w:r>
        <w:rPr>
          <w:spacing w:val="1"/>
          <w:sz w:val="24"/>
        </w:rPr>
        <w:t xml:space="preserve"> </w:t>
      </w:r>
      <w:r>
        <w:rPr>
          <w:sz w:val="24"/>
        </w:rPr>
        <w:t>appartenant à l’Etat et affectés à une utilité publique qui peut résulter d'une affectation à</w:t>
      </w:r>
      <w:r>
        <w:rPr>
          <w:spacing w:val="1"/>
          <w:sz w:val="24"/>
        </w:rPr>
        <w:t xml:space="preserve"> </w:t>
      </w:r>
      <w:r>
        <w:rPr>
          <w:sz w:val="24"/>
        </w:rPr>
        <w:t>l'usage direct du public ou à un</w:t>
      </w:r>
      <w:r>
        <w:rPr>
          <w:spacing w:val="1"/>
          <w:sz w:val="24"/>
        </w:rPr>
        <w:t xml:space="preserve"> </w:t>
      </w:r>
      <w:r>
        <w:rPr>
          <w:sz w:val="24"/>
        </w:rPr>
        <w:t>service public.</w:t>
      </w:r>
      <w:r>
        <w:rPr>
          <w:spacing w:val="1"/>
          <w:sz w:val="24"/>
        </w:rPr>
        <w:t xml:space="preserve"> </w:t>
      </w:r>
      <w:r>
        <w:rPr>
          <w:sz w:val="24"/>
        </w:rPr>
        <w:t>Le domaine public imprescriptible et</w:t>
      </w:r>
      <w:r>
        <w:rPr>
          <w:spacing w:val="1"/>
          <w:sz w:val="24"/>
        </w:rPr>
        <w:t xml:space="preserve"> </w:t>
      </w:r>
      <w:r>
        <w:rPr>
          <w:sz w:val="24"/>
        </w:rPr>
        <w:t>inaliénable ne peut faire l’objet que de permissions de voirie, d'autorisation d'occuper, de</w:t>
      </w:r>
      <w:r>
        <w:rPr>
          <w:spacing w:val="1"/>
          <w:sz w:val="24"/>
        </w:rPr>
        <w:t xml:space="preserve"> </w:t>
      </w:r>
      <w:r>
        <w:rPr>
          <w:sz w:val="24"/>
        </w:rPr>
        <w:t>concessions et d'autorisations d'exploitation donnant lieu, sauf exception au paiement de</w:t>
      </w:r>
      <w:r>
        <w:rPr>
          <w:spacing w:val="1"/>
          <w:sz w:val="24"/>
        </w:rPr>
        <w:t xml:space="preserve"> </w:t>
      </w:r>
      <w:r>
        <w:rPr>
          <w:sz w:val="24"/>
        </w:rPr>
        <w:t>redevances.</w:t>
      </w:r>
    </w:p>
    <w:p w14:paraId="3AB455C2" w14:textId="77777777" w:rsidR="00447B79" w:rsidRDefault="00447B79">
      <w:pPr>
        <w:pStyle w:val="Corpsdetexte"/>
      </w:pPr>
    </w:p>
    <w:p w14:paraId="334AD39C" w14:textId="77777777" w:rsidR="00447B79" w:rsidRDefault="006F7D9C" w:rsidP="006F7D9C">
      <w:pPr>
        <w:pStyle w:val="Paragraphedeliste"/>
        <w:numPr>
          <w:ilvl w:val="0"/>
          <w:numId w:val="2"/>
        </w:numPr>
        <w:tabs>
          <w:tab w:val="left" w:pos="1145"/>
        </w:tabs>
        <w:ind w:right="251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régime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garantit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foncière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moyen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 au livre foncier, de tous les droits réels se rapportant à l’immeuble approprié.</w:t>
      </w:r>
      <w:r>
        <w:rPr>
          <w:spacing w:val="1"/>
          <w:sz w:val="24"/>
        </w:rPr>
        <w:t xml:space="preserve"> </w:t>
      </w:r>
      <w:r>
        <w:rPr>
          <w:sz w:val="24"/>
        </w:rPr>
        <w:t>L’immatriculation s’effectue aussi bien au nom des personnes physiques que des personnes</w:t>
      </w:r>
      <w:r>
        <w:rPr>
          <w:spacing w:val="-57"/>
          <w:sz w:val="24"/>
        </w:rPr>
        <w:t xml:space="preserve"> </w:t>
      </w:r>
      <w:r>
        <w:rPr>
          <w:sz w:val="24"/>
        </w:rPr>
        <w:t>morales.</w:t>
      </w:r>
    </w:p>
    <w:p w14:paraId="58A4E33C" w14:textId="77777777" w:rsidR="00447B79" w:rsidRDefault="00447B79">
      <w:pPr>
        <w:pStyle w:val="Corpsdetexte"/>
        <w:spacing w:before="9"/>
        <w:rPr>
          <w:sz w:val="23"/>
        </w:rPr>
      </w:pPr>
    </w:p>
    <w:p w14:paraId="48AE4D49" w14:textId="77777777" w:rsidR="00447B79" w:rsidRDefault="006F7D9C">
      <w:pPr>
        <w:pStyle w:val="Corpsdetexte"/>
        <w:ind w:left="292"/>
        <w:jc w:val="both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fondement</w:t>
      </w:r>
      <w:r>
        <w:rPr>
          <w:spacing w:val="-2"/>
        </w:rPr>
        <w:t xml:space="preserve"> </w:t>
      </w:r>
      <w:r>
        <w:t>de ces</w:t>
      </w:r>
      <w:r>
        <w:rPr>
          <w:spacing w:val="-2"/>
        </w:rPr>
        <w:t xml:space="preserve"> </w:t>
      </w:r>
      <w:r>
        <w:t>régime</w:t>
      </w:r>
      <w:r>
        <w:t>s,</w:t>
      </w:r>
      <w:r>
        <w:rPr>
          <w:spacing w:val="-1"/>
        </w:rPr>
        <w:t xml:space="preserve"> </w:t>
      </w:r>
      <w:r>
        <w:t>nous avons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Sénégal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catégories</w:t>
      </w:r>
      <w:r>
        <w:rPr>
          <w:spacing w:val="-2"/>
        </w:rPr>
        <w:t xml:space="preserve"> </w:t>
      </w:r>
      <w:r>
        <w:t>de terres</w:t>
      </w:r>
      <w:r>
        <w:rPr>
          <w:spacing w:val="-2"/>
        </w:rPr>
        <w:t xml:space="preserve"> </w:t>
      </w:r>
      <w:r>
        <w:t>:</w:t>
      </w:r>
    </w:p>
    <w:p w14:paraId="61D7D736" w14:textId="77777777" w:rsidR="00447B79" w:rsidRDefault="00447B79">
      <w:pPr>
        <w:pStyle w:val="Corpsdetexte"/>
        <w:spacing w:before="2"/>
      </w:pPr>
    </w:p>
    <w:p w14:paraId="30682FD3" w14:textId="77777777" w:rsidR="00447B79" w:rsidRDefault="006F7D9C" w:rsidP="006F7D9C">
      <w:pPr>
        <w:pStyle w:val="Paragraphedeliste"/>
        <w:numPr>
          <w:ilvl w:val="0"/>
          <w:numId w:val="1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terres du domaine national régies par la loi</w:t>
      </w:r>
      <w:r>
        <w:rPr>
          <w:spacing w:val="1"/>
          <w:sz w:val="24"/>
        </w:rPr>
        <w:t xml:space="preserve"> </w:t>
      </w:r>
      <w:r>
        <w:rPr>
          <w:sz w:val="24"/>
        </w:rPr>
        <w:t>n°64-46 du 17 juin 1964.</w:t>
      </w:r>
      <w:r>
        <w:rPr>
          <w:spacing w:val="60"/>
          <w:sz w:val="24"/>
        </w:rPr>
        <w:t xml:space="preserve"> </w:t>
      </w:r>
      <w:r>
        <w:rPr>
          <w:sz w:val="24"/>
        </w:rPr>
        <w:t>Le 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32"/>
          <w:sz w:val="24"/>
        </w:rPr>
        <w:t xml:space="preserve"> </w:t>
      </w:r>
      <w:r>
        <w:rPr>
          <w:sz w:val="24"/>
        </w:rPr>
        <w:t>constitue</w:t>
      </w:r>
      <w:r>
        <w:rPr>
          <w:spacing w:val="30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vaste</w:t>
      </w:r>
      <w:r>
        <w:rPr>
          <w:spacing w:val="31"/>
          <w:sz w:val="24"/>
        </w:rPr>
        <w:t xml:space="preserve"> </w:t>
      </w:r>
      <w:r>
        <w:rPr>
          <w:sz w:val="24"/>
        </w:rPr>
        <w:t>espace</w:t>
      </w:r>
      <w:r>
        <w:rPr>
          <w:spacing w:val="30"/>
          <w:sz w:val="24"/>
        </w:rPr>
        <w:t xml:space="preserve"> </w:t>
      </w:r>
      <w:r>
        <w:rPr>
          <w:sz w:val="24"/>
        </w:rPr>
        <w:t>qui</w:t>
      </w:r>
      <w:r>
        <w:rPr>
          <w:spacing w:val="32"/>
          <w:sz w:val="24"/>
        </w:rPr>
        <w:t xml:space="preserve"> </w:t>
      </w:r>
      <w:r>
        <w:rPr>
          <w:sz w:val="24"/>
        </w:rPr>
        <w:t>regroupait,</w:t>
      </w:r>
      <w:r>
        <w:rPr>
          <w:spacing w:val="33"/>
          <w:sz w:val="24"/>
        </w:rPr>
        <w:t xml:space="preserve"> </w:t>
      </w:r>
      <w:r>
        <w:rPr>
          <w:sz w:val="24"/>
        </w:rPr>
        <w:t>au</w:t>
      </w:r>
      <w:r>
        <w:rPr>
          <w:spacing w:val="31"/>
          <w:sz w:val="24"/>
        </w:rPr>
        <w:t xml:space="preserve"> </w:t>
      </w:r>
      <w:r>
        <w:rPr>
          <w:sz w:val="24"/>
        </w:rPr>
        <w:t>moment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sa</w:t>
      </w:r>
      <w:r>
        <w:rPr>
          <w:spacing w:val="30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1964,</w:t>
      </w:r>
      <w:r>
        <w:rPr>
          <w:spacing w:val="-57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95%</w:t>
      </w:r>
      <w:r>
        <w:rPr>
          <w:spacing w:val="-1"/>
          <w:sz w:val="24"/>
        </w:rPr>
        <w:t xml:space="preserve"> </w:t>
      </w:r>
      <w:r>
        <w:rPr>
          <w:sz w:val="24"/>
        </w:rPr>
        <w:t>du sol sénégalais ;</w:t>
      </w:r>
    </w:p>
    <w:p w14:paraId="27FF7923" w14:textId="77777777" w:rsidR="00447B79" w:rsidRDefault="00447B79">
      <w:pPr>
        <w:pStyle w:val="Corpsdetexte"/>
        <w:spacing w:before="4"/>
      </w:pPr>
    </w:p>
    <w:p w14:paraId="0ED6F222" w14:textId="77777777" w:rsidR="00447B79" w:rsidRDefault="006F7D9C" w:rsidP="006F7D9C">
      <w:pPr>
        <w:pStyle w:val="Paragraphedeliste"/>
        <w:numPr>
          <w:ilvl w:val="0"/>
          <w:numId w:val="1"/>
        </w:numPr>
        <w:tabs>
          <w:tab w:val="left" w:pos="1001"/>
        </w:tabs>
        <w:spacing w:before="1" w:line="237" w:lineRule="auto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terres du domaine de l’Etat régies par la loi n°76-66 du 2 juillet 1976. Le domaine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subdivise</w:t>
      </w:r>
      <w:r>
        <w:rPr>
          <w:spacing w:val="-1"/>
          <w:sz w:val="24"/>
        </w:rPr>
        <w:t xml:space="preserve"> </w:t>
      </w:r>
      <w:r>
        <w:rPr>
          <w:sz w:val="24"/>
        </w:rPr>
        <w:t>en domaine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et domaine privé.</w:t>
      </w:r>
    </w:p>
    <w:p w14:paraId="6713C197" w14:textId="77777777" w:rsidR="00447B79" w:rsidRDefault="00447B79">
      <w:pPr>
        <w:spacing w:line="237" w:lineRule="auto"/>
        <w:jc w:val="both"/>
        <w:rPr>
          <w:sz w:val="24"/>
        </w:rPr>
        <w:sectPr w:rsidR="00447B79">
          <w:footerReference w:type="default" r:id="rId8"/>
          <w:pgSz w:w="11900" w:h="16840"/>
          <w:pgMar w:top="820" w:right="880" w:bottom="880" w:left="840" w:header="0" w:footer="509" w:gutter="0"/>
          <w:cols w:space="720"/>
        </w:sectPr>
      </w:pPr>
    </w:p>
    <w:p w14:paraId="7BF6A361" w14:textId="77777777" w:rsidR="00447B79" w:rsidRDefault="006F7D9C" w:rsidP="006F7D9C">
      <w:pPr>
        <w:pStyle w:val="Paragraphedeliste"/>
        <w:numPr>
          <w:ilvl w:val="0"/>
          <w:numId w:val="1"/>
        </w:numPr>
        <w:tabs>
          <w:tab w:val="left" w:pos="1001"/>
        </w:tabs>
        <w:spacing w:before="82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terres, objet de titres fonciers appartenant à des particuliers et</w:t>
      </w:r>
      <w:r>
        <w:rPr>
          <w:sz w:val="24"/>
        </w:rPr>
        <w:t xml:space="preserve"> constitués sur la base du</w:t>
      </w:r>
      <w:r>
        <w:rPr>
          <w:spacing w:val="1"/>
          <w:sz w:val="24"/>
        </w:rPr>
        <w:t xml:space="preserve"> </w:t>
      </w: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du 26 juillet 1932 aujourd’hui</w:t>
      </w:r>
      <w:r>
        <w:rPr>
          <w:spacing w:val="1"/>
          <w:sz w:val="24"/>
        </w:rPr>
        <w:t xml:space="preserve"> </w:t>
      </w:r>
      <w:r>
        <w:rPr>
          <w:sz w:val="24"/>
        </w:rPr>
        <w:t>remplacé</w:t>
      </w:r>
      <w:r>
        <w:rPr>
          <w:spacing w:val="1"/>
          <w:sz w:val="24"/>
        </w:rPr>
        <w:t xml:space="preserve"> </w:t>
      </w:r>
      <w:r>
        <w:rPr>
          <w:sz w:val="24"/>
        </w:rPr>
        <w:t>par la</w:t>
      </w:r>
      <w:r>
        <w:rPr>
          <w:spacing w:val="60"/>
          <w:sz w:val="24"/>
        </w:rPr>
        <w:t xml:space="preserve"> </w:t>
      </w:r>
      <w:r>
        <w:rPr>
          <w:sz w:val="24"/>
        </w:rPr>
        <w:t>loi n° 2011-07 du 30 mars 2011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régime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1"/>
          <w:sz w:val="24"/>
        </w:rPr>
        <w:t xml:space="preserve"> </w:t>
      </w:r>
      <w:r>
        <w:rPr>
          <w:sz w:val="24"/>
        </w:rPr>
        <w:t>foncière.</w:t>
      </w:r>
    </w:p>
    <w:p w14:paraId="3FE6C529" w14:textId="77777777" w:rsidR="00447B79" w:rsidRDefault="00447B79">
      <w:pPr>
        <w:pStyle w:val="Corpsdetexte"/>
        <w:spacing w:before="9"/>
        <w:rPr>
          <w:sz w:val="23"/>
        </w:rPr>
      </w:pPr>
    </w:p>
    <w:p w14:paraId="132698BA" w14:textId="77777777" w:rsidR="00447B79" w:rsidRDefault="006F7D9C">
      <w:pPr>
        <w:pStyle w:val="Corpsdetexte"/>
        <w:ind w:left="292" w:right="251"/>
        <w:jc w:val="both"/>
      </w:pPr>
      <w:r>
        <w:t>Toute œuvre consistant à rassembler en un document unique cette réglementation d’une grande</w:t>
      </w:r>
      <w:r>
        <w:rPr>
          <w:spacing w:val="1"/>
        </w:rPr>
        <w:t xml:space="preserve"> </w:t>
      </w:r>
      <w:r>
        <w:t xml:space="preserve">diversité </w:t>
      </w:r>
      <w:r>
        <w:t xml:space="preserve">est œuvre utile. C’est ce que </w:t>
      </w:r>
      <w:proofErr w:type="spellStart"/>
      <w:r>
        <w:t>Biram</w:t>
      </w:r>
      <w:proofErr w:type="spellEnd"/>
      <w:r>
        <w:t xml:space="preserve"> SENE et Adama TRAORE ont réussi après un travail</w:t>
      </w:r>
      <w:r>
        <w:rPr>
          <w:spacing w:val="1"/>
        </w:rPr>
        <w:t xml:space="preserve"> </w:t>
      </w:r>
      <w:r>
        <w:t>acharné de recherche. Ils ont réalisé un travail essentiel d’inventaire des textes, les plus importants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 foncière</w:t>
      </w:r>
      <w:r>
        <w:rPr>
          <w:spacing w:val="-2"/>
        </w:rPr>
        <w:t xml:space="preserve"> </w:t>
      </w:r>
      <w:r>
        <w:t>et domaniale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 connexes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l’urbanisme.</w:t>
      </w:r>
    </w:p>
    <w:p w14:paraId="4ABDE173" w14:textId="77777777" w:rsidR="00447B79" w:rsidRDefault="00447B79">
      <w:pPr>
        <w:pStyle w:val="Corpsdetexte"/>
      </w:pPr>
    </w:p>
    <w:p w14:paraId="717ED65C" w14:textId="77777777" w:rsidR="00447B79" w:rsidRDefault="006F7D9C">
      <w:pPr>
        <w:pStyle w:val="Corpsdetexte"/>
        <w:ind w:left="292" w:right="252"/>
        <w:jc w:val="both"/>
      </w:pPr>
      <w:r>
        <w:t>Cet outil, d’une grande teneur didactique, est mis à la disposition des enseignants et chercheurs, des</w:t>
      </w:r>
      <w:r>
        <w:rPr>
          <w:spacing w:val="1"/>
        </w:rPr>
        <w:t xml:space="preserve"> </w:t>
      </w:r>
      <w:r>
        <w:t>praticiens du droit mais également des étudiants et autres utilisateurs divers. Nul n’ignore que la</w:t>
      </w:r>
      <w:r>
        <w:rPr>
          <w:spacing w:val="1"/>
        </w:rPr>
        <w:t xml:space="preserve"> </w:t>
      </w:r>
      <w:r>
        <w:t>collecte des textes de quelque nature qu’ils soient se heurte au Sénégal à l’obstacle majeur tenant au</w:t>
      </w:r>
      <w:r>
        <w:rPr>
          <w:spacing w:val="-57"/>
        </w:rPr>
        <w:t xml:space="preserve"> </w:t>
      </w:r>
      <w:r>
        <w:t xml:space="preserve">fait qu’ils ne sont pas toujours publiés. S’ils sont </w:t>
      </w:r>
      <w:r>
        <w:t>publiés, ils ne sont pas toujours accessibles. La</w:t>
      </w:r>
      <w:r>
        <w:rPr>
          <w:spacing w:val="1"/>
        </w:rPr>
        <w:t xml:space="preserve"> </w:t>
      </w:r>
      <w:proofErr w:type="spellStart"/>
      <w:r>
        <w:t>tache</w:t>
      </w:r>
      <w:proofErr w:type="spellEnd"/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ardue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foncière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domaniale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textes</w:t>
      </w:r>
      <w:r>
        <w:rPr>
          <w:spacing w:val="1"/>
        </w:rPr>
        <w:t xml:space="preserve"> </w:t>
      </w:r>
      <w:r>
        <w:t>législatifs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réglementaires coexistent de fait avec des coutumes encore vivaces, tellement vivaces qu’elles</w:t>
      </w:r>
      <w:r>
        <w:rPr>
          <w:spacing w:val="1"/>
        </w:rPr>
        <w:t xml:space="preserve"> </w:t>
      </w:r>
      <w:r>
        <w:t>sèment le doute sur l</w:t>
      </w:r>
      <w:r>
        <w:t>’état du droit positif moderne. Un outil à disposition pour connaitre ce droit</w:t>
      </w:r>
      <w:r>
        <w:rPr>
          <w:spacing w:val="1"/>
        </w:rPr>
        <w:t xml:space="preserve"> </w:t>
      </w:r>
      <w:r>
        <w:t>positif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utilité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praticien du</w:t>
      </w:r>
      <w:r>
        <w:rPr>
          <w:spacing w:val="-1"/>
        </w:rPr>
        <w:t xml:space="preserve"> </w:t>
      </w:r>
      <w:r>
        <w:t>droit ou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chercheur.</w:t>
      </w:r>
    </w:p>
    <w:p w14:paraId="29F2829B" w14:textId="77777777" w:rsidR="00447B79" w:rsidRDefault="00447B79">
      <w:pPr>
        <w:pStyle w:val="Corpsdetexte"/>
      </w:pPr>
    </w:p>
    <w:p w14:paraId="57893F76" w14:textId="77777777" w:rsidR="00447B79" w:rsidRDefault="006F7D9C">
      <w:pPr>
        <w:pStyle w:val="Corpsdetexte"/>
        <w:ind w:left="292" w:right="254"/>
        <w:jc w:val="both"/>
      </w:pPr>
      <w:r>
        <w:t>Mais</w:t>
      </w:r>
      <w:r>
        <w:rPr>
          <w:spacing w:val="1"/>
        </w:rPr>
        <w:t xml:space="preserve"> </w:t>
      </w:r>
      <w:r>
        <w:t>puisque l’usage veut</w:t>
      </w:r>
      <w:r>
        <w:rPr>
          <w:spacing w:val="1"/>
        </w:rPr>
        <w:t xml:space="preserve"> </w:t>
      </w:r>
      <w:r>
        <w:t>« qu’un</w:t>
      </w:r>
      <w:r>
        <w:rPr>
          <w:spacing w:val="1"/>
        </w:rPr>
        <w:t xml:space="preserve"> </w:t>
      </w:r>
      <w:r>
        <w:t>préfacier</w:t>
      </w:r>
      <w:r>
        <w:rPr>
          <w:spacing w:val="1"/>
        </w:rPr>
        <w:t xml:space="preserve"> </w:t>
      </w:r>
      <w:r>
        <w:t>ne se borne pas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l’éloge »,</w:t>
      </w:r>
      <w:r>
        <w:rPr>
          <w:spacing w:val="1"/>
        </w:rPr>
        <w:t xml:space="preserve"> </w:t>
      </w:r>
      <w:r>
        <w:t>essayons</w:t>
      </w:r>
      <w:r>
        <w:rPr>
          <w:spacing w:val="60"/>
        </w:rPr>
        <w:t xml:space="preserve"> </w:t>
      </w:r>
      <w:r>
        <w:t>de ne pas</w:t>
      </w:r>
      <w:r>
        <w:rPr>
          <w:spacing w:val="1"/>
        </w:rPr>
        <w:t xml:space="preserve"> </w:t>
      </w:r>
      <w:r>
        <w:t>manquer</w:t>
      </w:r>
      <w:r>
        <w:rPr>
          <w:spacing w:val="-2"/>
        </w:rPr>
        <w:t xml:space="preserve"> </w:t>
      </w:r>
      <w:r>
        <w:t>à cet usage</w:t>
      </w:r>
      <w:r>
        <w:rPr>
          <w:spacing w:val="-2"/>
        </w:rPr>
        <w:t xml:space="preserve"> </w:t>
      </w:r>
      <w:r>
        <w:t>en soulignant,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pouvoir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critique, deux</w:t>
      </w:r>
      <w:r>
        <w:rPr>
          <w:spacing w:val="1"/>
        </w:rPr>
        <w:t xml:space="preserve"> </w:t>
      </w:r>
      <w:proofErr w:type="gramStart"/>
      <w:r>
        <w:t>regrets:</w:t>
      </w:r>
      <w:proofErr w:type="gramEnd"/>
    </w:p>
    <w:p w14:paraId="475472D3" w14:textId="77777777" w:rsidR="00447B79" w:rsidRDefault="00447B79">
      <w:pPr>
        <w:pStyle w:val="Corpsdetexte"/>
        <w:spacing w:before="2"/>
      </w:pPr>
    </w:p>
    <w:p w14:paraId="0DC5E425" w14:textId="77777777" w:rsidR="00447B79" w:rsidRDefault="006F7D9C" w:rsidP="006F7D9C">
      <w:pPr>
        <w:pStyle w:val="Paragraphedeliste"/>
        <w:numPr>
          <w:ilvl w:val="0"/>
          <w:numId w:val="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Qu’il</w:t>
      </w:r>
      <w:r>
        <w:rPr>
          <w:spacing w:val="-1"/>
          <w:sz w:val="24"/>
        </w:rPr>
        <w:t xml:space="preserve"> </w:t>
      </w:r>
      <w:r>
        <w:rPr>
          <w:sz w:val="24"/>
        </w:rPr>
        <w:t>n’y</w:t>
      </w:r>
      <w:r>
        <w:rPr>
          <w:spacing w:val="-4"/>
          <w:sz w:val="24"/>
        </w:rPr>
        <w:t xml:space="preserve"> </w:t>
      </w:r>
      <w:r>
        <w:rPr>
          <w:sz w:val="24"/>
        </w:rPr>
        <w:t>ait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eu</w:t>
      </w:r>
      <w:r>
        <w:rPr>
          <w:spacing w:val="-1"/>
          <w:sz w:val="24"/>
        </w:rPr>
        <w:t xml:space="preserve"> </w:t>
      </w:r>
      <w:r>
        <w:rPr>
          <w:sz w:val="24"/>
        </w:rPr>
        <w:t>de commentaires</w:t>
      </w:r>
      <w:r>
        <w:rPr>
          <w:spacing w:val="59"/>
          <w:sz w:val="24"/>
        </w:rPr>
        <w:t xml:space="preserve"> </w:t>
      </w:r>
      <w:r>
        <w:rPr>
          <w:sz w:val="24"/>
        </w:rPr>
        <w:t>même</w:t>
      </w:r>
      <w:r>
        <w:rPr>
          <w:spacing w:val="-2"/>
          <w:sz w:val="24"/>
        </w:rPr>
        <w:t xml:space="preserve"> </w:t>
      </w:r>
      <w:r>
        <w:rPr>
          <w:sz w:val="24"/>
        </w:rPr>
        <w:t>succincts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textes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CE0A99" w14:textId="77777777" w:rsidR="00447B79" w:rsidRDefault="00447B79">
      <w:pPr>
        <w:pStyle w:val="Corpsdetexte"/>
      </w:pPr>
    </w:p>
    <w:p w14:paraId="2A798166" w14:textId="77777777" w:rsidR="00447B79" w:rsidRDefault="006F7D9C" w:rsidP="006F7D9C">
      <w:pPr>
        <w:pStyle w:val="Paragraphedeliste"/>
        <w:numPr>
          <w:ilvl w:val="0"/>
          <w:numId w:val="1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Que les textes coloniaux applicables au Sénégal n’aient pas tous été i</w:t>
      </w:r>
      <w:r>
        <w:rPr>
          <w:sz w:val="24"/>
        </w:rPr>
        <w:t>nventoriés pour sinon</w:t>
      </w:r>
      <w:r>
        <w:rPr>
          <w:spacing w:val="1"/>
          <w:sz w:val="24"/>
        </w:rPr>
        <w:t xml:space="preserve"> </w:t>
      </w:r>
      <w:r>
        <w:rPr>
          <w:sz w:val="24"/>
        </w:rPr>
        <w:t>permettre de comprendre l’histoire de certains textes aujourd’hui en vigueur, au moins</w:t>
      </w:r>
      <w:r>
        <w:rPr>
          <w:spacing w:val="1"/>
          <w:sz w:val="24"/>
        </w:rPr>
        <w:t xml:space="preserve"> </w:t>
      </w:r>
      <w:r>
        <w:rPr>
          <w:sz w:val="24"/>
        </w:rPr>
        <w:t>satisfaire une certaine curiosité intellectuelle. En effet, il est important de retenir que la loi</w:t>
      </w:r>
      <w:r>
        <w:rPr>
          <w:spacing w:val="1"/>
          <w:sz w:val="24"/>
        </w:rPr>
        <w:t xml:space="preserve"> </w:t>
      </w:r>
      <w:r>
        <w:rPr>
          <w:sz w:val="24"/>
        </w:rPr>
        <w:t>2011-07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2011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venue</w:t>
      </w:r>
      <w:r>
        <w:rPr>
          <w:spacing w:val="1"/>
          <w:sz w:val="24"/>
        </w:rPr>
        <w:t xml:space="preserve"> </w:t>
      </w:r>
      <w:r>
        <w:rPr>
          <w:sz w:val="24"/>
        </w:rPr>
        <w:t>remplacer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26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1"/>
          <w:sz w:val="24"/>
        </w:rPr>
        <w:t xml:space="preserve"> </w:t>
      </w:r>
      <w:r>
        <w:rPr>
          <w:sz w:val="24"/>
        </w:rPr>
        <w:t>1932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réorganisation du régime de la propriété foncière en Afrique occidentale française (A.O.F)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qui a </w:t>
      </w:r>
      <w:proofErr w:type="spellStart"/>
      <w:r>
        <w:rPr>
          <w:sz w:val="24"/>
        </w:rPr>
        <w:t>lui même</w:t>
      </w:r>
      <w:proofErr w:type="spellEnd"/>
      <w:r>
        <w:rPr>
          <w:sz w:val="24"/>
        </w:rPr>
        <w:t xml:space="preserve"> abrogé et remplacé le décret du 24 juillet 1906 qui marque le véritable début</w:t>
      </w:r>
      <w:r>
        <w:rPr>
          <w:spacing w:val="1"/>
          <w:sz w:val="24"/>
        </w:rPr>
        <w:t xml:space="preserve"> </w:t>
      </w:r>
      <w:r>
        <w:rPr>
          <w:sz w:val="24"/>
        </w:rPr>
        <w:t>de l’immatriculation en A</w:t>
      </w:r>
      <w:r>
        <w:rPr>
          <w:sz w:val="24"/>
        </w:rPr>
        <w:t>.O.F.</w:t>
      </w:r>
      <w:r>
        <w:rPr>
          <w:spacing w:val="1"/>
          <w:sz w:val="24"/>
        </w:rPr>
        <w:t xml:space="preserve"> </w:t>
      </w:r>
      <w:r>
        <w:rPr>
          <w:sz w:val="24"/>
        </w:rPr>
        <w:t>Il est important de retenir que la loi n°2011-06 du 30 mars</w:t>
      </w:r>
      <w:r>
        <w:rPr>
          <w:spacing w:val="1"/>
          <w:sz w:val="24"/>
        </w:rPr>
        <w:t xml:space="preserve"> </w:t>
      </w:r>
      <w:r>
        <w:rPr>
          <w:sz w:val="24"/>
        </w:rPr>
        <w:t>2011 régularise une situation juridique confuse née à l’époque coloniale. En effet, le droit</w:t>
      </w:r>
      <w:r>
        <w:rPr>
          <w:spacing w:val="1"/>
          <w:sz w:val="24"/>
        </w:rPr>
        <w:t xml:space="preserve"> </w:t>
      </w:r>
      <w:r>
        <w:rPr>
          <w:sz w:val="24"/>
        </w:rPr>
        <w:t>d'habiter une parcelle du domaine privé urbain était assujetti à la délivrance</w:t>
      </w:r>
      <w:r>
        <w:rPr>
          <w:spacing w:val="1"/>
          <w:sz w:val="24"/>
        </w:rPr>
        <w:t xml:space="preserve"> </w:t>
      </w:r>
      <w:r>
        <w:rPr>
          <w:sz w:val="24"/>
        </w:rPr>
        <w:t>par l’autorité</w:t>
      </w:r>
      <w:r>
        <w:rPr>
          <w:spacing w:val="1"/>
          <w:sz w:val="24"/>
        </w:rPr>
        <w:t xml:space="preserve"> </w:t>
      </w:r>
      <w:r>
        <w:rPr>
          <w:sz w:val="24"/>
        </w:rPr>
        <w:t>col</w:t>
      </w:r>
      <w:r>
        <w:rPr>
          <w:sz w:val="24"/>
        </w:rPr>
        <w:t>oniale, de titres d’occupation. Il pouvait s’agir d’actes administratifs certes précaires et</w:t>
      </w:r>
      <w:r>
        <w:rPr>
          <w:spacing w:val="1"/>
          <w:sz w:val="24"/>
        </w:rPr>
        <w:t xml:space="preserve"> </w:t>
      </w:r>
      <w:r>
        <w:rPr>
          <w:sz w:val="24"/>
        </w:rPr>
        <w:t>révocables mais qui pouvaient permettre d'accéder à la propriété suite à la mise en valeur du</w:t>
      </w:r>
      <w:r>
        <w:rPr>
          <w:spacing w:val="1"/>
          <w:sz w:val="24"/>
        </w:rPr>
        <w:t xml:space="preserve"> </w:t>
      </w:r>
      <w:r>
        <w:rPr>
          <w:sz w:val="24"/>
        </w:rPr>
        <w:t>terrain. Ces titres ont été délivrés dans des zones comme la Médina o</w:t>
      </w:r>
      <w:r>
        <w:rPr>
          <w:sz w:val="24"/>
        </w:rPr>
        <w:t>u Dakar Plateau sur les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terrains dits de « </w:t>
      </w:r>
      <w:proofErr w:type="spellStart"/>
      <w:r>
        <w:rPr>
          <w:sz w:val="24"/>
        </w:rPr>
        <w:t>Tound</w:t>
      </w:r>
      <w:proofErr w:type="spellEnd"/>
      <w:r>
        <w:rPr>
          <w:sz w:val="24"/>
        </w:rPr>
        <w:t xml:space="preserve"> ». Il pouvait également s’agir de titres exclusifs de toute 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en pleine propriété, n’offrant donc aucune sécurité juridique qui étaient délivrés dans des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comme</w:t>
      </w:r>
      <w:r>
        <w:rPr>
          <w:spacing w:val="59"/>
          <w:sz w:val="24"/>
        </w:rPr>
        <w:t xml:space="preserve"> </w:t>
      </w:r>
      <w:r>
        <w:rPr>
          <w:sz w:val="24"/>
        </w:rPr>
        <w:t>Pikine…</w:t>
      </w:r>
    </w:p>
    <w:p w14:paraId="1265FC9A" w14:textId="77777777" w:rsidR="00447B79" w:rsidRDefault="00447B79">
      <w:pPr>
        <w:pStyle w:val="Corpsdetexte"/>
        <w:spacing w:before="9"/>
        <w:rPr>
          <w:sz w:val="23"/>
        </w:rPr>
      </w:pPr>
    </w:p>
    <w:p w14:paraId="6D984B8D" w14:textId="77777777" w:rsidR="00447B79" w:rsidRDefault="006F7D9C">
      <w:pPr>
        <w:pStyle w:val="Corpsdetexte"/>
        <w:ind w:left="292" w:right="254"/>
        <w:jc w:val="both"/>
      </w:pPr>
      <w:r>
        <w:t>Ce régime a prévalu au</w:t>
      </w:r>
      <w:r>
        <w:t xml:space="preserve"> Sénégal jusqu'à l'avènement de la loi n° 76-66 du 02 juillet 1976 portant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l'Etat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limitativement</w:t>
      </w:r>
      <w:r>
        <w:rPr>
          <w:spacing w:val="1"/>
        </w:rPr>
        <w:t xml:space="preserve"> </w:t>
      </w:r>
      <w:r>
        <w:t>énuméré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 xml:space="preserve">dépendances du domaine privé immobilier non affecté consistant en terrains à mettre en valeur. </w:t>
      </w:r>
      <w:r>
        <w:t>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d'autorisations</w:t>
      </w:r>
      <w:r>
        <w:rPr>
          <w:spacing w:val="1"/>
        </w:rPr>
        <w:t xml:space="preserve"> </w:t>
      </w:r>
      <w:r>
        <w:t>d'occuper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précaire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révocable,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baux</w:t>
      </w:r>
      <w:r>
        <w:rPr>
          <w:spacing w:val="1"/>
        </w:rPr>
        <w:t xml:space="preserve"> </w:t>
      </w:r>
      <w:r>
        <w:t>ordinaires,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baux</w:t>
      </w:r>
      <w:r>
        <w:rPr>
          <w:spacing w:val="1"/>
        </w:rPr>
        <w:t xml:space="preserve"> </w:t>
      </w:r>
      <w:r>
        <w:t>emphytéotiques,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concessions du droit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superficie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ventes.</w:t>
      </w:r>
    </w:p>
    <w:p w14:paraId="0697557D" w14:textId="77777777" w:rsidR="00447B79" w:rsidRDefault="00447B79">
      <w:pPr>
        <w:pStyle w:val="Corpsdetexte"/>
      </w:pPr>
    </w:p>
    <w:p w14:paraId="76B75A39" w14:textId="77777777" w:rsidR="00447B79" w:rsidRDefault="006F7D9C">
      <w:pPr>
        <w:pStyle w:val="Corpsdetexte"/>
        <w:ind w:left="292" w:right="252"/>
        <w:jc w:val="both"/>
      </w:pPr>
      <w:r>
        <w:t>Les titres d’occupation, étant limitativement énumérés, un délai de deux ans à compter de la date</w:t>
      </w:r>
      <w:r>
        <w:rPr>
          <w:spacing w:val="1"/>
        </w:rPr>
        <w:t xml:space="preserve"> </w:t>
      </w:r>
      <w:r>
        <w:t>d’entrée en vigueur de la loi n°76-66 a été accordé aux bénéficiaires des titres d'occupation qualifiés</w:t>
      </w:r>
      <w:r>
        <w:rPr>
          <w:spacing w:val="-57"/>
        </w:rPr>
        <w:t xml:space="preserve"> </w:t>
      </w:r>
      <w:r>
        <w:t>de « permis d'habiter » et autres, pour permettre à le</w:t>
      </w:r>
      <w:r>
        <w:t>urs titulaires d'obtenir l'attribution définitive</w:t>
      </w:r>
      <w:r>
        <w:rPr>
          <w:spacing w:val="1"/>
        </w:rPr>
        <w:t xml:space="preserve"> </w:t>
      </w:r>
      <w:r>
        <w:t>après une mise en valeur suffisante. Voir les articles 59 et 60 du code du domaine de l’Etat et les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38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suivants du</w:t>
      </w:r>
      <w:r>
        <w:rPr>
          <w:spacing w:val="1"/>
        </w:rPr>
        <w:t xml:space="preserve"> </w:t>
      </w:r>
      <w:r>
        <w:rPr>
          <w:i/>
        </w:rPr>
        <w:t>décret</w:t>
      </w:r>
      <w:r>
        <w:rPr>
          <w:i/>
          <w:spacing w:val="-1"/>
        </w:rPr>
        <w:t xml:space="preserve"> </w:t>
      </w:r>
      <w:r>
        <w:rPr>
          <w:i/>
        </w:rPr>
        <w:t>n°81-557 du</w:t>
      </w:r>
      <w:r>
        <w:rPr>
          <w:i/>
          <w:spacing w:val="-1"/>
        </w:rPr>
        <w:t xml:space="preserve"> </w:t>
      </w:r>
      <w:r>
        <w:rPr>
          <w:i/>
        </w:rPr>
        <w:t>21</w:t>
      </w:r>
      <w:r>
        <w:rPr>
          <w:i/>
          <w:spacing w:val="-1"/>
        </w:rPr>
        <w:t xml:space="preserve"> </w:t>
      </w:r>
      <w:r>
        <w:rPr>
          <w:i/>
        </w:rPr>
        <w:t>mai 1981</w:t>
      </w:r>
      <w:r>
        <w:rPr>
          <w:i/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1976.</w:t>
      </w:r>
    </w:p>
    <w:p w14:paraId="730D3749" w14:textId="77777777" w:rsidR="00447B79" w:rsidRDefault="00447B79">
      <w:pPr>
        <w:pStyle w:val="Corpsdetexte"/>
      </w:pPr>
    </w:p>
    <w:p w14:paraId="5D0EF204" w14:textId="77777777" w:rsidR="00447B79" w:rsidRDefault="006F7D9C">
      <w:pPr>
        <w:pStyle w:val="Corpsdetexte"/>
        <w:spacing w:before="1"/>
        <w:ind w:left="292" w:right="251"/>
        <w:jc w:val="both"/>
      </w:pPr>
      <w:r>
        <w:t>Beaucoup</w:t>
      </w:r>
      <w:r>
        <w:t xml:space="preserve"> de bénéficiaires n’ont pas respecté ce délai. Par conséquent, les titres non transformés à</w:t>
      </w:r>
      <w:r>
        <w:rPr>
          <w:spacing w:val="1"/>
        </w:rPr>
        <w:t xml:space="preserve"> </w:t>
      </w:r>
      <w:r>
        <w:t>l’expiration</w:t>
      </w:r>
      <w:r>
        <w:rPr>
          <w:spacing w:val="46"/>
        </w:rPr>
        <w:t xml:space="preserve"> </w:t>
      </w:r>
      <w:r>
        <w:t>du</w:t>
      </w:r>
      <w:r>
        <w:rPr>
          <w:spacing w:val="46"/>
        </w:rPr>
        <w:t xml:space="preserve"> </w:t>
      </w:r>
      <w:r>
        <w:t>délai,</w:t>
      </w:r>
      <w:r>
        <w:rPr>
          <w:spacing w:val="46"/>
        </w:rPr>
        <w:t xml:space="preserve"> </w:t>
      </w:r>
      <w:r>
        <w:t>étaient</w:t>
      </w:r>
      <w:r>
        <w:rPr>
          <w:spacing w:val="47"/>
        </w:rPr>
        <w:t xml:space="preserve"> </w:t>
      </w:r>
      <w:r>
        <w:t>juridiquement</w:t>
      </w:r>
      <w:r>
        <w:rPr>
          <w:spacing w:val="46"/>
        </w:rPr>
        <w:t xml:space="preserve"> </w:t>
      </w:r>
      <w:r>
        <w:t>devenus</w:t>
      </w:r>
      <w:r>
        <w:rPr>
          <w:spacing w:val="46"/>
        </w:rPr>
        <w:t xml:space="preserve"> </w:t>
      </w:r>
      <w:r>
        <w:t>caducs</w:t>
      </w:r>
      <w:r>
        <w:rPr>
          <w:spacing w:val="47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leurs</w:t>
      </w:r>
      <w:r>
        <w:rPr>
          <w:spacing w:val="46"/>
        </w:rPr>
        <w:t xml:space="preserve"> </w:t>
      </w:r>
      <w:r>
        <w:t>bénéficiaires</w:t>
      </w:r>
      <w:r>
        <w:rPr>
          <w:spacing w:val="47"/>
        </w:rPr>
        <w:t xml:space="preserve"> </w:t>
      </w:r>
      <w:r>
        <w:t>devenaient</w:t>
      </w:r>
      <w:r>
        <w:rPr>
          <w:spacing w:val="46"/>
        </w:rPr>
        <w:t xml:space="preserve"> </w:t>
      </w:r>
      <w:r>
        <w:t>de</w:t>
      </w:r>
    </w:p>
    <w:p w14:paraId="21675F18" w14:textId="77777777" w:rsidR="00447B79" w:rsidRDefault="00447B79">
      <w:pPr>
        <w:jc w:val="both"/>
        <w:sectPr w:rsidR="00447B79">
          <w:pgSz w:w="11900" w:h="16840"/>
          <w:pgMar w:top="1040" w:right="880" w:bottom="880" w:left="840" w:header="0" w:footer="509" w:gutter="0"/>
          <w:cols w:space="720"/>
        </w:sectPr>
      </w:pPr>
    </w:p>
    <w:p w14:paraId="15B7D4D1" w14:textId="77777777" w:rsidR="00447B79" w:rsidRDefault="006F7D9C">
      <w:pPr>
        <w:pStyle w:val="Corpsdetexte"/>
        <w:spacing w:before="64"/>
        <w:ind w:left="292" w:right="251"/>
        <w:jc w:val="both"/>
      </w:pPr>
      <w:proofErr w:type="gramStart"/>
      <w:r>
        <w:lastRenderedPageBreak/>
        <w:t>véritables</w:t>
      </w:r>
      <w:proofErr w:type="gramEnd"/>
      <w:r>
        <w:t xml:space="preserve"> occupants sans titres. C’est cette situation confuse née de l’apathie des autorités étatiques</w:t>
      </w:r>
      <w:r>
        <w:rPr>
          <w:spacing w:val="1"/>
        </w:rPr>
        <w:t xml:space="preserve"> </w:t>
      </w:r>
      <w:r>
        <w:t>qui n’ont tiré aucune conséquence de cette caducité (en</w:t>
      </w:r>
      <w:r>
        <w:rPr>
          <w:spacing w:val="1"/>
        </w:rPr>
        <w:t xml:space="preserve"> </w:t>
      </w:r>
      <w:r>
        <w:t>réclamant par exemple des redevances pour</w:t>
      </w:r>
      <w:r>
        <w:rPr>
          <w:spacing w:val="-57"/>
        </w:rPr>
        <w:t xml:space="preserve"> </w:t>
      </w:r>
      <w:r>
        <w:t>occupation de ce qui est devenu domaine de l'Etat à d</w:t>
      </w:r>
      <w:r>
        <w:t>éfaut de mettre en œuvre les dispositions de</w:t>
      </w:r>
      <w:r>
        <w:rPr>
          <w:spacing w:val="1"/>
        </w:rPr>
        <w:t xml:space="preserve"> </w:t>
      </w:r>
      <w:r>
        <w:t>l’article 423 du code pénal) que la loi n°2011-06 cherche à régulariser. Elle porte transformation</w:t>
      </w:r>
      <w:r>
        <w:rPr>
          <w:spacing w:val="1"/>
        </w:rPr>
        <w:t xml:space="preserve"> </w:t>
      </w:r>
      <w:r>
        <w:t>gratuite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formalités</w:t>
      </w:r>
      <w:r>
        <w:rPr>
          <w:spacing w:val="-2"/>
        </w:rPr>
        <w:t xml:space="preserve"> </w:t>
      </w:r>
      <w:r>
        <w:t>préalables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titres</w:t>
      </w:r>
      <w:r>
        <w:rPr>
          <w:spacing w:val="-2"/>
        </w:rPr>
        <w:t xml:space="preserve"> </w:t>
      </w:r>
      <w:r>
        <w:t>fonciers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d’habiter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similaires.</w:t>
      </w:r>
    </w:p>
    <w:p w14:paraId="486C1923" w14:textId="77777777" w:rsidR="00447B79" w:rsidRDefault="00447B79">
      <w:pPr>
        <w:pStyle w:val="Corpsdetexte"/>
      </w:pPr>
    </w:p>
    <w:p w14:paraId="760D2AEE" w14:textId="77777777" w:rsidR="00447B79" w:rsidRDefault="006F7D9C">
      <w:pPr>
        <w:pStyle w:val="Corpsdetexte"/>
        <w:ind w:left="292" w:right="251"/>
        <w:jc w:val="both"/>
      </w:pPr>
      <w:r>
        <w:t>Ces quelques regrets n’enlèvent en rien la qualité du document qui, comme dit plus haut, sera d’une</w:t>
      </w:r>
      <w:r>
        <w:rPr>
          <w:spacing w:val="-57"/>
        </w:rPr>
        <w:t xml:space="preserve"> </w:t>
      </w:r>
      <w:r>
        <w:t>grande utilité pour les utilisateurs divers. Je n’ai</w:t>
      </w:r>
      <w:r>
        <w:rPr>
          <w:spacing w:val="1"/>
        </w:rPr>
        <w:t xml:space="preserve"> </w:t>
      </w:r>
      <w:r>
        <w:t>aucun doute sur son succès</w:t>
      </w:r>
      <w:r>
        <w:rPr>
          <w:spacing w:val="1"/>
        </w:rPr>
        <w:t xml:space="preserve"> </w:t>
      </w:r>
      <w:r>
        <w:t>futur.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vient,</w:t>
      </w:r>
      <w:r>
        <w:rPr>
          <w:spacing w:val="1"/>
        </w:rPr>
        <w:t xml:space="preserve"> </w:t>
      </w:r>
      <w:r>
        <w:t>assurément, combler un vide. Prions pour que ce succès futu</w:t>
      </w:r>
      <w:r>
        <w:t>r fasse naître un autre désir chez les</w:t>
      </w:r>
      <w:r>
        <w:rPr>
          <w:spacing w:val="1"/>
        </w:rPr>
        <w:t xml:space="preserve"> </w:t>
      </w:r>
      <w:r>
        <w:t>auteurs,</w:t>
      </w:r>
      <w:r>
        <w:rPr>
          <w:spacing w:val="12"/>
        </w:rPr>
        <w:t xml:space="preserve"> </w:t>
      </w:r>
      <w:r>
        <w:t>celui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poursuivre</w:t>
      </w:r>
      <w:r>
        <w:rPr>
          <w:spacing w:val="12"/>
        </w:rPr>
        <w:t xml:space="preserve"> </w:t>
      </w:r>
      <w:r>
        <w:t>dans</w:t>
      </w:r>
      <w:r>
        <w:rPr>
          <w:spacing w:val="12"/>
        </w:rPr>
        <w:t xml:space="preserve"> </w:t>
      </w:r>
      <w:r>
        <w:t>d’autres</w:t>
      </w:r>
      <w:r>
        <w:rPr>
          <w:spacing w:val="13"/>
        </w:rPr>
        <w:t xml:space="preserve"> </w:t>
      </w:r>
      <w:r>
        <w:t>domaines</w:t>
      </w:r>
      <w:r>
        <w:rPr>
          <w:spacing w:val="14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Droit</w:t>
      </w:r>
      <w:r>
        <w:rPr>
          <w:spacing w:val="13"/>
        </w:rPr>
        <w:t xml:space="preserve"> </w:t>
      </w:r>
      <w:r>
        <w:t>et,</w:t>
      </w:r>
      <w:r>
        <w:rPr>
          <w:spacing w:val="13"/>
        </w:rPr>
        <w:t xml:space="preserve"> </w:t>
      </w:r>
      <w:r>
        <w:t>chez</w:t>
      </w:r>
      <w:r>
        <w:rPr>
          <w:spacing w:val="14"/>
        </w:rPr>
        <w:t xml:space="preserve"> </w:t>
      </w:r>
      <w:r>
        <w:t>d’autres,</w:t>
      </w:r>
      <w:r>
        <w:rPr>
          <w:spacing w:val="12"/>
        </w:rPr>
        <w:t xml:space="preserve"> </w:t>
      </w:r>
      <w:r>
        <w:t>celui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rassembler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les arrêts et</w:t>
      </w:r>
      <w:r>
        <w:rPr>
          <w:spacing w:val="-1"/>
        </w:rPr>
        <w:t xml:space="preserve"> </w:t>
      </w:r>
      <w:r>
        <w:t>jugements intervenus</w:t>
      </w:r>
      <w:r>
        <w:rPr>
          <w:spacing w:val="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foncière.</w:t>
      </w:r>
    </w:p>
    <w:p w14:paraId="7234D6C8" w14:textId="77777777" w:rsidR="00447B79" w:rsidRDefault="00447B79">
      <w:pPr>
        <w:pStyle w:val="Corpsdetexte"/>
        <w:spacing w:before="9"/>
        <w:rPr>
          <w:sz w:val="23"/>
        </w:rPr>
      </w:pPr>
    </w:p>
    <w:p w14:paraId="7020AD44" w14:textId="77777777" w:rsidR="00447B79" w:rsidRDefault="006F7D9C">
      <w:pPr>
        <w:pStyle w:val="Corpsdetexte"/>
        <w:ind w:left="4391" w:right="246"/>
        <w:jc w:val="center"/>
      </w:pPr>
      <w:r>
        <w:t>Abdoulaye</w:t>
      </w:r>
      <w:r>
        <w:rPr>
          <w:spacing w:val="-3"/>
        </w:rPr>
        <w:t xml:space="preserve"> </w:t>
      </w:r>
      <w:r>
        <w:t>DIEYE</w:t>
      </w:r>
    </w:p>
    <w:p w14:paraId="298B2F9F" w14:textId="0CCAB4A6" w:rsidR="00447B79" w:rsidRDefault="006F7D9C" w:rsidP="00392DCC">
      <w:pPr>
        <w:pStyle w:val="Corpsdetexte"/>
        <w:ind w:left="5059" w:right="912" w:firstLine="1"/>
        <w:jc w:val="center"/>
      </w:pPr>
      <w:r>
        <w:t>Enseignant au Département de droit public</w:t>
      </w:r>
      <w:r>
        <w:rPr>
          <w:spacing w:val="1"/>
        </w:rPr>
        <w:t xml:space="preserve"> </w:t>
      </w:r>
      <w:r>
        <w:t>Faculté des sciences juridiques et politiques</w:t>
      </w:r>
      <w:r>
        <w:rPr>
          <w:spacing w:val="-57"/>
        </w:rPr>
        <w:t xml:space="preserve"> </w:t>
      </w:r>
      <w:r>
        <w:t>Université</w:t>
      </w:r>
      <w:r>
        <w:rPr>
          <w:spacing w:val="-2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Anta DIOP de</w:t>
      </w:r>
      <w:r>
        <w:rPr>
          <w:spacing w:val="-2"/>
        </w:rPr>
        <w:t xml:space="preserve"> </w:t>
      </w:r>
      <w:r>
        <w:t>Dakar</w:t>
      </w:r>
      <w:bookmarkStart w:id="1" w:name="_TOC_250301"/>
      <w:bookmarkStart w:id="2" w:name="_TOC_250300"/>
      <w:bookmarkEnd w:id="1"/>
      <w:bookmarkEnd w:id="2"/>
    </w:p>
    <w:sectPr w:rsidR="00447B79" w:rsidSect="00392DCC">
      <w:pgSz w:w="11900" w:h="16840"/>
      <w:pgMar w:top="82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55C8" w14:textId="77777777" w:rsidR="006F7D9C" w:rsidRDefault="006F7D9C">
      <w:r>
        <w:separator/>
      </w:r>
    </w:p>
  </w:endnote>
  <w:endnote w:type="continuationSeparator" w:id="0">
    <w:p w14:paraId="6301EE42" w14:textId="77777777" w:rsidR="006F7D9C" w:rsidRDefault="006F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B848" w14:textId="6D7C1CB5" w:rsidR="00447B79" w:rsidRDefault="00490204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68124139" wp14:editId="684656C8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39C79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1F5D1913" wp14:editId="63F9EBA1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7C0EC" w14:textId="77777777" w:rsidR="00447B79" w:rsidRDefault="006F7D9C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D19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197C0EC" w14:textId="77777777" w:rsidR="00447B79" w:rsidRDefault="006F7D9C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065D" w14:textId="77777777" w:rsidR="006F7D9C" w:rsidRDefault="006F7D9C">
      <w:r>
        <w:separator/>
      </w:r>
    </w:p>
  </w:footnote>
  <w:footnote w:type="continuationSeparator" w:id="0">
    <w:p w14:paraId="4A6C0436" w14:textId="77777777" w:rsidR="006F7D9C" w:rsidRDefault="006F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45A"/>
    <w:multiLevelType w:val="hybridMultilevel"/>
    <w:tmpl w:val="259C27F8"/>
    <w:lvl w:ilvl="0" w:tplc="AEBAAA8C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818BC7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75CEC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A5A122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E125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1BAB5D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15484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F62BE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04CB17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33DF4260"/>
    <w:multiLevelType w:val="hybridMultilevel"/>
    <w:tmpl w:val="3E686BB4"/>
    <w:lvl w:ilvl="0" w:tplc="66A4182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6D4451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EA2E854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DEA2868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A2187C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A40E246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B9CAE8E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8C0046A2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21A6632E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9"/>
    <w:rsid w:val="00392DCC"/>
    <w:rsid w:val="00447B79"/>
    <w:rsid w:val="00490204"/>
    <w:rsid w:val="006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F445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2C6F-7AB8-4146-893F-454CB68D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1280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2024-03-18T10:58:00Z</dcterms:created>
  <dcterms:modified xsi:type="dcterms:W3CDTF">2024-03-18T11:04:00Z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