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47.png" ContentType="image/png"/>
  <Override PartName="/word/media/rId51.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671e442c6b7d6316ecac7a288183b9c6065ff52"/>
    <w:p>
      <w:pPr>
        <w:pStyle w:val="Heading1"/>
      </w:pPr>
      <w:r>
        <w:t xml:space="preserve">Graph-Based Detection of Cooperative Dark Fleets</w:t>
      </w:r>
    </w:p>
    <w:bookmarkStart w:id="9" w:name="Xea7c3586530f81c5e1caeb91be4f5c6ff1ff1f2"/>
    <w:p>
      <w:pPr>
        <w:pStyle w:val="Heading2"/>
      </w:pPr>
      <w:r>
        <w:t xml:space="preserve">Full Presentation: From Data to Results to Interpretation</w:t>
      </w:r>
    </w:p>
    <w:p>
      <w:r>
        <w:pict>
          <v:rect style="width:0;height:1.5pt" o:hralign="center" o:hrstd="t" o:hr="t"/>
        </w:pict>
      </w:r>
    </w:p>
    <w:bookmarkEnd w:id="9"/>
    <w:bookmarkEnd w:id="10"/>
    <w:bookmarkStart w:id="14" w:name="introduction-goal"/>
    <w:p>
      <w:pPr>
        <w:pStyle w:val="Heading1"/>
      </w:pPr>
      <w:r>
        <w:t xml:space="preserve">1. Introduction &amp; Goal</w:t>
      </w:r>
    </w:p>
    <w:bookmarkStart w:id="11" w:name="motivation"/>
    <w:p>
      <w:pPr>
        <w:pStyle w:val="Heading2"/>
      </w:pPr>
      <w:r>
        <w:t xml:space="preserve">1.1 Motivation</w:t>
      </w:r>
    </w:p>
    <w:p>
      <w:pPr>
        <w:pStyle w:val="FirstParagraph"/>
      </w:pPr>
      <w:r>
        <w:t xml:space="preserve">Illegal, unreported, and unregulated (IUU) fishing often involves vessels that coordinate at sea: transshipment (transferring catch between vessels), shared fishing grounds, or rendezvous with</w:t>
      </w:r>
      <w:r>
        <w:t xml:space="preserve"> </w:t>
      </w:r>
      <w:r>
        <w:t xml:space="preserve">“dark”</w:t>
      </w:r>
      <w:r>
        <w:t xml:space="preserve"> </w:t>
      </w:r>
      <w:r>
        <w:t xml:space="preserve">vessels that turn off their AIS. Detecting these patterns from publicly available AIS data could help enforcement and research.</w:t>
      </w:r>
    </w:p>
    <w:bookmarkEnd w:id="11"/>
    <w:bookmarkStart w:id="12" w:name="goal"/>
    <w:p>
      <w:pPr>
        <w:pStyle w:val="Heading2"/>
      </w:pPr>
      <w:r>
        <w:t xml:space="preserve">1.2 Goal</w:t>
      </w:r>
    </w:p>
    <w:p>
      <w:pPr>
        <w:pStyle w:val="FirstParagraph"/>
      </w:pPr>
      <w:r>
        <w:t xml:space="preserve">Find pairs of vessels that may be coordinating or meeting at sea (e.g., transshipment, shared fishing grounds), including when some activity is hidden (e.g., AIS turned off).</w:t>
      </w:r>
      <w:r>
        <w:t xml:space="preserve"> </w:t>
      </w:r>
      <w:r>
        <w:rPr>
          <w:b/>
          <w:bCs/>
        </w:rPr>
        <w:t xml:space="preserve">We do not have labels for</w:t>
      </w:r>
      <w:r>
        <w:rPr>
          <w:b/>
          <w:bCs/>
        </w:rPr>
        <w:t xml:space="preserve"> </w:t>
      </w:r>
      <w:r>
        <w:rPr>
          <w:b/>
          <w:bCs/>
        </w:rPr>
        <w:t xml:space="preserve">“cooperative”</w:t>
      </w:r>
      <w:r>
        <w:rPr>
          <w:b/>
          <w:bCs/>
        </w:rPr>
        <w:t xml:space="preserve"> </w:t>
      </w:r>
      <w:r>
        <w:rPr>
          <w:b/>
          <w:bCs/>
        </w:rPr>
        <w:t xml:space="preserve">pairs</w:t>
      </w:r>
      <w:r>
        <w:t xml:space="preserve">—this is unsupervised. We use a link-prediction approach: the model learns which vessel pairs tend to co-occur, then we validate high-scoring candidates against raw proximity data. We</w:t>
      </w:r>
      <w:r>
        <w:t xml:space="preserve"> </w:t>
      </w:r>
      <w:r>
        <w:rPr>
          <w:b/>
          <w:bCs/>
        </w:rPr>
        <w:t xml:space="preserve">surface candidates</w:t>
      </w:r>
      <w:r>
        <w:t xml:space="preserve"> </w:t>
      </w:r>
      <w:r>
        <w:t xml:space="preserve">with proximity evidence; we do not claim to</w:t>
      </w:r>
      <w:r>
        <w:t xml:space="preserve"> </w:t>
      </w:r>
      <w:r>
        <w:t xml:space="preserve">“detect”</w:t>
      </w:r>
      <w:r>
        <w:t xml:space="preserve"> </w:t>
      </w:r>
      <w:r>
        <w:t xml:space="preserve">or</w:t>
      </w:r>
      <w:r>
        <w:t xml:space="preserve"> </w:t>
      </w:r>
      <w:r>
        <w:t xml:space="preserve">“prove”</w:t>
      </w:r>
      <w:r>
        <w:t xml:space="preserve"> </w:t>
      </w:r>
      <w:r>
        <w:t xml:space="preserve">cooperation.</w:t>
      </w:r>
    </w:p>
    <w:bookmarkEnd w:id="12"/>
    <w:bookmarkStart w:id="13" w:name="approach-high-level"/>
    <w:p>
      <w:pPr>
        <w:pStyle w:val="Heading2"/>
      </w:pPr>
      <w:r>
        <w:t xml:space="preserve">1.3 Approach (High Level)</w:t>
      </w:r>
    </w:p>
    <w:p>
      <w:pPr>
        <w:pStyle w:val="Compact"/>
        <w:numPr>
          <w:ilvl w:val="0"/>
          <w:numId w:val="1001"/>
        </w:numPr>
      </w:pPr>
      <w:r>
        <w:rPr>
          <w:b/>
          <w:bCs/>
        </w:rPr>
        <w:t xml:space="preserve">Data:</w:t>
      </w:r>
      <w:r>
        <w:t xml:space="preserve"> </w:t>
      </w:r>
      <w:r>
        <w:t xml:space="preserve">Daily vessel positions (AIS) plus sea-surface temperature (SST)</w:t>
      </w:r>
    </w:p>
    <w:p>
      <w:pPr>
        <w:pStyle w:val="Compact"/>
        <w:numPr>
          <w:ilvl w:val="0"/>
          <w:numId w:val="1001"/>
        </w:numPr>
      </w:pPr>
      <w:r>
        <w:rPr>
          <w:b/>
          <w:bCs/>
        </w:rPr>
        <w:t xml:space="preserve">Graph:</w:t>
      </w:r>
      <w:r>
        <w:t xml:space="preserve"> </w:t>
      </w:r>
      <w:r>
        <w:t xml:space="preserve">Build a temporal network where edges = vessels close on the same day</w:t>
      </w:r>
    </w:p>
    <w:p>
      <w:pPr>
        <w:pStyle w:val="Compact"/>
        <w:numPr>
          <w:ilvl w:val="0"/>
          <w:numId w:val="1001"/>
        </w:numPr>
      </w:pPr>
      <w:r>
        <w:rPr>
          <w:b/>
          <w:bCs/>
        </w:rPr>
        <w:t xml:space="preserve">Model:</w:t>
      </w:r>
      <w:r>
        <w:t xml:space="preserve"> </w:t>
      </w:r>
      <w:r>
        <w:t xml:space="preserve">Train a Temporal Graph Convolutional Network (TGCN) to learn co-movement patterns</w:t>
      </w:r>
    </w:p>
    <w:p>
      <w:pPr>
        <w:pStyle w:val="Compact"/>
        <w:numPr>
          <w:ilvl w:val="0"/>
          <w:numId w:val="1001"/>
        </w:numPr>
      </w:pPr>
      <w:r>
        <w:rPr>
          <w:b/>
          <w:bCs/>
        </w:rPr>
        <w:t xml:space="preserve">Ranking:</w:t>
      </w:r>
      <w:r>
        <w:t xml:space="preserve"> </w:t>
      </w:r>
      <w:r>
        <w:t xml:space="preserve">Score candidate</w:t>
      </w:r>
      <w:r>
        <w:t xml:space="preserve"> </w:t>
      </w:r>
      <w:r>
        <w:t xml:space="preserve">“missing links”</w:t>
      </w:r>
      <w:r>
        <w:t xml:space="preserve"> </w:t>
      </w:r>
      <w:r>
        <w:t xml:space="preserve">(pairs not in the training graph) by embedding similarity</w:t>
      </w:r>
    </w:p>
    <w:p>
      <w:pPr>
        <w:pStyle w:val="Compact"/>
        <w:numPr>
          <w:ilvl w:val="0"/>
          <w:numId w:val="1001"/>
        </w:numPr>
      </w:pPr>
      <w:r>
        <w:rPr>
          <w:b/>
          <w:bCs/>
        </w:rPr>
        <w:t xml:space="preserve">Validation:</w:t>
      </w:r>
      <w:r>
        <w:t xml:space="preserve"> </w:t>
      </w:r>
      <w:r>
        <w:t xml:space="preserve">Check whether high-scoring pairs were actually close in the raw data using multiple distance/time thresholds</w:t>
      </w:r>
    </w:p>
    <w:p>
      <w:r>
        <w:pict>
          <v:rect style="width:0;height:1.5pt" o:hralign="center" o:hrstd="t" o:hr="t"/>
        </w:pict>
      </w:r>
    </w:p>
    <w:bookmarkEnd w:id="13"/>
    <w:bookmarkEnd w:id="14"/>
    <w:bookmarkStart w:id="18" w:name="data-pipeline"/>
    <w:p>
      <w:pPr>
        <w:pStyle w:val="Heading1"/>
      </w:pPr>
      <w:r>
        <w:t xml:space="preserve">2. Data Pipeline</w:t>
      </w:r>
    </w:p>
    <w:bookmarkStart w:id="15" w:name="data-sources"/>
    <w:p>
      <w:pPr>
        <w:pStyle w:val="Heading2"/>
      </w:pPr>
      <w:r>
        <w:t xml:space="preserve">2.1 Data Sources</w:t>
      </w:r>
    </w:p>
    <w:p>
      <w:pPr>
        <w:pStyle w:val="Compact"/>
        <w:numPr>
          <w:ilvl w:val="0"/>
          <w:numId w:val="1002"/>
        </w:numPr>
      </w:pPr>
      <w:r>
        <w:rPr>
          <w:b/>
          <w:bCs/>
        </w:rPr>
        <w:t xml:space="preserve">Vessel positions:</w:t>
      </w:r>
      <w:r>
        <w:t xml:space="preserve"> </w:t>
      </w:r>
      <w:r>
        <w:t xml:space="preserve">Daily AIS data (latitude, longitude) from 2012-2019. Each vessel has a 9-digit MMSI (Maritime Mobile Service Identity).</w:t>
      </w:r>
    </w:p>
    <w:p>
      <w:pPr>
        <w:pStyle w:val="Compact"/>
        <w:numPr>
          <w:ilvl w:val="0"/>
          <w:numId w:val="1002"/>
        </w:numPr>
      </w:pPr>
      <w:r>
        <w:rPr>
          <w:b/>
          <w:bCs/>
        </w:rPr>
        <w:t xml:space="preserve">Environmental:</w:t>
      </w:r>
      <w:r>
        <w:t xml:space="preserve"> </w:t>
      </w:r>
      <w:r>
        <w:t xml:space="preserve">Sea-surface temperature (SST) from gridded products (GLORYS, Copernicus) - used as optional node features and for QC.</w:t>
      </w:r>
    </w:p>
    <w:bookmarkEnd w:id="15"/>
    <w:bookmarkStart w:id="16" w:name="pipeline-steps-explained"/>
    <w:p>
      <w:pPr>
        <w:pStyle w:val="Heading2"/>
      </w:pPr>
      <w:r>
        <w:t xml:space="preserve">2.2 Pipeline Steps (Explained)</w:t>
      </w:r>
    </w:p>
    <w:p>
      <w:pPr>
        <w:pStyle w:val="Compact"/>
        <w:numPr>
          <w:ilvl w:val="0"/>
          <w:numId w:val="1003"/>
        </w:numPr>
      </w:pPr>
      <w:r>
        <w:rPr>
          <w:b/>
          <w:bCs/>
        </w:rPr>
        <w:t xml:space="preserve">Combine:</w:t>
      </w:r>
      <w:r>
        <w:t xml:space="preserve"> </w:t>
      </w:r>
      <w:r>
        <w:t xml:space="preserve">Stream raw daily CSVs into a single file (</w:t>
      </w:r>
      <w:r>
        <w:rPr>
          <w:rStyle w:val="VerbatimChar"/>
        </w:rPr>
        <w:t xml:space="preserve">data/combined_fleet_daily_full.csv</w:t>
      </w:r>
      <w:r>
        <w:t xml:space="preserve">). We use chunked reading to avoid loading ~2 billion rows into memory at once.</w:t>
      </w:r>
    </w:p>
    <w:p>
      <w:pPr>
        <w:pStyle w:val="Compact"/>
        <w:numPr>
          <w:ilvl w:val="0"/>
          <w:numId w:val="1003"/>
        </w:numPr>
      </w:pPr>
      <w:r>
        <w:rPr>
          <w:b/>
          <w:bCs/>
        </w:rPr>
        <w:t xml:space="preserve">Split by year:</w:t>
      </w:r>
      <w:r>
        <w:t xml:space="preserve"> </w:t>
      </w:r>
      <w:r>
        <w:t xml:space="preserve">Write per-year files so we can parallelize SST extraction and resume if interrupted.</w:t>
      </w:r>
    </w:p>
    <w:p>
      <w:pPr>
        <w:pStyle w:val="Compact"/>
        <w:numPr>
          <w:ilvl w:val="0"/>
          <w:numId w:val="1003"/>
        </w:numPr>
      </w:pPr>
      <w:r>
        <w:rPr>
          <w:b/>
          <w:bCs/>
        </w:rPr>
        <w:t xml:space="preserve">Extract SST:</w:t>
      </w:r>
      <w:r>
        <w:t xml:space="preserve"> </w:t>
      </w:r>
      <w:r>
        <w:t xml:space="preserve">For each vessel-day position, look up the nearest SST value from the gridded product. We use vectorized operations and a nearest-time/nearest-grid fallback. Output: Parquet chunks under</w:t>
      </w:r>
      <w:r>
        <w:t xml:space="preserve"> </w:t>
      </w:r>
      <w:r>
        <w:rPr>
          <w:rStyle w:val="VerbatimChar"/>
        </w:rPr>
        <w:t xml:space="preserve">data/sst_by_year/&lt;year&gt;/</w:t>
      </w:r>
      <w:r>
        <w:t xml:space="preserve">.</w:t>
      </w:r>
    </w:p>
    <w:p>
      <w:pPr>
        <w:pStyle w:val="Compact"/>
        <w:numPr>
          <w:ilvl w:val="0"/>
          <w:numId w:val="1003"/>
        </w:numPr>
      </w:pPr>
      <w:r>
        <w:rPr>
          <w:b/>
          <w:bCs/>
        </w:rPr>
        <w:t xml:space="preserve">QC:</w:t>
      </w:r>
      <w:r>
        <w:t xml:space="preserve"> </w:t>
      </w:r>
      <w:r>
        <w:t xml:space="preserve">Run</w:t>
      </w:r>
      <w:r>
        <w:t xml:space="preserve"> </w:t>
      </w:r>
      <w:r>
        <w:rPr>
          <w:rStyle w:val="VerbatimChar"/>
        </w:rPr>
        <w:t xml:space="preserve">scripts/status_report.py</w:t>
      </w:r>
      <w:r>
        <w:t xml:space="preserve"> </w:t>
      </w:r>
      <w:r>
        <w:t xml:space="preserve">to count rows with vs. without SST, and compute summary statistics (min, mean, approximate median). This tells us data quality before modeling.</w:t>
      </w:r>
    </w:p>
    <w:p>
      <w:pPr>
        <w:pStyle w:val="Compact"/>
        <w:numPr>
          <w:ilvl w:val="0"/>
          <w:numId w:val="1003"/>
        </w:numPr>
      </w:pPr>
      <w:r>
        <w:rPr>
          <w:b/>
          <w:bCs/>
        </w:rPr>
        <w:t xml:space="preserve">Build graph:</w:t>
      </w:r>
      <w:r>
        <w:t xml:space="preserve"> </w:t>
      </w:r>
      <w:r>
        <w:t xml:space="preserve">From the combined or SST-enriched data, construct edges where two vessels were within a distance threshold (e.g., 10 km) on the same day. Group edges by time bucket for the temporal model.</w:t>
      </w:r>
    </w:p>
    <w:bookmarkEnd w:id="16"/>
    <w:bookmarkStart w:id="17" w:name="data-scale"/>
    <w:p>
      <w:pPr>
        <w:pStyle w:val="Heading2"/>
      </w:pPr>
      <w:r>
        <w:t xml:space="preserve">2.3 Data Scale</w:t>
      </w:r>
    </w:p>
    <w:p>
      <w:pPr>
        <w:pStyle w:val="Compact"/>
        <w:numPr>
          <w:ilvl w:val="0"/>
          <w:numId w:val="1004"/>
        </w:numPr>
      </w:pPr>
      <w:r>
        <w:t xml:space="preserve">Total rows: ~2.38 billion vessel-day records</w:t>
      </w:r>
    </w:p>
    <w:p>
      <w:pPr>
        <w:pStyle w:val="Compact"/>
        <w:numPr>
          <w:ilvl w:val="0"/>
          <w:numId w:val="1004"/>
        </w:numPr>
      </w:pPr>
      <w:r>
        <w:t xml:space="preserve">SST present: ~2.32 billion (~97.5%); missing ~60 million (~2.5%)</w:t>
      </w:r>
    </w:p>
    <w:p>
      <w:pPr>
        <w:pStyle w:val="Compact"/>
        <w:numPr>
          <w:ilvl w:val="0"/>
          <w:numId w:val="1004"/>
        </w:numPr>
      </w:pPr>
      <w:r>
        <w:t xml:space="preserve">Years: 2012-2019</w:t>
      </w:r>
    </w:p>
    <w:p>
      <w:pPr>
        <w:pStyle w:val="Compact"/>
        <w:numPr>
          <w:ilvl w:val="0"/>
          <w:numId w:val="1004"/>
        </w:numPr>
      </w:pPr>
      <w:r>
        <w:t xml:space="preserve">The scale motivates sampling (capped rows per day, sampled files per year) for tractability; we also run a full-coverage baseline where resources allow.</w:t>
      </w:r>
    </w:p>
    <w:p>
      <w:r>
        <w:pict>
          <v:rect style="width:0;height:1.5pt" o:hralign="center" o:hrstd="t" o:hr="t"/>
        </w:pict>
      </w:r>
    </w:p>
    <w:bookmarkEnd w:id="17"/>
    <w:bookmarkEnd w:id="18"/>
    <w:bookmarkStart w:id="30" w:name="methods"/>
    <w:p>
      <w:pPr>
        <w:pStyle w:val="Heading1"/>
      </w:pPr>
      <w:r>
        <w:t xml:space="preserve">3. Methods</w:t>
      </w:r>
    </w:p>
    <w:bookmarkStart w:id="19" w:name="graph-construction-detailed"/>
    <w:p>
      <w:pPr>
        <w:pStyle w:val="Heading2"/>
      </w:pPr>
      <w:r>
        <w:t xml:space="preserve">3.1 Graph Construction (Detailed)</w:t>
      </w:r>
    </w:p>
    <w:p>
      <w:pPr>
        <w:pStyle w:val="Compact"/>
        <w:numPr>
          <w:ilvl w:val="0"/>
          <w:numId w:val="1005"/>
        </w:numPr>
      </w:pPr>
      <w:r>
        <w:rPr>
          <w:b/>
          <w:bCs/>
        </w:rPr>
        <w:t xml:space="preserve">Nodes:</w:t>
      </w:r>
      <w:r>
        <w:t xml:space="preserve"> </w:t>
      </w:r>
      <w:r>
        <w:t xml:space="preserve">Each unique MMSI is a node. We have hundreds of thousands of vessels.</w:t>
      </w:r>
    </w:p>
    <w:p>
      <w:pPr>
        <w:pStyle w:val="Compact"/>
        <w:numPr>
          <w:ilvl w:val="0"/>
          <w:numId w:val="1005"/>
        </w:numPr>
      </w:pPr>
      <w:r>
        <w:rPr>
          <w:b/>
          <w:bCs/>
        </w:rPr>
        <w:t xml:space="preserve">Edges:</w:t>
      </w:r>
      <w:r>
        <w:t xml:space="preserve"> </w:t>
      </w:r>
      <w:r>
        <w:t xml:space="preserve">An undirected edge connects two vessels if they were observed within a distance threshold (e.g., 10 km) on the same day. This captures</w:t>
      </w:r>
      <w:r>
        <w:t xml:space="preserve"> </w:t>
      </w:r>
      <w:r>
        <w:t xml:space="preserve">“who was near whom, when.”</w:t>
      </w:r>
    </w:p>
    <w:p>
      <w:pPr>
        <w:pStyle w:val="Compact"/>
        <w:numPr>
          <w:ilvl w:val="0"/>
          <w:numId w:val="1005"/>
        </w:numPr>
      </w:pPr>
      <w:r>
        <w:rPr>
          <w:b/>
          <w:bCs/>
        </w:rPr>
        <w:t xml:space="preserve">Temporal structure:</w:t>
      </w:r>
      <w:r>
        <w:t xml:space="preserve"> </w:t>
      </w:r>
      <w:r>
        <w:t xml:space="preserve">Edges are grouped into daily time buckets. The model sees a sequence of graph snapshots, one per day.</w:t>
      </w:r>
    </w:p>
    <w:p>
      <w:pPr>
        <w:pStyle w:val="Compact"/>
        <w:numPr>
          <w:ilvl w:val="0"/>
          <w:numId w:val="1005"/>
        </w:numPr>
      </w:pPr>
      <w:r>
        <w:rPr>
          <w:b/>
          <w:bCs/>
        </w:rPr>
        <w:t xml:space="preserve">Sampling:</w:t>
      </w:r>
      <w:r>
        <w:t xml:space="preserve"> </w:t>
      </w:r>
      <w:r>
        <w:t xml:space="preserve">To keep computation tractable, we sometimes cap the number of rows per day and sample a fixed number of daily files per year. The full-coverage run uses all available edges (876 time buckets over 2012-2019).</w:t>
      </w:r>
    </w:p>
    <w:bookmarkEnd w:id="19"/>
    <w:bookmarkStart w:id="20" w:name="X731e1ecf2cc2619593a346c28f5b449db091c12"/>
    <w:p>
      <w:pPr>
        <w:pStyle w:val="Heading2"/>
      </w:pPr>
      <w:r>
        <w:t xml:space="preserve">3.2 Model: TGCN + Temporal Node Features (Explained)</w:t>
      </w:r>
    </w:p>
    <w:p>
      <w:pPr>
        <w:pStyle w:val="Compact"/>
        <w:numPr>
          <w:ilvl w:val="0"/>
          <w:numId w:val="1006"/>
        </w:numPr>
      </w:pPr>
      <w:r>
        <w:rPr>
          <w:b/>
          <w:bCs/>
        </w:rPr>
        <w:t xml:space="preserve">TGCN (Temporal Graph Convolutional Network):</w:t>
      </w:r>
      <w:r>
        <w:t xml:space="preserve"> </w:t>
      </w:r>
      <w:r>
        <w:t xml:space="preserve">A recurrent model that processes the graph snapshot-by-snapshot. At each time step, it updates node representations using both the current graph structure and the previous hidden state. This lets it learn temporal patterns (e.g., vessels that repeatedly co-occur over time).</w:t>
      </w:r>
    </w:p>
    <w:p>
      <w:pPr>
        <w:pStyle w:val="Compact"/>
        <w:numPr>
          <w:ilvl w:val="0"/>
          <w:numId w:val="1006"/>
        </w:numPr>
      </w:pPr>
      <w:r>
        <w:rPr>
          <w:b/>
          <w:bCs/>
        </w:rPr>
        <w:t xml:space="preserve">Node features:</w:t>
      </w:r>
      <w:r>
        <w:t xml:space="preserve"> </w:t>
      </w:r>
      <w:r>
        <w:t xml:space="preserve">We use temporal interaction features from the training period: how many interactions each vessel had, how many unique partners, how recently it was last seen, and the mean gap between interactions. These are concatenated with node degree and fed into the model.</w:t>
      </w:r>
    </w:p>
    <w:p>
      <w:pPr>
        <w:pStyle w:val="Compact"/>
        <w:numPr>
          <w:ilvl w:val="0"/>
          <w:numId w:val="1006"/>
        </w:numPr>
      </w:pPr>
      <w:r>
        <w:rPr>
          <w:b/>
          <w:bCs/>
        </w:rPr>
        <w:t xml:space="preserve">Task:</w:t>
      </w:r>
      <w:r>
        <w:t xml:space="preserve"> </w:t>
      </w:r>
      <w:r>
        <w:t xml:space="preserve">Link prediction. We train on positive edges (pairs that co-occurred) and negative edges (random non-edges). At test time, we score candidate non-edges by the dot-product of their learned embeddings. Higher score = model thinks the pair is likely to be linked.</w:t>
      </w:r>
    </w:p>
    <w:bookmarkEnd w:id="20"/>
    <w:bookmarkStart w:id="21" w:name="evaluation-explained"/>
    <w:p>
      <w:pPr>
        <w:pStyle w:val="Heading2"/>
      </w:pPr>
      <w:r>
        <w:t xml:space="preserve">3.3 Evaluation (Explained)</w:t>
      </w:r>
    </w:p>
    <w:p>
      <w:pPr>
        <w:pStyle w:val="Compact"/>
        <w:numPr>
          <w:ilvl w:val="0"/>
          <w:numId w:val="1007"/>
        </w:numPr>
      </w:pPr>
      <w:r>
        <w:rPr>
          <w:b/>
          <w:bCs/>
        </w:rPr>
        <w:t xml:space="preserve">Time-split:</w:t>
      </w:r>
      <w:r>
        <w:t xml:space="preserve"> </w:t>
      </w:r>
      <w:r>
        <w:t xml:space="preserve">We sort all time buckets chronologically, use the first 70% for training and the last 30% for testing. This is harder than a random split because the model must generalize to future time periods - it cannot</w:t>
      </w:r>
      <w:r>
        <w:t xml:space="preserve"> </w:t>
      </w:r>
      <w:r>
        <w:t xml:space="preserve">“cheat”</w:t>
      </w:r>
      <w:r>
        <w:t xml:space="preserve"> </w:t>
      </w:r>
      <w:r>
        <w:t xml:space="preserve">by using future structure.</w:t>
      </w:r>
    </w:p>
    <w:p>
      <w:pPr>
        <w:pStyle w:val="Compact"/>
        <w:numPr>
          <w:ilvl w:val="0"/>
          <w:numId w:val="1007"/>
        </w:numPr>
      </w:pPr>
      <w:r>
        <w:rPr>
          <w:b/>
          <w:bCs/>
        </w:rPr>
        <w:t xml:space="preserve">Metrics:</w:t>
      </w:r>
      <w:r>
        <w:t xml:space="preserve"> </w:t>
      </w:r>
      <w:r>
        <w:t xml:space="preserve">ROC AUC (area under the receiver-operating-characteristic curve) and Average Precision (AP). Both measure how well the model ranks true edges above false ones. Higher is better; 0.5 is random chance.</w:t>
      </w:r>
    </w:p>
    <w:p>
      <w:pPr>
        <w:pStyle w:val="Compact"/>
        <w:numPr>
          <w:ilvl w:val="0"/>
          <w:numId w:val="1007"/>
        </w:numPr>
      </w:pPr>
      <w:r>
        <w:rPr>
          <w:b/>
          <w:bCs/>
        </w:rPr>
        <w:t xml:space="preserve">Multi-seed:</w:t>
      </w:r>
      <w:r>
        <w:t xml:space="preserve"> </w:t>
      </w:r>
      <w:r>
        <w:t xml:space="preserve">We run with 3 different random seeds and report mean and standard deviation to assess stability.</w:t>
      </w:r>
    </w:p>
    <w:bookmarkEnd w:id="21"/>
    <w:bookmarkStart w:id="29" w:name="mathematical-formulation"/>
    <w:p>
      <w:pPr>
        <w:pStyle w:val="Heading2"/>
      </w:pPr>
      <w:r>
        <w:t xml:space="preserve">3.4 Mathematical Formulation</w:t>
      </w:r>
    </w:p>
    <w:bookmarkStart w:id="22" w:name="distance-haversine-formula"/>
    <w:p>
      <w:pPr>
        <w:pStyle w:val="Heading3"/>
      </w:pPr>
      <w:r>
        <w:t xml:space="preserve">Distance: Haversine Formula</w:t>
      </w:r>
    </w:p>
    <w:p>
      <w:pPr>
        <w:pStyle w:val="FirstParagraph"/>
      </w:pPr>
      <w:r>
        <w:t xml:space="preserve">To decide if two vessels are</w:t>
      </w:r>
      <w:r>
        <w:t xml:space="preserve"> </w:t>
      </w:r>
      <w:r>
        <w:t xml:space="preserve">“close”</w:t>
      </w:r>
      <w:r>
        <w:t xml:space="preserve"> </w:t>
      </w:r>
      <w:r>
        <w:t xml:space="preserve">on a given day, we compute the great-circle distance between their positions. The Haversine formula gives the distance in km:</w:t>
      </w:r>
    </w:p>
    <w:p>
      <w:pPr>
        <w:pStyle w:val="BodyText"/>
      </w:pPr>
      <m:oMathPara>
        <m:oMathParaPr>
          <m:jc m:val="center"/>
        </m:oMathParaPr>
        <m:oMath>
          <m:r>
            <m:t>d</m:t>
          </m:r>
          <m:r>
            <m:rPr>
              <m:sty m:val="p"/>
            </m:rPr>
            <m:t>=</m:t>
          </m:r>
          <m:r>
            <m:t>2</m:t>
          </m:r>
          <m:r>
            <m:t>R</m:t>
          </m:r>
          <m:r>
            <m:rPr>
              <m:sty m:val="p"/>
            </m:rPr>
            <m:t>⋅</m:t>
          </m:r>
          <m:r>
            <m:rPr>
              <m:sty m:val="p"/>
            </m:rPr>
            <m:t>arcsin</m:t>
          </m:r>
          <m:d>
            <m:dPr>
              <m:begChr m:val="("/>
              <m:sepChr m:val=""/>
              <m:endChr m:val=")"/>
              <m:grow/>
            </m:dPr>
            <m:e>
              <m:rad>
                <m:radPr>
                  <m:degHide m:val="on"/>
                </m:radPr>
                <m:deg/>
                <m:e>
                  <m:sSup>
                    <m:e>
                      <m:r>
                        <m:rPr>
                          <m:sty m:val="p"/>
                        </m:rPr>
                        <m:t>sin</m:t>
                      </m:r>
                    </m:e>
                    <m:sup>
                      <m:r>
                        <m:t>2</m:t>
                      </m:r>
                    </m:sup>
                  </m:sSup>
                  <m:d>
                    <m:dPr>
                      <m:begChr m:val="("/>
                      <m:sepChr m:val=""/>
                      <m:endChr m:val=")"/>
                      <m:grow/>
                    </m:dPr>
                    <m:e>
                      <m:f>
                        <m:fPr>
                          <m:type m:val="bar"/>
                        </m:fPr>
                        <m:num>
                          <m:r>
                            <m:rPr>
                              <m:sty m:val="p"/>
                            </m:rPr>
                            <m:t>Δ</m:t>
                          </m:r>
                          <m:r>
                            <m:t>ϕ</m:t>
                          </m:r>
                        </m:num>
                        <m:den>
                          <m:r>
                            <m:t>2</m:t>
                          </m:r>
                        </m:den>
                      </m:f>
                    </m:e>
                  </m:d>
                  <m:r>
                    <m:rPr>
                      <m:sty m:val="p"/>
                    </m:rPr>
                    <m:t>+</m:t>
                  </m:r>
                  <m:r>
                    <m:rPr>
                      <m:sty m:val="p"/>
                    </m:rPr>
                    <m:t>cos</m:t>
                  </m:r>
                  <m:r>
                    <m:rPr>
                      <m:sty m:val="p"/>
                    </m:rPr>
                    <m:t>(</m:t>
                  </m:r>
                  <m:sSub>
                    <m:e>
                      <m:r>
                        <m:t>ϕ</m:t>
                      </m:r>
                    </m:e>
                    <m:sub>
                      <m:r>
                        <m:t>1</m:t>
                      </m:r>
                    </m:sub>
                  </m:sSub>
                  <m:r>
                    <m:rPr>
                      <m:sty m:val="p"/>
                    </m:rPr>
                    <m:t>)</m:t>
                  </m:r>
                  <m:r>
                    <m:rPr>
                      <m:sty m:val="p"/>
                    </m:rPr>
                    <m:t>cos</m:t>
                  </m:r>
                  <m:r>
                    <m:rPr>
                      <m:sty m:val="p"/>
                    </m:rPr>
                    <m:t>(</m:t>
                  </m:r>
                  <m:sSub>
                    <m:e>
                      <m:r>
                        <m:t>ϕ</m:t>
                      </m:r>
                    </m:e>
                    <m:sub>
                      <m:r>
                        <m:t>2</m:t>
                      </m:r>
                    </m:sub>
                  </m:sSub>
                  <m:r>
                    <m:rPr>
                      <m:sty m:val="p"/>
                    </m:rPr>
                    <m:t>)</m:t>
                  </m:r>
                  <m:sSup>
                    <m:e>
                      <m:r>
                        <m:rPr>
                          <m:sty m:val="p"/>
                        </m:rPr>
                        <m:t>sin</m:t>
                      </m:r>
                    </m:e>
                    <m:sup>
                      <m:r>
                        <m:t>2</m:t>
                      </m:r>
                    </m:sup>
                  </m:sSup>
                  <m:d>
                    <m:dPr>
                      <m:begChr m:val="("/>
                      <m:sepChr m:val=""/>
                      <m:endChr m:val=")"/>
                      <m:grow/>
                    </m:dPr>
                    <m:e>
                      <m:f>
                        <m:fPr>
                          <m:type m:val="bar"/>
                        </m:fPr>
                        <m:num>
                          <m:r>
                            <m:rPr>
                              <m:sty m:val="p"/>
                            </m:rPr>
                            <m:t>Δ</m:t>
                          </m:r>
                          <m:r>
                            <m:t>λ</m:t>
                          </m:r>
                        </m:num>
                        <m:den>
                          <m:r>
                            <m:t>2</m:t>
                          </m:r>
                        </m:den>
                      </m:f>
                    </m:e>
                  </m:d>
                </m:e>
              </m:rad>
            </m:e>
          </m:d>
        </m:oMath>
      </m:oMathPara>
    </w:p>
    <w:p>
      <w:pPr>
        <w:pStyle w:val="FirstParagraph"/>
      </w:pPr>
      <w:r>
        <w:t xml:space="preserve">where</w:t>
      </w:r>
      <w:r>
        <w:t xml:space="preserve"> </w:t>
      </w:r>
      <m:oMath>
        <m:r>
          <m:t>ϕ</m:t>
        </m:r>
      </m:oMath>
      <w:r>
        <w:t xml:space="preserve"> </w:t>
      </w:r>
      <w:r>
        <w:t xml:space="preserve">= latitude (radians),</w:t>
      </w:r>
      <w:r>
        <w:t xml:space="preserve"> </w:t>
      </w:r>
      <m:oMath>
        <m:r>
          <m:t>λ</m:t>
        </m:r>
      </m:oMath>
      <w:r>
        <w:t xml:space="preserve"> </w:t>
      </w:r>
      <w:r>
        <w:t xml:space="preserve">= longitude (radians),</w:t>
      </w:r>
      <w:r>
        <w:t xml:space="preserve"> </w:t>
      </w:r>
      <m:oMath>
        <m:r>
          <m:rPr>
            <m:sty m:val="p"/>
          </m:rPr>
          <m:t>Δ</m:t>
        </m:r>
        <m:r>
          <m:t>ϕ</m:t>
        </m:r>
        <m:r>
          <m:rPr>
            <m:sty m:val="p"/>
          </m:rPr>
          <m:t>=</m:t>
        </m:r>
        <m:sSub>
          <m:e>
            <m:r>
              <m:t>ϕ</m:t>
            </m:r>
          </m:e>
          <m:sub>
            <m:r>
              <m:t>2</m:t>
            </m:r>
          </m:sub>
        </m:sSub>
        <m:r>
          <m:rPr>
            <m:sty m:val="p"/>
          </m:rPr>
          <m:t>−</m:t>
        </m:r>
        <m:sSub>
          <m:e>
            <m:r>
              <m:t>ϕ</m:t>
            </m:r>
          </m:e>
          <m:sub>
            <m:r>
              <m:t>1</m:t>
            </m:r>
          </m:sub>
        </m:sSub>
      </m:oMath>
      <w:r>
        <w:t xml:space="preserve">,</w:t>
      </w:r>
      <w:r>
        <w:t xml:space="preserve"> </w:t>
      </w:r>
      <m:oMath>
        <m:r>
          <m:rPr>
            <m:sty m:val="p"/>
          </m:rPr>
          <m:t>Δ</m:t>
        </m:r>
        <m:r>
          <m:t>λ</m:t>
        </m:r>
        <m:r>
          <m:rPr>
            <m:sty m:val="p"/>
          </m:rPr>
          <m:t>=</m:t>
        </m:r>
        <m:sSub>
          <m:e>
            <m:r>
              <m:t>λ</m:t>
            </m:r>
          </m:e>
          <m:sub>
            <m:r>
              <m:t>2</m:t>
            </m:r>
          </m:sub>
        </m:sSub>
        <m:r>
          <m:rPr>
            <m:sty m:val="p"/>
          </m:rPr>
          <m:t>−</m:t>
        </m:r>
        <m:sSub>
          <m:e>
            <m:r>
              <m:t>λ</m:t>
            </m:r>
          </m:e>
          <m:sub>
            <m:r>
              <m:t>1</m:t>
            </m:r>
          </m:sub>
        </m:sSub>
      </m:oMath>
      <w:r>
        <w:t xml:space="preserve">, and</w:t>
      </w:r>
      <w:r>
        <w:t xml:space="preserve"> </w:t>
      </w:r>
      <m:oMath>
        <m:r>
          <m:t>R</m:t>
        </m:r>
        <m:r>
          <m:rPr>
            <m:sty m:val="p"/>
          </m:rPr>
          <m:t>≈</m:t>
        </m:r>
        <m:r>
          <m:t>6371</m:t>
        </m:r>
      </m:oMath>
      <w:r>
        <w:t xml:space="preserve"> </w:t>
      </w:r>
      <w:r>
        <w:t xml:space="preserve">km (Earth’s radius).</w:t>
      </w:r>
      <w:r>
        <w:t xml:space="preserve"> </w:t>
      </w:r>
      <w:r>
        <w:rPr>
          <w:b/>
          <w:bCs/>
        </w:rPr>
        <w:t xml:space="preserve">In words:</w:t>
      </w:r>
      <w:r>
        <w:t xml:space="preserve"> </w:t>
      </w:r>
      <w:r>
        <w:t xml:space="preserve">We convert lat/lon to radians, compute the angular distance using spherical geometry, then multiply by Earth’s radius to get km.</w:t>
      </w:r>
    </w:p>
    <w:bookmarkEnd w:id="22"/>
    <w:bookmarkStart w:id="23" w:name="graph-construction"/>
    <w:p>
      <w:pPr>
        <w:pStyle w:val="Heading3"/>
      </w:pPr>
      <w:r>
        <w:t xml:space="preserve">Graph Construction</w:t>
      </w:r>
    </w:p>
    <w:p>
      <w:pPr>
        <w:pStyle w:val="Compact"/>
        <w:numPr>
          <w:ilvl w:val="0"/>
          <w:numId w:val="1008"/>
        </w:numPr>
      </w:pPr>
      <w:r>
        <w:rPr>
          <w:b/>
          <w:bCs/>
        </w:rPr>
        <w:t xml:space="preserve">Edge exists</w:t>
      </w:r>
      <w:r>
        <w:t xml:space="preserve"> </w:t>
      </w:r>
      <w:r>
        <w:t xml:space="preserve">between vessels</w:t>
      </w:r>
      <w:r>
        <w:t xml:space="preserve"> </w:t>
      </w:r>
      <m:oMath>
        <m:r>
          <m:t>u</m:t>
        </m:r>
      </m:oMath>
      <w:r>
        <w:t xml:space="preserve"> </w:t>
      </w:r>
      <w:r>
        <w:t xml:space="preserve">and</w:t>
      </w:r>
      <w:r>
        <w:t xml:space="preserve"> </w:t>
      </w:r>
      <m:oMath>
        <m:r>
          <m:t>v</m:t>
        </m:r>
      </m:oMath>
      <w:r>
        <w:t xml:space="preserve"> </w:t>
      </w:r>
      <w:r>
        <w:t xml:space="preserve">at time</w:t>
      </w:r>
      <w:r>
        <w:t xml:space="preserve"> </w:t>
      </w:r>
      <m:oMath>
        <m:r>
          <m:t>t</m:t>
        </m:r>
      </m:oMath>
      <w:r>
        <w:t xml:space="preserve"> </w:t>
      </w:r>
      <w:r>
        <w:t xml:space="preserve">if:</w:t>
      </w:r>
      <w:r>
        <w:t xml:space="preserve"> </w:t>
      </w:r>
      <m:oMath>
        <m:r>
          <m:t>d</m:t>
        </m:r>
        <m:r>
          <m:rPr>
            <m:sty m:val="p"/>
          </m:rPr>
          <m:t>(</m:t>
        </m:r>
        <m:sSub>
          <m:e>
            <m:r>
              <m:rPr>
                <m:nor/>
                <m:sty m:val="p"/>
              </m:rPr>
              <m:t>pos</m:t>
            </m:r>
          </m:e>
          <m:sub>
            <m:r>
              <m:t>u</m:t>
            </m:r>
          </m:sub>
        </m:sSub>
        <m:r>
          <m:rPr>
            <m:sty m:val="p"/>
          </m:rPr>
          <m:t>(</m:t>
        </m:r>
        <m:r>
          <m:t>t</m:t>
        </m:r>
        <m:r>
          <m:rPr>
            <m:sty m:val="p"/>
          </m:rPr>
          <m:t>)</m:t>
        </m:r>
        <m:r>
          <m:rPr>
            <m:sty m:val="p"/>
          </m:rPr>
          <m:t>,</m:t>
        </m:r>
        <m:sSub>
          <m:e>
            <m:r>
              <m:rPr>
                <m:nor/>
                <m:sty m:val="p"/>
              </m:rPr>
              <m:t>pos</m:t>
            </m:r>
          </m:e>
          <m:sub>
            <m:r>
              <m:t>v</m:t>
            </m:r>
          </m:sub>
        </m:sSub>
        <m:r>
          <m:rPr>
            <m:sty m:val="p"/>
          </m:rPr>
          <m:t>(</m:t>
        </m:r>
        <m:r>
          <m:t>t</m:t>
        </m:r>
        <m:r>
          <m:rPr>
            <m:sty m:val="p"/>
          </m:rPr>
          <m:t>)</m:t>
        </m:r>
        <m:r>
          <m:rPr>
            <m:sty m:val="p"/>
          </m:rPr>
          <m:t>)</m:t>
        </m:r>
        <m:r>
          <m:rPr>
            <m:sty m:val="p"/>
          </m:rPr>
          <m:t>≤</m:t>
        </m:r>
        <m:r>
          <m:t>τ</m:t>
        </m:r>
      </m:oMath>
      <w:r>
        <w:t xml:space="preserve"> </w:t>
      </w:r>
      <w:r>
        <w:t xml:space="preserve">(e.g.,</w:t>
      </w:r>
      <w:r>
        <w:t xml:space="preserve"> </w:t>
      </w:r>
      <m:oMath>
        <m:r>
          <m:t>τ</m:t>
        </m:r>
        <m:r>
          <m:rPr>
            <m:sty m:val="p"/>
          </m:rPr>
          <m:t>=</m:t>
        </m:r>
        <m:r>
          <m:t>10</m:t>
        </m:r>
      </m:oMath>
      <w:r>
        <w:t xml:space="preserve"> </w:t>
      </w:r>
      <w:r>
        <w:t xml:space="preserve">km).</w:t>
      </w:r>
    </w:p>
    <w:p>
      <w:pPr>
        <w:pStyle w:val="Compact"/>
        <w:numPr>
          <w:ilvl w:val="0"/>
          <w:numId w:val="1008"/>
        </w:numPr>
      </w:pPr>
      <w:r>
        <w:rPr>
          <w:b/>
          <w:bCs/>
        </w:rPr>
        <w:t xml:space="preserve">Adjacency:</w:t>
      </w:r>
      <w:r>
        <w:t xml:space="preserve"> </w:t>
      </w:r>
      <m:oMath>
        <m:sSubSup>
          <m:e>
            <m:r>
              <m:t>A</m:t>
            </m:r>
          </m:e>
          <m:sub>
            <m:r>
              <m:t>u</m:t>
            </m:r>
            <m:r>
              <m:t>v</m:t>
            </m:r>
          </m:sub>
          <m:sup>
            <m:r>
              <m:rPr>
                <m:sty m:val="p"/>
              </m:rPr>
              <m:t>(</m:t>
            </m:r>
            <m:r>
              <m:t>t</m:t>
            </m:r>
            <m:r>
              <m:rPr>
                <m:sty m:val="p"/>
              </m:rPr>
              <m:t>)</m:t>
            </m:r>
          </m:sup>
        </m:sSubSup>
        <m:r>
          <m:rPr>
            <m:sty m:val="p"/>
          </m:rPr>
          <m:t>=</m:t>
        </m:r>
        <m:r>
          <m:t>1</m:t>
        </m:r>
      </m:oMath>
      <w:r>
        <w:t xml:space="preserve"> </w:t>
      </w:r>
      <w:r>
        <w:t xml:space="preserve">if edge exists, else 0. We use the symmetric (undirected) adjacency.</w:t>
      </w:r>
    </w:p>
    <w:bookmarkEnd w:id="23"/>
    <w:bookmarkStart w:id="24" w:name="tgcn-spatial-temporal"/>
    <w:p>
      <w:pPr>
        <w:pStyle w:val="Heading3"/>
      </w:pPr>
      <w:r>
        <w:t xml:space="preserve">TGCN: Spatial + Temporal</w:t>
      </w:r>
    </w:p>
    <w:p>
      <w:pPr>
        <w:pStyle w:val="FirstParagraph"/>
      </w:pPr>
      <w:r>
        <w:t xml:space="preserve">The TGCN combines a</w:t>
      </w:r>
      <w:r>
        <w:t xml:space="preserve"> </w:t>
      </w:r>
      <w:r>
        <w:rPr>
          <w:b/>
          <w:bCs/>
        </w:rPr>
        <w:t xml:space="preserve">Graph Convolution</w:t>
      </w:r>
      <w:r>
        <w:t xml:space="preserve"> </w:t>
      </w:r>
      <w:r>
        <w:t xml:space="preserve">(spatial) with a</w:t>
      </w:r>
      <w:r>
        <w:t xml:space="preserve"> </w:t>
      </w:r>
      <w:r>
        <w:rPr>
          <w:b/>
          <w:bCs/>
        </w:rPr>
        <w:t xml:space="preserve">GRU</w:t>
      </w:r>
      <w:r>
        <w:t xml:space="preserve"> </w:t>
      </w:r>
      <w:r>
        <w:t xml:space="preserve">(temporal). At each time step</w:t>
      </w:r>
      <w:r>
        <w:t xml:space="preserve"> </w:t>
      </w:r>
      <m:oMath>
        <m:r>
          <m:t>t</m:t>
        </m:r>
      </m:oMath>
      <w:r>
        <w:t xml:space="preserve">:</w:t>
      </w:r>
    </w:p>
    <w:p>
      <w:pPr>
        <w:pStyle w:val="BodyText"/>
      </w:pPr>
      <w:r>
        <w:rPr>
          <w:b/>
          <w:bCs/>
        </w:rPr>
        <w:t xml:space="preserve">1. Graph convolution</w:t>
      </w:r>
      <w:r>
        <w:t xml:space="preserve"> </w:t>
      </w:r>
      <w:r>
        <w:t xml:space="preserve">aggregates neighbor information into each node:</w:t>
      </w:r>
    </w:p>
    <w:p>
      <w:pPr>
        <w:pStyle w:val="BodyText"/>
      </w:pPr>
      <m:oMathPara>
        <m:oMathParaPr>
          <m:jc m:val="center"/>
        </m:oMathParaPr>
        <m:oMath>
          <m:r>
            <m:t>f</m:t>
          </m:r>
          <m:r>
            <m:rPr>
              <m:sty m:val="p"/>
            </m:rPr>
            <m:t>(</m:t>
          </m:r>
          <m:sSub>
            <m:e>
              <m:r>
                <m:t>X</m:t>
              </m:r>
            </m:e>
            <m:sub>
              <m:r>
                <m:t>t</m:t>
              </m:r>
            </m:sub>
          </m:sSub>
          <m:r>
            <m:rPr>
              <m:sty m:val="p"/>
            </m:rPr>
            <m:t>,</m:t>
          </m:r>
          <m:r>
            <m:t>A</m:t>
          </m:r>
          <m:r>
            <m:rPr>
              <m:sty m:val="p"/>
            </m:rPr>
            <m:t>)</m:t>
          </m:r>
          <m:r>
            <m:rPr>
              <m:sty m:val="p"/>
            </m:rPr>
            <m:t>=</m:t>
          </m:r>
          <m:r>
            <m:t>σ</m:t>
          </m:r>
          <m:d>
            <m:dPr>
              <m:begChr m:val="("/>
              <m:sepChr m:val=""/>
              <m:endChr m:val=")"/>
              <m:grow/>
            </m:dPr>
            <m:e>
              <m:acc>
                <m:accPr>
                  <m:chr m:val="̃"/>
                </m:accPr>
                <m:e>
                  <m:r>
                    <m:t>A</m:t>
                  </m:r>
                </m:e>
              </m:acc>
              <m:r>
                <m:rPr>
                  <m:sty m:val="p"/>
                </m:rPr>
                <m:t>⋅</m:t>
              </m:r>
              <m:r>
                <m:rPr>
                  <m:nor/>
                  <m:sty m:val="p"/>
                </m:rPr>
                <m:t>ReLU</m:t>
              </m:r>
              <m:r>
                <m:rPr>
                  <m:sty m:val="p"/>
                </m:rPr>
                <m:t>(</m:t>
              </m:r>
              <m:acc>
                <m:accPr>
                  <m:chr m:val="̃"/>
                </m:accPr>
                <m:e>
                  <m:r>
                    <m:t>A</m:t>
                  </m:r>
                </m:e>
              </m:acc>
              <m:sSub>
                <m:e>
                  <m:r>
                    <m:t>X</m:t>
                  </m:r>
                </m:e>
                <m:sub>
                  <m:r>
                    <m:t>t</m:t>
                  </m:r>
                </m:sub>
              </m:sSub>
              <m:sSub>
                <m:e>
                  <m:r>
                    <m:t>W</m:t>
                  </m:r>
                </m:e>
                <m:sub>
                  <m:r>
                    <m:t>0</m:t>
                  </m:r>
                </m:sub>
              </m:sSub>
              <m:r>
                <m:rPr>
                  <m:sty m:val="p"/>
                </m:rPr>
                <m:t>)</m:t>
              </m:r>
              <m:sSub>
                <m:e>
                  <m:r>
                    <m:t>W</m:t>
                  </m:r>
                </m:e>
                <m:sub>
                  <m:r>
                    <m:t>1</m:t>
                  </m:r>
                </m:sub>
              </m:sSub>
            </m:e>
          </m:d>
        </m:oMath>
      </m:oMathPara>
    </w:p>
    <w:p>
      <w:pPr>
        <w:pStyle w:val="FirstParagraph"/>
      </w:pPr>
      <w:r>
        <w:t xml:space="preserve">where</w:t>
      </w:r>
      <w:r>
        <w:t xml:space="preserve"> </w:t>
      </w:r>
      <m:oMath>
        <m:acc>
          <m:accPr>
            <m:chr m:val="̃"/>
          </m:accPr>
          <m:e>
            <m:r>
              <m:t>A</m:t>
            </m:r>
          </m:e>
        </m:acc>
        <m:r>
          <m:rPr>
            <m:sty m:val="p"/>
          </m:rPr>
          <m:t>=</m:t>
        </m:r>
        <m:sSup>
          <m:e>
            <m:r>
              <m:t>D</m:t>
            </m:r>
          </m:e>
          <m:sup>
            <m:r>
              <m:rPr>
                <m:sty m:val="p"/>
              </m:rPr>
              <m:t>−</m:t>
            </m:r>
            <m:r>
              <m:t>1</m:t>
            </m:r>
            <m:r>
              <m:rPr>
                <m:sty m:val="p"/>
              </m:rPr>
              <m:t>/</m:t>
            </m:r>
            <m:r>
              <m:t>2</m:t>
            </m:r>
          </m:sup>
        </m:sSup>
        <m:r>
          <m:rPr>
            <m:sty m:val="p"/>
          </m:rPr>
          <m:t>(</m:t>
        </m:r>
        <m:r>
          <m:t>A</m:t>
        </m:r>
        <m:r>
          <m:rPr>
            <m:sty m:val="p"/>
          </m:rPr>
          <m:t>+</m:t>
        </m:r>
        <m:r>
          <m:t>I</m:t>
        </m:r>
        <m:r>
          <m:rPr>
            <m:sty m:val="p"/>
          </m:rPr>
          <m:t>)</m:t>
        </m:r>
        <m:sSup>
          <m:e>
            <m:r>
              <m:t>D</m:t>
            </m:r>
          </m:e>
          <m:sup>
            <m:r>
              <m:rPr>
                <m:sty m:val="p"/>
              </m:rPr>
              <m:t>−</m:t>
            </m:r>
            <m:r>
              <m:t>1</m:t>
            </m:r>
            <m:r>
              <m:rPr>
                <m:sty m:val="p"/>
              </m:rPr>
              <m:t>/</m:t>
            </m:r>
            <m:r>
              <m:t>2</m:t>
            </m:r>
          </m:sup>
        </m:sSup>
      </m:oMath>
      <w:r>
        <w:t xml:space="preserve"> </w:t>
      </w:r>
      <w:r>
        <w:t xml:space="preserve">is the normalized adjacency (with self-loops),</w:t>
      </w:r>
      <w:r>
        <w:t xml:space="preserve"> </w:t>
      </w:r>
      <m:oMath>
        <m:sSub>
          <m:e>
            <m:r>
              <m:t>X</m:t>
            </m:r>
          </m:e>
          <m:sub>
            <m:r>
              <m:t>t</m:t>
            </m:r>
          </m:sub>
        </m:sSub>
      </m:oMath>
      <w:r>
        <w:t xml:space="preserve"> </w:t>
      </w:r>
      <w:r>
        <w:t xml:space="preserve">is the node feature matrix at time</w:t>
      </w:r>
      <w:r>
        <w:t xml:space="preserve"> </w:t>
      </w:r>
      <m:oMath>
        <m:r>
          <m:t>t</m:t>
        </m:r>
      </m:oMath>
      <w:r>
        <w:t xml:space="preserve">, and</w:t>
      </w:r>
      <w:r>
        <w:t xml:space="preserve"> </w:t>
      </w:r>
      <m:oMath>
        <m:sSub>
          <m:e>
            <m:r>
              <m:t>W</m:t>
            </m:r>
          </m:e>
          <m:sub>
            <m:r>
              <m:t>0</m:t>
            </m:r>
          </m:sub>
        </m:sSub>
        <m:r>
          <m:rPr>
            <m:sty m:val="p"/>
          </m:rPr>
          <m:t>,</m:t>
        </m:r>
        <m:sSub>
          <m:e>
            <m:r>
              <m:t>W</m:t>
            </m:r>
          </m:e>
          <m:sub>
            <m:r>
              <m:t>1</m:t>
            </m:r>
          </m:sub>
        </m:sSub>
      </m:oMath>
      <w:r>
        <w:t xml:space="preserve"> </w:t>
      </w:r>
      <w:r>
        <w:t xml:space="preserve">are learnable weights.</w:t>
      </w:r>
      <w:r>
        <w:t xml:space="preserve"> </w:t>
      </w:r>
      <w:r>
        <w:rPr>
          <w:b/>
          <w:bCs/>
        </w:rPr>
        <w:t xml:space="preserve">In words:</w:t>
      </w:r>
      <w:r>
        <w:t xml:space="preserve"> </w:t>
      </w:r>
      <w:r>
        <w:t xml:space="preserve">Each node’s representation is a weighted average of its neighbors’ features plus its own.</w:t>
      </w:r>
    </w:p>
    <w:p>
      <w:pPr>
        <w:pStyle w:val="BodyText"/>
      </w:pPr>
      <w:r>
        <w:rPr>
          <w:b/>
          <w:bCs/>
        </w:rPr>
        <w:t xml:space="preserve">2. GRU update</w:t>
      </w:r>
      <w:r>
        <w:t xml:space="preserve"> </w:t>
      </w:r>
      <w:r>
        <w:t xml:space="preserve">blends the new graph output with the previous hidden state:</w:t>
      </w:r>
    </w:p>
    <w:p>
      <w:pPr>
        <w:pStyle w:val="BodyText"/>
      </w:pPr>
      <m:oMathPara>
        <m:oMathParaPr>
          <m:jc m:val="center"/>
        </m:oMathParaPr>
        <m:oMath>
          <m:sSub>
            <m:e>
              <m:r>
                <m:t>z</m:t>
              </m:r>
            </m:e>
            <m:sub>
              <m:r>
                <m:t>t</m:t>
              </m:r>
            </m:sub>
          </m:sSub>
          <m:r>
            <m:rPr>
              <m:sty m:val="p"/>
            </m:rPr>
            <m:t>=</m:t>
          </m:r>
          <m:r>
            <m:t>σ</m:t>
          </m:r>
          <m:r>
            <m:rPr>
              <m:sty m:val="p"/>
            </m:rPr>
            <m:t>(</m:t>
          </m:r>
          <m:sSub>
            <m:e>
              <m:r>
                <m:t>W</m:t>
              </m:r>
            </m:e>
            <m:sub>
              <m:r>
                <m:t>z</m:t>
              </m:r>
            </m:sub>
          </m:sSub>
          <m:r>
            <m:rPr>
              <m:sty m:val="p"/>
            </m:rPr>
            <m:t>[</m:t>
          </m:r>
          <m:r>
            <m:t>f</m:t>
          </m:r>
          <m:r>
            <m:rPr>
              <m:sty m:val="p"/>
            </m:rPr>
            <m:t>(</m:t>
          </m:r>
          <m:sSub>
            <m:e>
              <m:r>
                <m:t>X</m:t>
              </m:r>
            </m:e>
            <m:sub>
              <m:r>
                <m:t>t</m:t>
              </m:r>
            </m:sub>
          </m:sSub>
          <m:r>
            <m:rPr>
              <m:sty m:val="p"/>
            </m:rPr>
            <m:t>,</m:t>
          </m:r>
          <m:r>
            <m:t>A</m:t>
          </m:r>
          <m:r>
            <m:rPr>
              <m:sty m:val="p"/>
            </m:rPr>
            <m:t>)</m:t>
          </m:r>
          <m:r>
            <m:rPr>
              <m:sty m:val="p"/>
            </m:rPr>
            <m:t>,</m:t>
          </m:r>
          <m:sSub>
            <m:e>
              <m:r>
                <m:t>h</m:t>
              </m:r>
            </m:e>
            <m:sub>
              <m:r>
                <m:t>t</m:t>
              </m:r>
              <m:r>
                <m:rPr>
                  <m:sty m:val="p"/>
                </m:rPr>
                <m:t>−</m:t>
              </m:r>
              <m:r>
                <m:t>1</m:t>
              </m:r>
            </m:sub>
          </m:sSub>
          <m:r>
            <m:rPr>
              <m:sty m:val="p"/>
            </m:rPr>
            <m:t>]</m:t>
          </m:r>
          <m:r>
            <m:rPr>
              <m:sty m:val="p"/>
            </m:rPr>
            <m:t>+</m:t>
          </m:r>
          <m:sSub>
            <m:e>
              <m:r>
                <m:t>b</m:t>
              </m:r>
            </m:e>
            <m:sub>
              <m:r>
                <m:t>z</m:t>
              </m:r>
            </m:sub>
          </m:sSub>
          <m:r>
            <m:rPr>
              <m:sty m:val="p"/>
            </m:rPr>
            <m:t>)</m:t>
          </m:r>
          <m:r>
            <m:t> </m:t>
          </m:r>
          <m:r>
            <m:rPr>
              <m:nor/>
              <m:sty m:val="p"/>
            </m:rPr>
            <m:t>(update gate)</m:t>
          </m:r>
        </m:oMath>
      </m:oMathPara>
    </w:p>
    <w:p>
      <w:pPr>
        <w:pStyle w:val="FirstParagraph"/>
      </w:pPr>
      <m:oMathPara>
        <m:oMathParaPr>
          <m:jc m:val="center"/>
        </m:oMathParaPr>
        <m:oMath>
          <m:sSub>
            <m:e>
              <m:r>
                <m:t>r</m:t>
              </m:r>
            </m:e>
            <m:sub>
              <m:r>
                <m:t>t</m:t>
              </m:r>
            </m:sub>
          </m:sSub>
          <m:r>
            <m:rPr>
              <m:sty m:val="p"/>
            </m:rPr>
            <m:t>=</m:t>
          </m:r>
          <m:r>
            <m:t>σ</m:t>
          </m:r>
          <m:r>
            <m:rPr>
              <m:sty m:val="p"/>
            </m:rPr>
            <m:t>(</m:t>
          </m:r>
          <m:sSub>
            <m:e>
              <m:r>
                <m:t>W</m:t>
              </m:r>
            </m:e>
            <m:sub>
              <m:r>
                <m:t>r</m:t>
              </m:r>
            </m:sub>
          </m:sSub>
          <m:r>
            <m:rPr>
              <m:sty m:val="p"/>
            </m:rPr>
            <m:t>[</m:t>
          </m:r>
          <m:r>
            <m:t>f</m:t>
          </m:r>
          <m:r>
            <m:rPr>
              <m:sty m:val="p"/>
            </m:rPr>
            <m:t>(</m:t>
          </m:r>
          <m:sSub>
            <m:e>
              <m:r>
                <m:t>X</m:t>
              </m:r>
            </m:e>
            <m:sub>
              <m:r>
                <m:t>t</m:t>
              </m:r>
            </m:sub>
          </m:sSub>
          <m:r>
            <m:rPr>
              <m:sty m:val="p"/>
            </m:rPr>
            <m:t>,</m:t>
          </m:r>
          <m:r>
            <m:t>A</m:t>
          </m:r>
          <m:r>
            <m:rPr>
              <m:sty m:val="p"/>
            </m:rPr>
            <m:t>)</m:t>
          </m:r>
          <m:r>
            <m:rPr>
              <m:sty m:val="p"/>
            </m:rPr>
            <m:t>,</m:t>
          </m:r>
          <m:sSub>
            <m:e>
              <m:r>
                <m:t>h</m:t>
              </m:r>
            </m:e>
            <m:sub>
              <m:r>
                <m:t>t</m:t>
              </m:r>
              <m:r>
                <m:rPr>
                  <m:sty m:val="p"/>
                </m:rPr>
                <m:t>−</m:t>
              </m:r>
              <m:r>
                <m:t>1</m:t>
              </m:r>
            </m:sub>
          </m:sSub>
          <m:r>
            <m:rPr>
              <m:sty m:val="p"/>
            </m:rPr>
            <m:t>]</m:t>
          </m:r>
          <m:r>
            <m:rPr>
              <m:sty m:val="p"/>
            </m:rPr>
            <m:t>+</m:t>
          </m:r>
          <m:sSub>
            <m:e>
              <m:r>
                <m:t>b</m:t>
              </m:r>
            </m:e>
            <m:sub>
              <m:r>
                <m:t>r</m:t>
              </m:r>
            </m:sub>
          </m:sSub>
          <m:r>
            <m:rPr>
              <m:sty m:val="p"/>
            </m:rPr>
            <m:t>)</m:t>
          </m:r>
          <m:r>
            <m:t> </m:t>
          </m:r>
          <m:r>
            <m:rPr>
              <m:nor/>
              <m:sty m:val="p"/>
            </m:rPr>
            <m:t>(reset gate)</m:t>
          </m:r>
        </m:oMath>
      </m:oMathPara>
    </w:p>
    <w:p>
      <w:pPr>
        <w:pStyle w:val="FirstParagraph"/>
      </w:pPr>
      <m:oMathPara>
        <m:oMathParaPr>
          <m:jc m:val="center"/>
        </m:oMathParaPr>
        <m:oMath>
          <m:sSub>
            <m:e>
              <m:acc>
                <m:accPr>
                  <m:chr m:val="̃"/>
                </m:accPr>
                <m:e>
                  <m:r>
                    <m:t>h</m:t>
                  </m:r>
                </m:e>
              </m:acc>
            </m:e>
            <m:sub>
              <m:r>
                <m:t>t</m:t>
              </m:r>
            </m:sub>
          </m:sSub>
          <m:r>
            <m:rPr>
              <m:sty m:val="p"/>
            </m:rPr>
            <m:t>=</m:t>
          </m:r>
          <m:r>
            <m:rPr>
              <m:sty m:val="p"/>
            </m:rPr>
            <m:t>tanh</m:t>
          </m:r>
          <m:r>
            <m:rPr>
              <m:sty m:val="p"/>
            </m:rPr>
            <m:t>(</m:t>
          </m:r>
          <m:sSub>
            <m:e>
              <m:r>
                <m:t>W</m:t>
              </m:r>
            </m:e>
            <m:sub>
              <m:r>
                <m:t>h</m:t>
              </m:r>
            </m:sub>
          </m:sSub>
          <m:r>
            <m:rPr>
              <m:sty m:val="p"/>
            </m:rPr>
            <m:t>[</m:t>
          </m:r>
          <m:r>
            <m:t>f</m:t>
          </m:r>
          <m:r>
            <m:rPr>
              <m:sty m:val="p"/>
            </m:rPr>
            <m:t>(</m:t>
          </m:r>
          <m:sSub>
            <m:e>
              <m:r>
                <m:t>X</m:t>
              </m:r>
            </m:e>
            <m:sub>
              <m:r>
                <m:t>t</m:t>
              </m:r>
            </m:sub>
          </m:sSub>
          <m:r>
            <m:rPr>
              <m:sty m:val="p"/>
            </m:rPr>
            <m:t>,</m:t>
          </m:r>
          <m:r>
            <m:t>A</m:t>
          </m:r>
          <m:r>
            <m:rPr>
              <m:sty m:val="p"/>
            </m:rPr>
            <m:t>)</m:t>
          </m:r>
          <m:r>
            <m:rPr>
              <m:sty m:val="p"/>
            </m:rPr>
            <m:t>,</m:t>
          </m:r>
          <m:sSub>
            <m:e>
              <m:r>
                <m:t>r</m:t>
              </m:r>
            </m:e>
            <m:sub>
              <m:r>
                <m:t>t</m:t>
              </m:r>
            </m:sub>
          </m:sSub>
          <m:r>
            <m:rPr>
              <m:sty m:val="p"/>
            </m:rPr>
            <m:t>⊙</m:t>
          </m:r>
          <m:sSub>
            <m:e>
              <m:r>
                <m:t>h</m:t>
              </m:r>
            </m:e>
            <m:sub>
              <m:r>
                <m:t>t</m:t>
              </m:r>
              <m:r>
                <m:rPr>
                  <m:sty m:val="p"/>
                </m:rPr>
                <m:t>−</m:t>
              </m:r>
              <m:r>
                <m:t>1</m:t>
              </m:r>
            </m:sub>
          </m:sSub>
          <m:r>
            <m:rPr>
              <m:sty m:val="p"/>
            </m:rPr>
            <m:t>]</m:t>
          </m:r>
          <m:r>
            <m:rPr>
              <m:sty m:val="p"/>
            </m:rPr>
            <m:t>+</m:t>
          </m:r>
          <m:sSub>
            <m:e>
              <m:r>
                <m:t>b</m:t>
              </m:r>
            </m:e>
            <m:sub>
              <m:r>
                <m:t>h</m:t>
              </m:r>
            </m:sub>
          </m:sSub>
          <m:r>
            <m:rPr>
              <m:sty m:val="p"/>
            </m:rPr>
            <m:t>)</m:t>
          </m:r>
          <m:r>
            <m:t> </m:t>
          </m:r>
          <m:r>
            <m:rPr>
              <m:nor/>
              <m:sty m:val="p"/>
            </m:rPr>
            <m:t>(candidate)</m:t>
          </m:r>
        </m:oMath>
      </m:oMathPara>
    </w:p>
    <w:p>
      <w:pPr>
        <w:pStyle w:val="FirstParagraph"/>
      </w:pPr>
      <m:oMathPara>
        <m:oMathParaPr>
          <m:jc m:val="center"/>
        </m:oMathParaPr>
        <m:oMath>
          <m:sSub>
            <m:e>
              <m:r>
                <m:t>h</m:t>
              </m:r>
            </m:e>
            <m:sub>
              <m:r>
                <m:t>t</m:t>
              </m:r>
            </m:sub>
          </m:sSub>
          <m:r>
            <m:rPr>
              <m:sty m:val="p"/>
            </m:rPr>
            <m:t>=</m:t>
          </m:r>
          <m:r>
            <m:rPr>
              <m:sty m:val="p"/>
            </m:rPr>
            <m:t>(</m:t>
          </m:r>
          <m:r>
            <m:t>1</m:t>
          </m:r>
          <m:r>
            <m:rPr>
              <m:sty m:val="p"/>
            </m:rPr>
            <m:t>−</m:t>
          </m:r>
          <m:sSub>
            <m:e>
              <m:r>
                <m:t>z</m:t>
              </m:r>
            </m:e>
            <m:sub>
              <m:r>
                <m:t>t</m:t>
              </m:r>
            </m:sub>
          </m:sSub>
          <m:r>
            <m:rPr>
              <m:sty m:val="p"/>
            </m:rPr>
            <m:t>)</m:t>
          </m:r>
          <m:r>
            <m:rPr>
              <m:sty m:val="p"/>
            </m:rPr>
            <m:t>⊙</m:t>
          </m:r>
          <m:sSub>
            <m:e>
              <m:r>
                <m:t>h</m:t>
              </m:r>
            </m:e>
            <m:sub>
              <m:r>
                <m:t>t</m:t>
              </m:r>
              <m:r>
                <m:rPr>
                  <m:sty m:val="p"/>
                </m:rPr>
                <m:t>−</m:t>
              </m:r>
              <m:r>
                <m:t>1</m:t>
              </m:r>
            </m:sub>
          </m:sSub>
          <m:r>
            <m:rPr>
              <m:sty m:val="p"/>
            </m:rPr>
            <m:t>+</m:t>
          </m:r>
          <m:sSub>
            <m:e>
              <m:r>
                <m:t>z</m:t>
              </m:r>
            </m:e>
            <m:sub>
              <m:r>
                <m:t>t</m:t>
              </m:r>
            </m:sub>
          </m:sSub>
          <m:r>
            <m:rPr>
              <m:sty m:val="p"/>
            </m:rPr>
            <m:t>⊙</m:t>
          </m:r>
          <m:sSub>
            <m:e>
              <m:acc>
                <m:accPr>
                  <m:chr m:val="̃"/>
                </m:accPr>
                <m:e>
                  <m:r>
                    <m:t>h</m:t>
                  </m:r>
                </m:e>
              </m:acc>
            </m:e>
            <m:sub>
              <m:r>
                <m:t>t</m:t>
              </m:r>
            </m:sub>
          </m:sSub>
          <m:r>
            <m:t> </m:t>
          </m:r>
          <m:r>
            <m:rPr>
              <m:nor/>
              <m:sty m:val="p"/>
            </m:rPr>
            <m:t>(new hidden state)</m:t>
          </m:r>
        </m:oMath>
      </m:oMathPara>
    </w:p>
    <w:p>
      <w:pPr>
        <w:pStyle w:val="FirstParagraph"/>
      </w:pPr>
      <w:r>
        <w:t xml:space="preserve">Here</w:t>
      </w:r>
      <w:r>
        <w:t xml:space="preserve"> </w:t>
      </w:r>
      <m:oMath>
        <m:r>
          <m:rPr>
            <m:sty m:val="p"/>
          </m:rPr>
          <m:t>⊙</m:t>
        </m:r>
      </m:oMath>
      <w:r>
        <w:t xml:space="preserve"> </w:t>
      </w:r>
      <w:r>
        <w:t xml:space="preserve">is element-wise multiplication.</w:t>
      </w:r>
      <w:r>
        <w:t xml:space="preserve"> </w:t>
      </w:r>
      <w:r>
        <w:rPr>
          <w:b/>
          <w:bCs/>
        </w:rPr>
        <w:t xml:space="preserve">In words:</w:t>
      </w:r>
      <w:r>
        <w:t xml:space="preserve"> </w:t>
      </w:r>
      <w:r>
        <w:t xml:space="preserve">The GRU decides how much to</w:t>
      </w:r>
      <w:r>
        <w:t xml:space="preserve"> </w:t>
      </w:r>
      <w:r>
        <w:t xml:space="preserve">“remember”</w:t>
      </w:r>
      <w:r>
        <w:t xml:space="preserve"> </w:t>
      </w:r>
      <w:r>
        <w:t xml:space="preserve">from the past (</w:t>
      </w:r>
      <m:oMath>
        <m:sSub>
          <m:e>
            <m:r>
              <m:t>h</m:t>
            </m:r>
          </m:e>
          <m:sub>
            <m:r>
              <m:t>t</m:t>
            </m:r>
            <m:r>
              <m:rPr>
                <m:sty m:val="p"/>
              </m:rPr>
              <m:t>−</m:t>
            </m:r>
            <m:r>
              <m:t>1</m:t>
            </m:r>
          </m:sub>
        </m:sSub>
      </m:oMath>
      <w:r>
        <w:t xml:space="preserve">) vs. incorporate the new graph snapshot. This lets the model learn patterns like</w:t>
      </w:r>
      <w:r>
        <w:t xml:space="preserve"> </w:t>
      </w:r>
      <w:r>
        <w:t xml:space="preserve">“vessels that repeatedly co-occur over time.”</w:t>
      </w:r>
    </w:p>
    <w:bookmarkEnd w:id="24"/>
    <w:bookmarkStart w:id="25" w:name="link-prediction-score"/>
    <w:p>
      <w:pPr>
        <w:pStyle w:val="Heading3"/>
      </w:pPr>
      <w:r>
        <w:t xml:space="preserve">Link Prediction Score</w:t>
      </w:r>
    </w:p>
    <w:p>
      <w:pPr>
        <w:pStyle w:val="FirstParagraph"/>
      </w:pPr>
      <w:r>
        <w:t xml:space="preserve">For a candidate pair</w:t>
      </w:r>
      <w:r>
        <w:t xml:space="preserve"> </w:t>
      </w:r>
      <m:oMath>
        <m:r>
          <m:rPr>
            <m:sty m:val="p"/>
          </m:rPr>
          <m:t>(</m:t>
        </m:r>
        <m:r>
          <m:t>u</m:t>
        </m:r>
        <m:r>
          <m:rPr>
            <m:sty m:val="p"/>
          </m:rPr>
          <m:t>,</m:t>
        </m:r>
        <m:r>
          <m:t>v</m:t>
        </m:r>
        <m:r>
          <m:rPr>
            <m:sty m:val="p"/>
          </m:rPr>
          <m:t>)</m:t>
        </m:r>
      </m:oMath>
      <w:r>
        <w:t xml:space="preserve"> </w:t>
      </w:r>
      <w:r>
        <w:t xml:space="preserve">not in the training graph, we score it by the</w:t>
      </w:r>
      <w:r>
        <w:t xml:space="preserve"> </w:t>
      </w:r>
      <w:r>
        <w:rPr>
          <w:b/>
          <w:bCs/>
        </w:rPr>
        <w:t xml:space="preserve">dot product</w:t>
      </w:r>
      <w:r>
        <w:t xml:space="preserve"> </w:t>
      </w:r>
      <w:r>
        <w:t xml:space="preserve">of their learned embeddings:</w:t>
      </w:r>
    </w:p>
    <w:p>
      <w:pPr>
        <w:pStyle w:val="BodyText"/>
      </w:pPr>
      <m:oMathPara>
        <m:oMathParaPr>
          <m:jc m:val="center"/>
        </m:oMathParaPr>
        <m:oMath>
          <m:r>
            <m:rPr>
              <m:nor/>
              <m:sty m:val="p"/>
            </m:rPr>
            <m:t>score</m:t>
          </m:r>
          <m:r>
            <m:rPr>
              <m:sty m:val="p"/>
            </m:rPr>
            <m:t>(</m:t>
          </m:r>
          <m:r>
            <m:t>u</m:t>
          </m:r>
          <m:r>
            <m:rPr>
              <m:sty m:val="p"/>
            </m:rPr>
            <m:t>,</m:t>
          </m:r>
          <m:r>
            <m:t>v</m:t>
          </m:r>
          <m:r>
            <m:rPr>
              <m:sty m:val="p"/>
            </m:rPr>
            <m:t>)</m:t>
          </m:r>
          <m:r>
            <m:rPr>
              <m:sty m:val="p"/>
            </m:rPr>
            <m:t>=</m:t>
          </m:r>
          <m:sSubSup>
            <m:e>
              <m:r>
                <m:t>h</m:t>
              </m:r>
            </m:e>
            <m:sub>
              <m:r>
                <m:t>u</m:t>
              </m:r>
            </m:sub>
            <m:sup>
              <m:r>
                <m:rPr>
                  <m:sty m:val="p"/>
                </m:rPr>
                <m:t>⊤</m:t>
              </m:r>
            </m:sup>
          </m:sSubSup>
          <m:sSub>
            <m:e>
              <m:r>
                <m:t>h</m:t>
              </m:r>
            </m:e>
            <m:sub>
              <m:r>
                <m:t>v</m:t>
              </m:r>
            </m:sub>
          </m:sSub>
          <m:r>
            <m:rPr>
              <m:sty m:val="p"/>
            </m:rPr>
            <m:t>=</m:t>
          </m:r>
          <m:nary>
            <m:naryPr>
              <m:chr m:val="∑"/>
              <m:limLoc m:val="undOvr"/>
              <m:subHide m:val="off"/>
              <m:supHide m:val="off"/>
            </m:naryPr>
            <m:sub>
              <m:r>
                <m:t>k</m:t>
              </m:r>
              <m:r>
                <m:rPr>
                  <m:sty m:val="p"/>
                </m:rPr>
                <m:t>=</m:t>
              </m:r>
              <m:r>
                <m:t>1</m:t>
              </m:r>
            </m:sub>
            <m:sup>
              <m:r>
                <m:t>d</m:t>
              </m:r>
            </m:sup>
            <m:e>
              <m:sSub>
                <m:e>
                  <m:r>
                    <m:t>h</m:t>
                  </m:r>
                </m:e>
                <m:sub>
                  <m:r>
                    <m:t>u</m:t>
                  </m:r>
                  <m:r>
                    <m:rPr>
                      <m:sty m:val="p"/>
                    </m:rPr>
                    <m:t>,</m:t>
                  </m:r>
                  <m:r>
                    <m:t>k</m:t>
                  </m:r>
                </m:sub>
              </m:sSub>
            </m:e>
          </m:nary>
          <m:r>
            <m:rPr>
              <m:sty m:val="p"/>
            </m:rPr>
            <m:t>⋅</m:t>
          </m:r>
          <m:sSub>
            <m:e>
              <m:r>
                <m:t>h</m:t>
              </m:r>
            </m:e>
            <m:sub>
              <m:r>
                <m:t>v</m:t>
              </m:r>
              <m:r>
                <m:rPr>
                  <m:sty m:val="p"/>
                </m:rPr>
                <m:t>,</m:t>
              </m:r>
              <m:r>
                <m:t>k</m:t>
              </m:r>
            </m:sub>
          </m:sSub>
        </m:oMath>
      </m:oMathPara>
    </w:p>
    <w:p>
      <w:pPr>
        <w:pStyle w:val="FirstParagraph"/>
      </w:pPr>
      <w:r>
        <w:t xml:space="preserve">where</w:t>
      </w:r>
      <w:r>
        <w:t xml:space="preserve"> </w:t>
      </w:r>
      <m:oMath>
        <m:sSub>
          <m:e>
            <m:r>
              <m:t>h</m:t>
            </m:r>
          </m:e>
          <m:sub>
            <m:r>
              <m:t>u</m:t>
            </m:r>
          </m:sub>
        </m:sSub>
        <m:r>
          <m:rPr>
            <m:sty m:val="p"/>
          </m:rPr>
          <m:t>,</m:t>
        </m:r>
        <m:sSub>
          <m:e>
            <m:r>
              <m:t>h</m:t>
            </m:r>
          </m:e>
          <m:sub>
            <m:r>
              <m:t>v</m:t>
            </m:r>
          </m:sub>
        </m:sSub>
        <m:r>
          <m:rPr>
            <m:sty m:val="p"/>
          </m:rPr>
          <m:t>∈</m:t>
        </m:r>
        <m:sSup>
          <m:e>
            <m:r>
              <m:rPr>
                <m:scr m:val="double-struck"/>
                <m:sty m:val="p"/>
              </m:rPr>
              <m:t>R</m:t>
            </m:r>
          </m:e>
          <m:sup>
            <m:r>
              <m:t>d</m:t>
            </m:r>
          </m:sup>
        </m:sSup>
      </m:oMath>
      <w:r>
        <w:t xml:space="preserve"> </w:t>
      </w:r>
      <w:r>
        <w:t xml:space="preserve">are the final hidden states (embeddings) from the TGCN.</w:t>
      </w:r>
      <w:r>
        <w:t xml:space="preserve"> </w:t>
      </w:r>
      <w:r>
        <w:rPr>
          <w:b/>
          <w:bCs/>
        </w:rPr>
        <w:t xml:space="preserve">Higher score</w:t>
      </w:r>
      <w:r>
        <w:t xml:space="preserve"> </w:t>
      </w:r>
      <w:r>
        <w:t xml:space="preserve">= model thinks the pair is more likely to be linked (co-occur).</w:t>
      </w:r>
    </w:p>
    <w:bookmarkEnd w:id="25"/>
    <w:bookmarkStart w:id="26" w:name="training-loss-bce"/>
    <w:p>
      <w:pPr>
        <w:pStyle w:val="Heading3"/>
      </w:pPr>
      <w:r>
        <w:t xml:space="preserve">Training Loss (BCE)</w:t>
      </w:r>
    </w:p>
    <w:p>
      <w:pPr>
        <w:pStyle w:val="FirstParagraph"/>
      </w:pPr>
      <w:r>
        <w:t xml:space="preserve">We train with binary cross-entropy on positive (real edges) vs. negative (random non-edges):</w:t>
      </w:r>
    </w:p>
    <w:p>
      <w:pPr>
        <w:pStyle w:val="BodyText"/>
      </w:pPr>
      <m:oMathPara>
        <m:oMathParaPr>
          <m:jc m:val="center"/>
        </m:oMathParaPr>
        <m:oMath>
          <m:r>
            <m:rPr>
              <m:scr m:val="script"/>
              <m:sty m:val="p"/>
            </m:rPr>
            <m:t>L</m:t>
          </m:r>
          <m:r>
            <m:rPr>
              <m:sty m:val="p"/>
            </m:rPr>
            <m:t>=</m:t>
          </m:r>
          <m:r>
            <m:rPr>
              <m:sty m:val="p"/>
            </m:rPr>
            <m:t>−</m:t>
          </m:r>
          <m:f>
            <m:fPr>
              <m:type m:val="bar"/>
            </m:fPr>
            <m:num>
              <m:r>
                <m:t>1</m:t>
              </m:r>
            </m:num>
            <m:den>
              <m:r>
                <m:t>N</m:t>
              </m:r>
            </m:den>
          </m:f>
          <m:nary>
            <m:naryPr>
              <m:chr m:val="∑"/>
              <m:limLoc m:val="undOvr"/>
              <m:subHide m:val="off"/>
              <m:supHide m:val="on"/>
            </m:naryPr>
            <m:sub>
              <m:r>
                <m:t>i</m:t>
              </m:r>
            </m:sub>
            <m:sup>
              <m:r>
                <m:t>​</m:t>
              </m:r>
            </m:sup>
            <m:e>
              <m:d>
                <m:dPr>
                  <m:begChr m:val="["/>
                  <m:sepChr m:val=""/>
                  <m:endChr m:val="]"/>
                  <m:grow/>
                </m:dPr>
                <m:e>
                  <m:sSub>
                    <m:e>
                      <m:r>
                        <m:t>y</m:t>
                      </m:r>
                    </m:e>
                    <m:sub>
                      <m:r>
                        <m:t>i</m:t>
                      </m:r>
                    </m:sub>
                  </m:sSub>
                  <m:r>
                    <m:rPr>
                      <m:sty m:val="p"/>
                    </m:rPr>
                    <m:t>log</m:t>
                  </m:r>
                  <m:r>
                    <m:t>σ</m:t>
                  </m:r>
                  <m:r>
                    <m:rPr>
                      <m:sty m:val="p"/>
                    </m:rPr>
                    <m:t>(</m:t>
                  </m:r>
                  <m:sSub>
                    <m:e>
                      <m:r>
                        <m:t>s</m:t>
                      </m:r>
                    </m:e>
                    <m:sub>
                      <m:r>
                        <m:t>i</m:t>
                      </m:r>
                    </m:sub>
                  </m:sSub>
                  <m:r>
                    <m:rPr>
                      <m:sty m:val="p"/>
                    </m:rPr>
                    <m:t>)</m:t>
                  </m:r>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r>
                    <m:t>σ</m:t>
                  </m:r>
                  <m:r>
                    <m:rPr>
                      <m:sty m:val="p"/>
                    </m:rPr>
                    <m:t>(</m:t>
                  </m:r>
                  <m:sSub>
                    <m:e>
                      <m:r>
                        <m:t>s</m:t>
                      </m:r>
                    </m:e>
                    <m:sub>
                      <m:r>
                        <m:t>i</m:t>
                      </m:r>
                    </m:sub>
                  </m:sSub>
                  <m:r>
                    <m:rPr>
                      <m:sty m:val="p"/>
                    </m:rPr>
                    <m:t>)</m:t>
                  </m:r>
                  <m:r>
                    <m:rPr>
                      <m:sty m:val="p"/>
                    </m:rPr>
                    <m:t>)</m:t>
                  </m:r>
                </m:e>
              </m:d>
            </m:e>
          </m:nary>
        </m:oMath>
      </m:oMathPara>
    </w:p>
    <w:p>
      <w:pPr>
        <w:pStyle w:val="FirstParagraph"/>
      </w:pPr>
      <w:r>
        <w:t xml:space="preserve">where</w:t>
      </w:r>
      <w:r>
        <w:t xml:space="preserve"> </w:t>
      </w:r>
      <m:oMath>
        <m:sSub>
          <m:e>
            <m:r>
              <m:t>y</m:t>
            </m:r>
          </m:e>
          <m:sub>
            <m:r>
              <m:t>i</m:t>
            </m:r>
          </m:sub>
        </m:sSub>
        <m:r>
          <m:rPr>
            <m:sty m:val="p"/>
          </m:rPr>
          <m:t>∈</m:t>
        </m:r>
        <m:r>
          <m:rPr>
            <m:sty m:val="p"/>
          </m:rPr>
          <m:t>{</m:t>
        </m:r>
        <m:r>
          <m:t>0</m:t>
        </m:r>
        <m:r>
          <m:rPr>
            <m:sty m:val="p"/>
          </m:rPr>
          <m:t>,</m:t>
        </m:r>
        <m:r>
          <m:t>1</m:t>
        </m:r>
        <m:r>
          <m:rPr>
            <m:sty m:val="p"/>
          </m:rPr>
          <m:t>}</m:t>
        </m:r>
      </m:oMath>
      <w:r>
        <w:t xml:space="preserve"> </w:t>
      </w:r>
      <w:r>
        <w:t xml:space="preserve">is the label,</w:t>
      </w:r>
      <w:r>
        <w:t xml:space="preserve"> </w:t>
      </w:r>
      <m:oMath>
        <m:sSub>
          <m:e>
            <m:r>
              <m:t>s</m:t>
            </m:r>
          </m:e>
          <m:sub>
            <m:r>
              <m:t>i</m:t>
            </m:r>
          </m:sub>
        </m:sSub>
      </m:oMath>
      <w:r>
        <w:t xml:space="preserve"> </w:t>
      </w:r>
      <w:r>
        <w:t xml:space="preserve">is the score for pair</w:t>
      </w:r>
      <w:r>
        <w:t xml:space="preserve"> </w:t>
      </w:r>
      <m:oMath>
        <m:r>
          <m:t>i</m:t>
        </m:r>
      </m:oMath>
      <w:r>
        <w:t xml:space="preserve">, and</w:t>
      </w:r>
      <w:r>
        <w:t xml:space="preserve"> </w:t>
      </w:r>
      <m:oMath>
        <m:r>
          <m:t>σ</m:t>
        </m:r>
      </m:oMath>
      <w:r>
        <w:t xml:space="preserve"> </w:t>
      </w:r>
      <w:r>
        <w:t xml:space="preserve">is the sigmoid.</w:t>
      </w:r>
      <w:r>
        <w:t xml:space="preserve"> </w:t>
      </w:r>
      <w:r>
        <w:rPr>
          <w:b/>
          <w:bCs/>
        </w:rPr>
        <w:t xml:space="preserve">In words:</w:t>
      </w:r>
      <w:r>
        <w:t xml:space="preserve"> </w:t>
      </w:r>
      <w:r>
        <w:t xml:space="preserve">We push scores of real edges toward 1 and scores of random non-edges toward 0.</w:t>
      </w:r>
    </w:p>
    <w:bookmarkEnd w:id="26"/>
    <w:bookmarkStart w:id="27" w:name="evaluation-metrics"/>
    <w:p>
      <w:pPr>
        <w:pStyle w:val="Heading3"/>
      </w:pPr>
      <w:r>
        <w:t xml:space="preserve">Evaluation Metrics</w:t>
      </w:r>
    </w:p>
    <w:p>
      <w:pPr>
        <w:pStyle w:val="Compact"/>
        <w:numPr>
          <w:ilvl w:val="0"/>
          <w:numId w:val="1009"/>
        </w:numPr>
      </w:pPr>
      <w:r>
        <w:rPr>
          <w:b/>
          <w:bCs/>
        </w:rPr>
        <w:t xml:space="preserve">ROC AUC:</w:t>
      </w:r>
      <w:r>
        <w:t xml:space="preserve"> </w:t>
      </w:r>
      <w:r>
        <w:t xml:space="preserve">Area under the curve of True Positive Rate vs. False Positive Rate as we vary the score threshold. AUC = 0.5 means random; AUC = 1.0 means perfect ranking.</w:t>
      </w:r>
    </w:p>
    <w:p>
      <w:pPr>
        <w:pStyle w:val="Compact"/>
        <w:numPr>
          <w:ilvl w:val="0"/>
          <w:numId w:val="1009"/>
        </w:numPr>
      </w:pPr>
      <w:r>
        <w:rPr>
          <w:b/>
          <w:bCs/>
        </w:rPr>
        <w:t xml:space="preserve">Average Precision (AP):</w:t>
      </w:r>
      <w:r>
        <w:t xml:space="preserve"> </w:t>
      </w:r>
      <w:r>
        <w:t xml:space="preserve">Area under the precision-recall curve. Emphasizes how well we rank the few true positives at the top.</w:t>
      </w:r>
    </w:p>
    <w:bookmarkEnd w:id="27"/>
    <w:bookmarkStart w:id="28" w:name="temporal-node-features-summary"/>
    <w:p>
      <w:pPr>
        <w:pStyle w:val="Heading3"/>
      </w:pPr>
      <w:r>
        <w:t xml:space="preserve">Temporal Node Features (Summary)</w:t>
      </w:r>
    </w:p>
    <w:p>
      <w:pPr>
        <w:pStyle w:val="FirstParagraph"/>
      </w:pPr>
      <w:r>
        <w:t xml:space="preserve">For each vessel</w:t>
      </w:r>
      <w:r>
        <w:t xml:space="preserve"> </w:t>
      </w:r>
      <m:oMath>
        <m:r>
          <m:t>v</m:t>
        </m:r>
      </m:oMath>
      <w:r>
        <w:t xml:space="preserve"> </w:t>
      </w:r>
      <w:r>
        <w:t xml:space="preserve">in the training period:</w:t>
      </w:r>
      <w:r>
        <w:t xml:space="preserve"> </w:t>
      </w:r>
      <w:r>
        <w:rPr>
          <w:i/>
          <w:iCs/>
        </w:rPr>
        <w:t xml:space="preserve">interactions_count</w:t>
      </w:r>
      <w:r>
        <w:t xml:space="preserve"> </w:t>
      </w:r>
      <w:r>
        <w:t xml:space="preserve">= number of edges,</w:t>
      </w:r>
      <w:r>
        <w:t xml:space="preserve"> </w:t>
      </w:r>
      <w:r>
        <w:rPr>
          <w:i/>
          <w:iCs/>
        </w:rPr>
        <w:t xml:space="preserve">unique_partners</w:t>
      </w:r>
      <w:r>
        <w:t xml:space="preserve"> </w:t>
      </w:r>
      <w:r>
        <w:t xml:space="preserve">= number of distinct neighbors,</w:t>
      </w:r>
      <w:r>
        <w:t xml:space="preserve"> </w:t>
      </w:r>
      <w:r>
        <w:rPr>
          <w:i/>
          <w:iCs/>
        </w:rPr>
        <w:t xml:space="preserve">last_seen_days</w:t>
      </w:r>
      <w:r>
        <w:t xml:space="preserve"> </w:t>
      </w:r>
      <w:r>
        <w:t xml:space="preserve">= days since last edge,</w:t>
      </w:r>
      <w:r>
        <w:t xml:space="preserve"> </w:t>
      </w:r>
      <w:r>
        <w:rPr>
          <w:i/>
          <w:iCs/>
        </w:rPr>
        <w:t xml:space="preserve">mean_gap_days</w:t>
      </w:r>
      <w:r>
        <w:t xml:space="preserve"> </w:t>
      </w:r>
      <w:r>
        <w:t xml:space="preserve">= mean interval between edges. These are standardized and concatenated with node degree as input</w:t>
      </w:r>
      <w:r>
        <w:t xml:space="preserve"> </w:t>
      </w:r>
      <m:oMath>
        <m:sSub>
          <m:e>
            <m:r>
              <m:t>X</m:t>
            </m:r>
          </m:e>
          <m:sub>
            <m:r>
              <m:t>t</m:t>
            </m:r>
          </m:sub>
        </m:sSub>
      </m:oMath>
      <w:r>
        <w:t xml:space="preserve">.</w:t>
      </w:r>
    </w:p>
    <w:p>
      <w:r>
        <w:pict>
          <v:rect style="width:0;height:1.5pt" o:hralign="center" o:hrstd="t" o:hr="t"/>
        </w:pict>
      </w:r>
    </w:p>
    <w:bookmarkEnd w:id="28"/>
    <w:bookmarkEnd w:id="29"/>
    <w:bookmarkEnd w:id="30"/>
    <w:bookmarkStart w:id="33" w:name="results"/>
    <w:p>
      <w:pPr>
        <w:pStyle w:val="Heading1"/>
      </w:pPr>
      <w:r>
        <w:t xml:space="preserve">4. Results</w:t>
      </w:r>
    </w:p>
    <w:bookmarkStart w:id="31" w:name="baseline-performance-explained"/>
    <w:p>
      <w:pPr>
        <w:pStyle w:val="Heading2"/>
      </w:pPr>
      <w:r>
        <w:t xml:space="preserve">4.1 Baseline Performance (Explained)</w:t>
      </w:r>
    </w:p>
    <w:tbl>
      <w:tblPr>
        <w:tblStyle w:val="Table"/>
        <w:tblW w:type="pct" w:w="5000"/>
        <w:tblLayout w:type="fixed"/>
        <w:tblLook w:firstRow="1" w:lastRow="0" w:firstColumn="0" w:lastColumn="0" w:noHBand="0" w:noVBand="0" w:val="0020"/>
      </w:tblPr>
      <w:tblGrid>
        <w:gridCol w:w="2376"/>
        <w:gridCol w:w="1848"/>
        <w:gridCol w:w="2376"/>
        <w:gridCol w:w="1320"/>
      </w:tblGrid>
      <w:tr>
        <w:trPr>
          <w:tblHeader w:val="on"/>
        </w:trPr>
        <w:tc>
          <w:tcPr/>
          <w:p>
            <w:pPr>
              <w:pStyle w:val="Compact"/>
            </w:pPr>
            <w:r>
              <w:t xml:space="preserve">Setting</w:t>
            </w:r>
          </w:p>
        </w:tc>
        <w:tc>
          <w:tcPr/>
          <w:p>
            <w:pPr>
              <w:pStyle w:val="Compact"/>
            </w:pPr>
            <w:r>
              <w:t xml:space="preserve">Model</w:t>
            </w:r>
          </w:p>
        </w:tc>
        <w:tc>
          <w:tcPr/>
          <w:p>
            <w:pPr>
              <w:pStyle w:val="Compact"/>
            </w:pPr>
            <w:r>
              <w:t xml:space="preserve">ROC AUC</w:t>
            </w:r>
          </w:p>
        </w:tc>
        <w:tc>
          <w:tcPr/>
          <w:p>
            <w:pPr>
              <w:pStyle w:val="Compact"/>
            </w:pPr>
            <w:r>
              <w:t xml:space="preserve">AP</w:t>
            </w:r>
          </w:p>
        </w:tc>
      </w:tr>
      <w:tr>
        <w:tc>
          <w:tcPr/>
          <w:p>
            <w:pPr>
              <w:pStyle w:val="Compact"/>
            </w:pPr>
            <w:r>
              <w:t xml:space="preserve">Full coverage (2012-2019)</w:t>
            </w:r>
          </w:p>
        </w:tc>
        <w:tc>
          <w:tcPr/>
          <w:p>
            <w:pPr>
              <w:pStyle w:val="Compact"/>
            </w:pPr>
            <w:r>
              <w:t xml:space="preserve">TGCN + temporal features</w:t>
            </w:r>
          </w:p>
        </w:tc>
        <w:tc>
          <w:tcPr/>
          <w:p>
            <w:pPr>
              <w:pStyle w:val="Compact"/>
            </w:pPr>
            <w:r>
              <w:t xml:space="preserve">~ 0.679</w:t>
            </w:r>
          </w:p>
        </w:tc>
        <w:tc>
          <w:tcPr/>
          <w:p>
            <w:pPr>
              <w:pStyle w:val="Compact"/>
            </w:pPr>
            <w:r>
              <w:t xml:space="preserve">~ 0.695</w:t>
            </w:r>
          </w:p>
        </w:tc>
      </w:tr>
      <w:tr>
        <w:tc>
          <w:tcPr/>
          <w:p>
            <w:pPr>
              <w:pStyle w:val="Compact"/>
            </w:pPr>
            <w:r>
              <w:t xml:space="preserve">Full coverage (1500 train buckets)</w:t>
            </w:r>
          </w:p>
        </w:tc>
        <w:tc>
          <w:tcPr/>
          <w:p>
            <w:pPr>
              <w:pStyle w:val="Compact"/>
            </w:pPr>
            <w:r>
              <w:t xml:space="preserve">TGCN + temporal, emb32, ep5, lr0.001</w:t>
            </w:r>
          </w:p>
        </w:tc>
        <w:tc>
          <w:tcPr/>
          <w:p>
            <w:pPr>
              <w:pStyle w:val="Compact"/>
            </w:pPr>
            <w:r>
              <w:t xml:space="preserve">~ 0.78</w:t>
            </w:r>
          </w:p>
        </w:tc>
        <w:tc>
          <w:tcPr/>
          <w:p>
            <w:pPr>
              <w:pStyle w:val="Compact"/>
            </w:pPr>
            <w:r>
              <w:t xml:space="preserve">~ 0.80</w:t>
            </w:r>
          </w:p>
        </w:tc>
      </w:tr>
      <w:tr>
        <w:tc>
          <w:tcPr/>
          <w:p>
            <w:pPr>
              <w:pStyle w:val="Compact"/>
            </w:pPr>
            <w:r>
              <w:t xml:space="preserve">Capped graph (reproducible)</w:t>
            </w:r>
          </w:p>
        </w:tc>
        <w:tc>
          <w:tcPr/>
          <w:p>
            <w:pPr>
              <w:pStyle w:val="Compact"/>
            </w:pPr>
            <w:r>
              <w:t xml:space="preserve">TGCN + temporal features</w:t>
            </w:r>
          </w:p>
        </w:tc>
        <w:tc>
          <w:tcPr/>
          <w:p>
            <w:pPr>
              <w:pStyle w:val="Compact"/>
            </w:pPr>
            <w:r>
              <w:t xml:space="preserve">~ 0.95</w:t>
            </w:r>
          </w:p>
        </w:tc>
        <w:tc>
          <w:tcPr/>
          <w:p>
            <w:pPr>
              <w:pStyle w:val="Compact"/>
            </w:pPr>
            <w:r>
              <w:t xml:space="preserve">~ 0.97</w:t>
            </w:r>
          </w:p>
        </w:tc>
      </w:tr>
      <w:tr>
        <w:tc>
          <w:tcPr/>
          <w:p>
            <w:pPr>
              <w:pStyle w:val="Compact"/>
            </w:pPr>
            <w:r>
              <w:t xml:space="preserve">Capped graph (tuned)</w:t>
            </w:r>
          </w:p>
        </w:tc>
        <w:tc>
          <w:tcPr/>
          <w:p>
            <w:pPr>
              <w:pStyle w:val="Compact"/>
            </w:pPr>
            <w:r>
              <w:t xml:space="preserve">TGCN + temporal, emb32, ep5, lr0.001</w:t>
            </w:r>
          </w:p>
        </w:tc>
        <w:tc>
          <w:tcPr/>
          <w:p>
            <w:pPr>
              <w:pStyle w:val="Compact"/>
            </w:pPr>
            <w:r>
              <w:t xml:space="preserve">~ 0.995</w:t>
            </w:r>
          </w:p>
        </w:tc>
        <w:tc>
          <w:tcPr/>
          <w:p>
            <w:pPr>
              <w:pStyle w:val="Compact"/>
            </w:pPr>
            <w:r>
              <w:t xml:space="preserve">~ 0.99</w:t>
            </w:r>
          </w:p>
        </w:tc>
      </w:tr>
      <w:tr>
        <w:tc>
          <w:tcPr/>
          <w:p>
            <w:pPr>
              <w:pStyle w:val="Compact"/>
            </w:pPr>
            <w:r>
              <w:t xml:space="preserve">Capped graph (5-fold CV)</w:t>
            </w:r>
          </w:p>
        </w:tc>
        <w:tc>
          <w:tcPr/>
          <w:p>
            <w:pPr>
              <w:pStyle w:val="Compact"/>
            </w:pPr>
            <w:r>
              <w:t xml:space="preserve">TGCN + temporal, emb32, ep5, lr0.001</w:t>
            </w:r>
          </w:p>
        </w:tc>
        <w:tc>
          <w:tcPr/>
          <w:p>
            <w:pPr>
              <w:pStyle w:val="Compact"/>
            </w:pPr>
            <w:r>
              <w:t xml:space="preserve">0.927 ± 0.067</w:t>
            </w:r>
          </w:p>
        </w:tc>
        <w:tc>
          <w:tcPr/>
          <w:p>
            <w:pPr>
              <w:pStyle w:val="Compact"/>
            </w:pPr>
            <w:r>
              <w:t xml:space="preserve">0.947 ± 0.048</w:t>
            </w:r>
          </w:p>
        </w:tc>
      </w:tr>
    </w:tbl>
    <w:p>
      <w:pPr>
        <w:pStyle w:val="BodyText"/>
      </w:pPr>
      <w:r>
        <w:rPr>
          <w:b/>
          <w:bCs/>
        </w:rPr>
        <w:t xml:space="preserve">Why the difference?</w:t>
      </w:r>
      <w:r>
        <w:t xml:space="preserve"> </w:t>
      </w:r>
      <w:r>
        <w:t xml:space="preserve">The full-coverage run uses all 876 time buckets and many more edges - it is a harder, more realistic setting. Using –max-train-buckets 1500 (Mac-friendly) yields ROC AUC ~0.78, improving over the original. The capped graph uses fewer edges and a smaller graph, so the model achieves higher metrics. Hyperparameter tuning on the capped graph yields ROC AUC ~0.995 (best: embedding_dim=32, epochs=5, lr=0.001). We report both: the full-coverage result as the main benchmark, and the capped result to show the pipeline works and is reproducible on typical hardware.</w:t>
      </w:r>
    </w:p>
    <w:p>
      <w:pPr>
        <w:pStyle w:val="BodyText"/>
      </w:pPr>
      <w:r>
        <w:rPr>
          <w:b/>
          <w:bCs/>
        </w:rPr>
        <w:t xml:space="preserve">Key finding:</w:t>
      </w:r>
      <w:r>
        <w:t xml:space="preserve"> </w:t>
      </w:r>
      <w:r>
        <w:t xml:space="preserve">Time-split evaluation is substantially harder than random split. Earlier experiments with random splits reached ROC AUC ~0.93; time-split drops to ~0.68. Temporal features and temporal GNNs help compared to static baselines.</w:t>
      </w:r>
    </w:p>
    <w:p>
      <w:pPr>
        <w:pStyle w:val="BodyText"/>
      </w:pPr>
      <w:r>
        <w:rPr>
          <w:b/>
          <w:bCs/>
        </w:rPr>
        <w:t xml:space="preserve">Cross-validation:</w:t>
      </w:r>
      <w:r>
        <w:t xml:space="preserve"> </w:t>
      </w:r>
      <w:r>
        <w:t xml:space="preserve">Use</w:t>
      </w:r>
      <w:r>
        <w:t xml:space="preserve"> </w:t>
      </w:r>
      <w:r>
        <w:rPr>
          <w:rStyle w:val="VerbatimChar"/>
        </w:rPr>
        <w:t xml:space="preserve">--cv-folds 5</w:t>
      </w:r>
      <w:r>
        <w:t xml:space="preserve"> </w:t>
      </w:r>
      <w:r>
        <w:t xml:space="preserve">for rolling-window CV: each fold trains on an expanding window (50%–90% of buckets) and tests on the immediate future. Capped graph: ROC AUC 0.927 ± 0.067, AP 0.947 ± 0.048 across 5 folds.</w:t>
      </w:r>
    </w:p>
    <w:bookmarkEnd w:id="31"/>
    <w:bookmarkStart w:id="32" w:name="candidate-ranking-explained"/>
    <w:p>
      <w:pPr>
        <w:pStyle w:val="Heading2"/>
      </w:pPr>
      <w:r>
        <w:t xml:space="preserve">4.2 Candidate Ranking (Explained)</w:t>
      </w:r>
    </w:p>
    <w:p>
      <w:pPr>
        <w:pStyle w:val="Compact"/>
        <w:numPr>
          <w:ilvl w:val="0"/>
          <w:numId w:val="1010"/>
        </w:numPr>
      </w:pPr>
      <w:r>
        <w:rPr>
          <w:b/>
          <w:bCs/>
        </w:rPr>
        <w:t xml:space="preserve">Output:</w:t>
      </w:r>
      <w:r>
        <w:t xml:space="preserve"> </w:t>
      </w:r>
      <w:r>
        <w:t xml:space="preserve">We sample candidate non-edges (pairs not in the training graph), score them with the trained model, and rank by score. The top-1000 are saved to</w:t>
      </w:r>
      <w:r>
        <w:t xml:space="preserve"> </w:t>
      </w:r>
      <w:r>
        <w:rPr>
          <w:rStyle w:val="VerbatimChar"/>
        </w:rPr>
        <w:t xml:space="preserve">artifacts/tgcn_candidate_scores_fullcoverage.parquet</w:t>
      </w:r>
      <w:r>
        <w:t xml:space="preserve"> </w:t>
      </w:r>
      <w:r>
        <w:t xml:space="preserve">(1500-bucket model).</w:t>
      </w:r>
    </w:p>
    <w:p>
      <w:pPr>
        <w:pStyle w:val="Compact"/>
        <w:numPr>
          <w:ilvl w:val="0"/>
          <w:numId w:val="1010"/>
        </w:numPr>
      </w:pPr>
      <w:r>
        <w:rPr>
          <w:b/>
          <w:bCs/>
        </w:rPr>
        <w:t xml:space="preserve">Score interpretation:</w:t>
      </w:r>
      <w:r>
        <w:t xml:space="preserve"> </w:t>
      </w:r>
      <w:r>
        <w:t xml:space="preserve">The top-1000 scores are tightly clustered (mean ~ 30.5, std ~ 0.24 for the 1500-bucket model). We use the top-50/100 for manual review and the top-500/1000 for broader pattern analysis.</w:t>
      </w:r>
    </w:p>
    <w:p>
      <w:r>
        <w:pict>
          <v:rect style="width:0;height:1.5pt" o:hralign="center" o:hrstd="t" o:hr="t"/>
        </w:pict>
      </w:r>
    </w:p>
    <w:bookmarkEnd w:id="32"/>
    <w:bookmarkEnd w:id="33"/>
    <w:bookmarkStart w:id="34" w:name="X908ad9ca6e99be35e2a7eb07f0947d8559b9cbd"/>
    <w:p>
      <w:pPr>
        <w:pStyle w:val="Heading1"/>
      </w:pPr>
      <w:r>
        <w:t xml:space="preserve">5. Validation: Multi-Threshold Cross-Check (Explained)</w:t>
      </w:r>
    </w:p>
    <w:p>
      <w:pPr>
        <w:pStyle w:val="FirstParagraph"/>
      </w:pPr>
      <w:r>
        <w:t xml:space="preserve">The model ranks pairs by embedding similarity, but that does not guarantee they were actually close in the raw data. Many high-scoring pairs may simply fish in the same broad region. We therefore validate by checking: for each high-scoring pair, how many days were both vessels within a given distance, allowing a time window?</w:t>
      </w:r>
    </w:p>
    <w:tbl>
      <w:tblPr>
        <w:tblStyle w:val="Table"/>
        <w:tblW w:type="pct" w:w="5000"/>
        <w:tblLayout w:type="fixed"/>
        <w:tblLook w:firstRow="1" w:lastRow="0" w:firstColumn="0" w:lastColumn="0" w:noHBand="0" w:noVBand="0" w:val="0020"/>
      </w:tblPr>
      <w:tblGrid>
        <w:gridCol w:w="1893"/>
        <w:gridCol w:w="1549"/>
        <w:gridCol w:w="4476"/>
      </w:tblGrid>
      <w:tr>
        <w:trPr>
          <w:tblHeader w:val="on"/>
        </w:trPr>
        <w:tc>
          <w:tcPr/>
          <w:p>
            <w:pPr>
              <w:pStyle w:val="Compact"/>
            </w:pPr>
            <w:r>
              <w:t xml:space="preserve">Threshold</w:t>
            </w:r>
          </w:p>
        </w:tc>
        <w:tc>
          <w:tcPr/>
          <w:p>
            <w:pPr>
              <w:pStyle w:val="Compact"/>
            </w:pPr>
            <w:r>
              <w:t xml:space="preserve">Meaning</w:t>
            </w:r>
          </w:p>
        </w:tc>
        <w:tc>
          <w:tcPr/>
          <w:p>
            <w:pPr>
              <w:pStyle w:val="Compact"/>
            </w:pPr>
            <w:r>
              <w:t xml:space="preserve">Pairs with &gt;=1 close day</w:t>
            </w:r>
          </w:p>
        </w:tc>
      </w:tr>
      <w:tr>
        <w:tc>
          <w:tcPr/>
          <w:p>
            <w:pPr>
              <w:pStyle w:val="Compact"/>
            </w:pPr>
            <w:r>
              <w:rPr>
                <w:b/>
                <w:bCs/>
              </w:rPr>
              <w:t xml:space="preserve">25 km +-1 day</w:t>
            </w:r>
          </w:p>
        </w:tc>
        <w:tc>
          <w:tcPr/>
          <w:p>
            <w:pPr>
              <w:pStyle w:val="Compact"/>
            </w:pPr>
            <w:r>
              <w:t xml:space="preserve">Both vessels within 25 km, same day or +-1 day</w:t>
            </w:r>
          </w:p>
        </w:tc>
        <w:tc>
          <w:tcPr/>
          <w:p>
            <w:pPr>
              <w:pStyle w:val="Compact"/>
            </w:pPr>
            <w:r>
              <w:t xml:space="preserve">5</w:t>
            </w:r>
          </w:p>
        </w:tc>
      </w:tr>
      <w:tr>
        <w:tc>
          <w:tcPr/>
          <w:p>
            <w:pPr>
              <w:pStyle w:val="Compact"/>
            </w:pPr>
            <w:r>
              <w:rPr>
                <w:b/>
                <w:bCs/>
              </w:rPr>
              <w:t xml:space="preserve">50 km +-3 days</w:t>
            </w:r>
          </w:p>
        </w:tc>
        <w:tc>
          <w:tcPr/>
          <w:p>
            <w:pPr>
              <w:pStyle w:val="Compact"/>
            </w:pPr>
            <w:r>
              <w:t xml:space="preserve">Both within 50 km, within 3 days</w:t>
            </w:r>
          </w:p>
        </w:tc>
        <w:tc>
          <w:tcPr/>
          <w:p>
            <w:pPr>
              <w:pStyle w:val="Compact"/>
            </w:pPr>
            <w:r>
              <w:t xml:space="preserve">8</w:t>
            </w:r>
          </w:p>
        </w:tc>
      </w:tr>
      <w:tr>
        <w:tc>
          <w:tcPr/>
          <w:p>
            <w:pPr>
              <w:pStyle w:val="Compact"/>
            </w:pPr>
            <w:r>
              <w:rPr>
                <w:b/>
                <w:bCs/>
              </w:rPr>
              <w:t xml:space="preserve">100 km +-7 days</w:t>
            </w:r>
          </w:p>
        </w:tc>
        <w:tc>
          <w:tcPr/>
          <w:p>
            <w:pPr>
              <w:pStyle w:val="Compact"/>
            </w:pPr>
            <w:r>
              <w:t xml:space="preserve">Both within 100 km, within 7 days</w:t>
            </w:r>
          </w:p>
        </w:tc>
        <w:tc>
          <w:tcPr/>
          <w:p>
            <w:pPr>
              <w:pStyle w:val="Compact"/>
            </w:pPr>
            <w:r>
              <w:t xml:space="preserve">11</w:t>
            </w:r>
          </w:p>
        </w:tc>
      </w:tr>
    </w:tbl>
    <w:p>
      <w:pPr>
        <w:pStyle w:val="BodyText"/>
      </w:pPr>
      <w:r>
        <w:rPr>
          <w:b/>
          <w:bCs/>
        </w:rPr>
        <w:t xml:space="preserve">Why multiple thresholds?</w:t>
      </w:r>
      <w:r>
        <w:t xml:space="preserve"> </w:t>
      </w:r>
      <w:r>
        <w:t xml:space="preserve">Stricter thresholds (25 km) are stronger evidence of real proximity. Looser thresholds (100 km) catch more pairs but include</w:t>
      </w:r>
      <w:r>
        <w:t xml:space="preserve"> </w:t>
      </w:r>
      <w:r>
        <w:t xml:space="preserve">“same region”</w:t>
      </w:r>
      <w:r>
        <w:t xml:space="preserve"> </w:t>
      </w:r>
      <w:r>
        <w:t xml:space="preserve">overlap. If a pair passes 25 km, it almost always passes 50 km and 100 km - that consistency suggests the proximity is real, not a coincidence. Pairs that only pass 100 km may be regionally aligned without actually meeting.</w:t>
      </w:r>
    </w:p>
    <w:p>
      <w:pPr>
        <w:pStyle w:val="BodyText"/>
      </w:pPr>
      <w:r>
        <w:rPr>
          <w:b/>
          <w:bCs/>
        </w:rPr>
        <w:t xml:space="preserve">Why so few pairs?</w:t>
      </w:r>
      <w:r>
        <w:t xml:space="preserve"> </w:t>
      </w:r>
      <w:r>
        <w:t xml:space="preserve">We only validate the top-100 model-ranked pairs. Of those, only 5 have any days within 25 km. Most high-scoring pairs are</w:t>
      </w:r>
      <w:r>
        <w:t xml:space="preserve"> </w:t>
      </w:r>
      <w:r>
        <w:t xml:space="preserve">“same fishing grounds”</w:t>
      </w:r>
      <w:r>
        <w:t xml:space="preserve"> </w:t>
      </w:r>
      <w:r>
        <w:t xml:space="preserve">without close encounters - the validation filters those out.</w:t>
      </w:r>
    </w:p>
    <w:p>
      <w:r>
        <w:pict>
          <v:rect style="width:0;height:1.5pt" o:hralign="center" o:hrstd="t" o:hr="t"/>
        </w:pict>
      </w:r>
    </w:p>
    <w:bookmarkEnd w:id="34"/>
    <w:bookmarkStart w:id="40" w:name="case-studies-top-4-validated-pairs"/>
    <w:p>
      <w:pPr>
        <w:pStyle w:val="Heading1"/>
      </w:pPr>
      <w:r>
        <w:t xml:space="preserve">6. Case Studies: Top 4 Validated Pairs</w:t>
      </w:r>
    </w:p>
    <w:bookmarkStart w:id="35" w:name="summary-table"/>
    <w:p>
      <w:pPr>
        <w:pStyle w:val="Heading2"/>
      </w:pPr>
      <w:r>
        <w:t xml:space="preserve">Summary Table</w:t>
      </w:r>
    </w:p>
    <w:tbl>
      <w:tblPr>
        <w:tblStyle w:val="Table"/>
        <w:tblW w:type="pct" w:w="5000"/>
        <w:tblLayout w:type="fixed"/>
        <w:tblLook w:firstRow="1" w:lastRow="0" w:firstColumn="0" w:lastColumn="0" w:noHBand="0" w:noVBand="0" w:val="0020"/>
      </w:tblPr>
      <w:tblGrid>
        <w:gridCol w:w="573"/>
        <w:gridCol w:w="573"/>
        <w:gridCol w:w="803"/>
        <w:gridCol w:w="1951"/>
        <w:gridCol w:w="1951"/>
        <w:gridCol w:w="2066"/>
      </w:tblGrid>
      <w:tr>
        <w:trPr>
          <w:tblHeader w:val="on"/>
        </w:trPr>
        <w:tc>
          <w:tcPr/>
          <w:p>
            <w:pPr>
              <w:pStyle w:val="Compact"/>
            </w:pPr>
            <w:r>
              <w:t xml:space="preserve">src</w:t>
            </w:r>
          </w:p>
        </w:tc>
        <w:tc>
          <w:tcPr/>
          <w:p>
            <w:pPr>
              <w:pStyle w:val="Compact"/>
            </w:pPr>
            <w:r>
              <w:t xml:space="preserve">dst</w:t>
            </w:r>
          </w:p>
        </w:tc>
        <w:tc>
          <w:tcPr/>
          <w:p>
            <w:pPr>
              <w:pStyle w:val="Compact"/>
            </w:pPr>
            <w:r>
              <w:t xml:space="preserve">score</w:t>
            </w:r>
          </w:p>
        </w:tc>
        <w:tc>
          <w:tcPr/>
          <w:p>
            <w:pPr>
              <w:pStyle w:val="Compact"/>
            </w:pPr>
            <w:r>
              <w:t xml:space="preserve">within 25km +-1d</w:t>
            </w:r>
          </w:p>
        </w:tc>
        <w:tc>
          <w:tcPr/>
          <w:p>
            <w:pPr>
              <w:pStyle w:val="Compact"/>
            </w:pPr>
            <w:r>
              <w:t xml:space="preserve">within 50km +-3d</w:t>
            </w:r>
          </w:p>
        </w:tc>
        <w:tc>
          <w:tcPr/>
          <w:p>
            <w:pPr>
              <w:pStyle w:val="Compact"/>
            </w:pPr>
            <w:r>
              <w:t xml:space="preserve">within 100km +-7d</w:t>
            </w:r>
          </w:p>
        </w:tc>
      </w:tr>
      <w:tr>
        <w:tc>
          <w:tcPr/>
          <w:p>
            <w:pPr>
              <w:pStyle w:val="Compact"/>
            </w:pPr>
            <w:r>
              <w:t xml:space="preserve">412000690</w:t>
            </w:r>
          </w:p>
        </w:tc>
        <w:tc>
          <w:tcPr/>
          <w:p>
            <w:pPr>
              <w:pStyle w:val="Compact"/>
            </w:pPr>
            <w:r>
              <w:t xml:space="preserve">412325200</w:t>
            </w:r>
          </w:p>
        </w:tc>
        <w:tc>
          <w:tcPr/>
          <w:p>
            <w:pPr>
              <w:pStyle w:val="Compact"/>
            </w:pPr>
            <w:r>
              <w:t xml:space="preserve">15.92</w:t>
            </w:r>
          </w:p>
        </w:tc>
        <w:tc>
          <w:tcPr/>
          <w:p>
            <w:pPr>
              <w:pStyle w:val="Compact"/>
            </w:pPr>
            <w:r>
              <w:rPr>
                <w:b/>
                <w:bCs/>
              </w:rPr>
              <w:t xml:space="preserve">102</w:t>
            </w:r>
          </w:p>
        </w:tc>
        <w:tc>
          <w:tcPr/>
          <w:p>
            <w:pPr>
              <w:pStyle w:val="Compact"/>
            </w:pPr>
            <w:r>
              <w:t xml:space="preserve">410</w:t>
            </w:r>
          </w:p>
        </w:tc>
        <w:tc>
          <w:tcPr/>
          <w:p>
            <w:pPr>
              <w:pStyle w:val="Compact"/>
            </w:pPr>
            <w:r>
              <w:t xml:space="preserve">1568</w:t>
            </w:r>
          </w:p>
        </w:tc>
      </w:tr>
      <w:tr>
        <w:tc>
          <w:tcPr/>
          <w:p>
            <w:pPr>
              <w:pStyle w:val="Compact"/>
            </w:pPr>
            <w:r>
              <w:t xml:space="preserve">412061791</w:t>
            </w:r>
          </w:p>
        </w:tc>
        <w:tc>
          <w:tcPr/>
          <w:p>
            <w:pPr>
              <w:pStyle w:val="Compact"/>
            </w:pPr>
            <w:r>
              <w:t xml:space="preserve">412508302</w:t>
            </w:r>
          </w:p>
        </w:tc>
        <w:tc>
          <w:tcPr/>
          <w:p>
            <w:pPr>
              <w:pStyle w:val="Compact"/>
            </w:pPr>
            <w:r>
              <w:t xml:space="preserve">15.81</w:t>
            </w:r>
          </w:p>
        </w:tc>
        <w:tc>
          <w:tcPr/>
          <w:p>
            <w:pPr>
              <w:pStyle w:val="Compact"/>
            </w:pPr>
            <w:r>
              <w:t xml:space="preserve">8</w:t>
            </w:r>
          </w:p>
        </w:tc>
        <w:tc>
          <w:tcPr/>
          <w:p>
            <w:pPr>
              <w:pStyle w:val="Compact"/>
            </w:pPr>
            <w:r>
              <w:t xml:space="preserve">88</w:t>
            </w:r>
          </w:p>
        </w:tc>
        <w:tc>
          <w:tcPr/>
          <w:p>
            <w:pPr>
              <w:pStyle w:val="Compact"/>
            </w:pPr>
            <w:r>
              <w:t xml:space="preserve">378</w:t>
            </w:r>
          </w:p>
        </w:tc>
      </w:tr>
      <w:tr>
        <w:tc>
          <w:tcPr/>
          <w:p>
            <w:pPr>
              <w:pStyle w:val="Compact"/>
            </w:pPr>
            <w:r>
              <w:t xml:space="preserve">412425192</w:t>
            </w:r>
          </w:p>
        </w:tc>
        <w:tc>
          <w:tcPr/>
          <w:p>
            <w:pPr>
              <w:pStyle w:val="Compact"/>
            </w:pPr>
            <w:r>
              <w:t xml:space="preserve">998508450</w:t>
            </w:r>
          </w:p>
        </w:tc>
        <w:tc>
          <w:tcPr/>
          <w:p>
            <w:pPr>
              <w:pStyle w:val="Compact"/>
            </w:pPr>
            <w:r>
              <w:t xml:space="preserve">14.86</w:t>
            </w:r>
          </w:p>
        </w:tc>
        <w:tc>
          <w:tcPr/>
          <w:p>
            <w:pPr>
              <w:pStyle w:val="Compact"/>
            </w:pPr>
            <w:r>
              <w:t xml:space="preserve">9</w:t>
            </w:r>
          </w:p>
        </w:tc>
        <w:tc>
          <w:tcPr/>
          <w:p>
            <w:pPr>
              <w:pStyle w:val="Compact"/>
            </w:pPr>
            <w:r>
              <w:t xml:space="preserve">20</w:t>
            </w:r>
          </w:p>
        </w:tc>
        <w:tc>
          <w:tcPr/>
          <w:p>
            <w:pPr>
              <w:pStyle w:val="Compact"/>
            </w:pPr>
            <w:r>
              <w:t xml:space="preserve">53</w:t>
            </w:r>
          </w:p>
        </w:tc>
      </w:tr>
      <w:tr>
        <w:tc>
          <w:tcPr/>
          <w:p>
            <w:pPr>
              <w:pStyle w:val="Compact"/>
            </w:pPr>
            <w:r>
              <w:t xml:space="preserve">978925333</w:t>
            </w:r>
          </w:p>
        </w:tc>
        <w:tc>
          <w:tcPr/>
          <w:p>
            <w:pPr>
              <w:pStyle w:val="Compact"/>
            </w:pPr>
            <w:r>
              <w:t xml:space="preserve">415131223</w:t>
            </w:r>
          </w:p>
        </w:tc>
        <w:tc>
          <w:tcPr/>
          <w:p>
            <w:pPr>
              <w:pStyle w:val="Compact"/>
            </w:pPr>
            <w:r>
              <w:t xml:space="preserve">14.80</w:t>
            </w:r>
          </w:p>
        </w:tc>
        <w:tc>
          <w:tcPr/>
          <w:p>
            <w:pPr>
              <w:pStyle w:val="Compact"/>
            </w:pPr>
            <w:r>
              <w:t xml:space="preserve">2</w:t>
            </w:r>
          </w:p>
        </w:tc>
        <w:tc>
          <w:tcPr/>
          <w:p>
            <w:pPr>
              <w:pStyle w:val="Compact"/>
            </w:pPr>
            <w:r>
              <w:t xml:space="preserve">12</w:t>
            </w:r>
          </w:p>
        </w:tc>
        <w:tc>
          <w:tcPr/>
          <w:p>
            <w:pPr>
              <w:pStyle w:val="Compact"/>
            </w:pPr>
            <w:r>
              <w:t xml:space="preserve">864</w:t>
            </w:r>
          </w:p>
        </w:tc>
      </w:tr>
    </w:tbl>
    <w:bookmarkEnd w:id="35"/>
    <w:bookmarkStart w:id="36" w:name="pair-1-412000690---412325200-strongest"/>
    <w:p>
      <w:pPr>
        <w:pStyle w:val="Heading2"/>
      </w:pPr>
      <w:r>
        <w:t xml:space="preserve">Pair 1: 412000690 &lt;-&gt; 412325200 (Strongest)</w:t>
      </w:r>
    </w:p>
    <w:p>
      <w:pPr>
        <w:pStyle w:val="Compact"/>
        <w:numPr>
          <w:ilvl w:val="0"/>
          <w:numId w:val="1011"/>
        </w:numPr>
      </w:pPr>
      <w:r>
        <w:rPr>
          <w:b/>
          <w:bCs/>
        </w:rPr>
        <w:t xml:space="preserve">102 days within 25 km +-1 day</w:t>
      </w:r>
      <w:r>
        <w:t xml:space="preserve"> </w:t>
      </w:r>
      <w:r>
        <w:t xml:space="preserve">- the strongest validation signal among all pairs. This means on 102 separate days (allowing +-1 day), the two vessels were within 25 km of each other.</w:t>
      </w:r>
    </w:p>
    <w:p>
      <w:pPr>
        <w:pStyle w:val="Compact"/>
        <w:numPr>
          <w:ilvl w:val="0"/>
          <w:numId w:val="1011"/>
        </w:numPr>
      </w:pPr>
      <w:r>
        <w:t xml:space="preserve">Mean distance when both active: ~135-139 km across thresholds - indicating sustained co-presence in the same operating area rather than a single encounter.</w:t>
      </w:r>
    </w:p>
    <w:p>
      <w:pPr>
        <w:pStyle w:val="Compact"/>
        <w:numPr>
          <w:ilvl w:val="0"/>
          <w:numId w:val="1011"/>
        </w:numPr>
      </w:pPr>
      <w:r>
        <w:t xml:space="preserve">Overlap of 774 days (25 km window) and 1,767 days (50 km window) suggests multi-year, repeated close encounters.</w:t>
      </w:r>
    </w:p>
    <w:p>
      <w:pPr>
        <w:pStyle w:val="Compact"/>
        <w:numPr>
          <w:ilvl w:val="0"/>
          <w:numId w:val="1011"/>
        </w:numPr>
      </w:pPr>
      <w:r>
        <w:rPr>
          <w:b/>
          <w:bCs/>
        </w:rPr>
        <w:t xml:space="preserve">Interpretation:</w:t>
      </w:r>
      <w:r>
        <w:t xml:space="preserve"> </w:t>
      </w:r>
      <w:r>
        <w:t xml:space="preserve">Highest-confidence candidate for cooperative or coordinated behavior. Worth external metadata lookup (flag, gear type, AIS history) to validate. Use as the primary case study in the write-up.</w:t>
      </w:r>
    </w:p>
    <w:bookmarkEnd w:id="36"/>
    <w:bookmarkStart w:id="37" w:name="pair-2-412061791---412508302-moderate"/>
    <w:p>
      <w:pPr>
        <w:pStyle w:val="Heading2"/>
      </w:pPr>
      <w:r>
        <w:t xml:space="preserve">Pair 2: 412061791 &lt;-&gt; 412508302 (Moderate)</w:t>
      </w:r>
    </w:p>
    <w:p>
      <w:pPr>
        <w:pStyle w:val="Compact"/>
        <w:numPr>
          <w:ilvl w:val="0"/>
          <w:numId w:val="1012"/>
        </w:numPr>
      </w:pPr>
      <w:r>
        <w:t xml:space="preserve">8 days within 25 km; 88 within 50 km; 378 within 100 km. Lower counts than Pair 1.</w:t>
      </w:r>
    </w:p>
    <w:p>
      <w:pPr>
        <w:pStyle w:val="Compact"/>
        <w:numPr>
          <w:ilvl w:val="0"/>
          <w:numId w:val="1012"/>
        </w:numPr>
      </w:pPr>
      <w:r>
        <w:t xml:space="preserve">Mean distance ~216 km (25 km window) to ~252 km (100 km window).</w:t>
      </w:r>
    </w:p>
    <w:p>
      <w:pPr>
        <w:pStyle w:val="Compact"/>
        <w:numPr>
          <w:ilvl w:val="0"/>
          <w:numId w:val="1012"/>
        </w:numPr>
      </w:pPr>
      <w:r>
        <w:rPr>
          <w:b/>
          <w:bCs/>
        </w:rPr>
        <w:t xml:space="preserve">Interpretation:</w:t>
      </w:r>
      <w:r>
        <w:t xml:space="preserve"> </w:t>
      </w:r>
      <w:r>
        <w:t xml:space="preserve">Possible transshipment rendezvous or shared fishing grounds. Weaker evidence than Pair 1 but still above chance. Good secondary case study.</w:t>
      </w:r>
    </w:p>
    <w:bookmarkEnd w:id="37"/>
    <w:bookmarkStart w:id="38" w:name="X52070d0512493cb0606d724f2a5fbcff997ae84"/>
    <w:p>
      <w:pPr>
        <w:pStyle w:val="Heading2"/>
      </w:pPr>
      <w:r>
        <w:t xml:space="preserve">Pair 3: 412425192 &lt;-&gt; 998508450 (Small but non-zero)</w:t>
      </w:r>
    </w:p>
    <w:p>
      <w:pPr>
        <w:pStyle w:val="Compact"/>
        <w:numPr>
          <w:ilvl w:val="0"/>
          <w:numId w:val="1013"/>
        </w:numPr>
      </w:pPr>
      <w:r>
        <w:t xml:space="preserve">9 days within 25 km; 20 within 50 km; 53 within 100 km.</w:t>
      </w:r>
    </w:p>
    <w:p>
      <w:pPr>
        <w:pStyle w:val="Compact"/>
        <w:numPr>
          <w:ilvl w:val="0"/>
          <w:numId w:val="1013"/>
        </w:numPr>
      </w:pPr>
      <w:r>
        <w:t xml:space="preserve">Overlap of 140 days (25 km) and 355 days (50 km) - fewer total encounters than Pairs 1 and 2.</w:t>
      </w:r>
    </w:p>
    <w:p>
      <w:pPr>
        <w:pStyle w:val="Compact"/>
        <w:numPr>
          <w:ilvl w:val="0"/>
          <w:numId w:val="1013"/>
        </w:numPr>
      </w:pPr>
      <w:r>
        <w:rPr>
          <w:b/>
          <w:bCs/>
        </w:rPr>
        <w:t xml:space="preserve">Interpretation:</w:t>
      </w:r>
      <w:r>
        <w:t xml:space="preserve"> </w:t>
      </w:r>
      <w:r>
        <w:t xml:space="preserve">Could indicate occasional coordination or shared port/region. Useful for geographic diversity in the case-study set.</w:t>
      </w:r>
    </w:p>
    <w:bookmarkEnd w:id="38"/>
    <w:bookmarkStart w:id="39" w:name="pair-4-978925333---415131223-contrast"/>
    <w:p>
      <w:pPr>
        <w:pStyle w:val="Heading2"/>
      </w:pPr>
      <w:r>
        <w:t xml:space="preserve">Pair 4: 978925333 &lt;-&gt; 415131223 (Contrast)</w:t>
      </w:r>
    </w:p>
    <w:p>
      <w:pPr>
        <w:pStyle w:val="Compact"/>
        <w:numPr>
          <w:ilvl w:val="0"/>
          <w:numId w:val="1014"/>
        </w:numPr>
      </w:pPr>
      <w:r>
        <w:t xml:space="preserve">Very low at 25 km (2 days); 12 at 50 km; 864 at 100 km. High overlap at 100 km but few close-proximity days at tight thresholds.</w:t>
      </w:r>
    </w:p>
    <w:p>
      <w:pPr>
        <w:pStyle w:val="Compact"/>
        <w:numPr>
          <w:ilvl w:val="0"/>
          <w:numId w:val="1014"/>
        </w:numPr>
      </w:pPr>
      <w:r>
        <w:rPr>
          <w:b/>
          <w:bCs/>
        </w:rPr>
        <w:t xml:space="preserve">Interpretation:</w:t>
      </w:r>
      <w:r>
        <w:t xml:space="preserve"> </w:t>
      </w:r>
      <w:r>
        <w:t xml:space="preserve">Likely regional co-activity (same fishing grounds or migration corridor) rather than direct side-by-side coordination. This pair illustrates the value of multi-threshold checks: the model surfaces it, but validation shows it is</w:t>
      </w:r>
      <w:r>
        <w:t xml:space="preserve"> </w:t>
      </w:r>
      <w:r>
        <w:t xml:space="preserve">“same region”</w:t>
      </w:r>
      <w:r>
        <w:t xml:space="preserve"> </w:t>
      </w:r>
      <w:r>
        <w:t xml:space="preserve">not</w:t>
      </w:r>
      <w:r>
        <w:t xml:space="preserve"> </w:t>
      </w:r>
      <w:r>
        <w:t xml:space="preserve">“actually close.”</w:t>
      </w:r>
    </w:p>
    <w:p>
      <w:r>
        <w:pict>
          <v:rect style="width:0;height:1.5pt" o:hralign="center" o:hrstd="t" o:hr="t"/>
        </w:pict>
      </w:r>
    </w:p>
    <w:bookmarkEnd w:id="39"/>
    <w:bookmarkEnd w:id="40"/>
    <w:bookmarkStart w:id="59" w:name="track-plots-interpretation-guide"/>
    <w:p>
      <w:pPr>
        <w:pStyle w:val="Heading1"/>
      </w:pPr>
      <w:r>
        <w:t xml:space="preserve">7. Track Plots: Interpretation Guide</w:t>
      </w:r>
    </w:p>
    <w:p>
      <w:pPr>
        <w:pStyle w:val="FirstParagraph"/>
      </w:pPr>
      <w:r>
        <w:t xml:space="preserve">The plots show</w:t>
      </w:r>
      <w:r>
        <w:t xml:space="preserve"> </w:t>
      </w:r>
      <w:r>
        <w:rPr>
          <w:b/>
          <w:bCs/>
        </w:rPr>
        <w:t xml:space="preserve">daily mean latitude/longitude</w:t>
      </w:r>
      <w:r>
        <w:t xml:space="preserve"> </w:t>
      </w:r>
      <w:r>
        <w:t xml:space="preserve">for each vessel in a pair over time. Each colored line is one vessel’s trajectory; points are daily positions.</w:t>
      </w:r>
    </w:p>
    <w:bookmarkStart w:id="41" w:name="what-to-look-for"/>
    <w:p>
      <w:pPr>
        <w:pStyle w:val="Heading2"/>
      </w:pPr>
      <w:r>
        <w:t xml:space="preserve">What to look for</w:t>
      </w:r>
    </w:p>
    <w:p>
      <w:pPr>
        <w:pStyle w:val="Compact"/>
        <w:numPr>
          <w:ilvl w:val="0"/>
          <w:numId w:val="1015"/>
        </w:numPr>
      </w:pPr>
      <w:r>
        <w:rPr>
          <w:b/>
          <w:bCs/>
        </w:rPr>
        <w:t xml:space="preserve">Overlapping or parallel tracks:</w:t>
      </w:r>
      <w:r>
        <w:t xml:space="preserve"> </w:t>
      </w:r>
      <w:r>
        <w:t xml:space="preserve">Vessels operating in the same area over time. Suggests shared fishing grounds or migration corridor.</w:t>
      </w:r>
    </w:p>
    <w:p>
      <w:pPr>
        <w:pStyle w:val="Compact"/>
        <w:numPr>
          <w:ilvl w:val="0"/>
          <w:numId w:val="1015"/>
        </w:numPr>
      </w:pPr>
      <w:r>
        <w:rPr>
          <w:b/>
          <w:bCs/>
        </w:rPr>
        <w:t xml:space="preserve">Converging segments:</w:t>
      </w:r>
      <w:r>
        <w:t xml:space="preserve"> </w:t>
      </w:r>
      <w:r>
        <w:t xml:space="preserve">Tracks that come together - potential close encounters or rendezvous.</w:t>
      </w:r>
    </w:p>
    <w:p>
      <w:pPr>
        <w:pStyle w:val="Compact"/>
        <w:numPr>
          <w:ilvl w:val="0"/>
          <w:numId w:val="1015"/>
        </w:numPr>
      </w:pPr>
      <w:r>
        <w:rPr>
          <w:b/>
          <w:bCs/>
        </w:rPr>
        <w:t xml:space="preserve">Sustained co-location:</w:t>
      </w:r>
      <w:r>
        <w:t xml:space="preserve"> </w:t>
      </w:r>
      <w:r>
        <w:t xml:space="preserve">Tracks that stay close for extended periods - stronger evidence of coordination.</w:t>
      </w:r>
    </w:p>
    <w:bookmarkEnd w:id="41"/>
    <w:bookmarkStart w:id="42" w:name="how-to-read-the-axes"/>
    <w:p>
      <w:pPr>
        <w:pStyle w:val="Heading2"/>
      </w:pPr>
      <w:r>
        <w:t xml:space="preserve">How to read the axes</w:t>
      </w:r>
    </w:p>
    <w:p>
      <w:pPr>
        <w:pStyle w:val="Compact"/>
        <w:numPr>
          <w:ilvl w:val="0"/>
          <w:numId w:val="1016"/>
        </w:numPr>
      </w:pPr>
      <w:r>
        <w:t xml:space="preserve">X-axis: Longitude (degrees East)</w:t>
      </w:r>
    </w:p>
    <w:p>
      <w:pPr>
        <w:pStyle w:val="Compact"/>
        <w:numPr>
          <w:ilvl w:val="0"/>
          <w:numId w:val="1016"/>
        </w:numPr>
      </w:pPr>
      <w:r>
        <w:t xml:space="preserve">Y-axis: Latitude (degrees North)</w:t>
      </w:r>
    </w:p>
    <w:p>
      <w:pPr>
        <w:pStyle w:val="Compact"/>
        <w:numPr>
          <w:ilvl w:val="0"/>
          <w:numId w:val="1016"/>
        </w:numPr>
      </w:pPr>
      <w:r>
        <w:t xml:space="preserve">Time flows along the trajectory; earlier points connect to later ones along each line.</w:t>
      </w:r>
    </w:p>
    <w:bookmarkEnd w:id="42"/>
    <w:bookmarkStart w:id="46" w:name="plot-1-412000690---412325200"/>
    <w:p>
      <w:pPr>
        <w:pStyle w:val="Heading2"/>
      </w:pPr>
      <w:r>
        <w:t xml:space="preserve">Plot 1: 412000690 &lt;-&gt; 412325200</w:t>
      </w:r>
    </w:p>
    <w:p>
      <w:pPr>
        <w:pStyle w:val="CaptionedFigure"/>
      </w:pPr>
      <w:r>
        <w:drawing>
          <wp:inline>
            <wp:extent cx="5242866" cy="6341065"/>
            <wp:effectExtent b="0" l="0" r="0" t="0"/>
            <wp:docPr descr="Pair 412000690 and 412325200" title="" id="44" name="Picture"/>
            <a:graphic>
              <a:graphicData uri="http://schemas.openxmlformats.org/drawingml/2006/picture">
                <pic:pic>
                  <pic:nvPicPr>
                    <pic:cNvPr descr="../artifacts/plots/case_study_pairs/pair_412000690_412325200.png" id="45" name="Picture"/>
                    <pic:cNvPicPr>
                      <a:picLocks noChangeArrowheads="1" noChangeAspect="1"/>
                    </pic:cNvPicPr>
                  </pic:nvPicPr>
                  <pic:blipFill>
                    <a:blip r:embed="rId43"/>
                    <a:stretch>
                      <a:fillRect/>
                    </a:stretch>
                  </pic:blipFill>
                  <pic:spPr bwMode="auto">
                    <a:xfrm>
                      <a:off x="0" y="0"/>
                      <a:ext cx="5242866" cy="6341065"/>
                    </a:xfrm>
                    <a:prstGeom prst="rect">
                      <a:avLst/>
                    </a:prstGeom>
                    <a:noFill/>
                    <a:ln w="9525">
                      <a:noFill/>
                      <a:headEnd/>
                      <a:tailEnd/>
                    </a:ln>
                  </pic:spPr>
                </pic:pic>
              </a:graphicData>
            </a:graphic>
          </wp:inline>
        </w:drawing>
      </w:r>
    </w:p>
    <w:p>
      <w:pPr>
        <w:pStyle w:val="ImageCaption"/>
      </w:pPr>
      <w:r>
        <w:t xml:space="preserve">Pair 412000690 and 412325200</w:t>
      </w:r>
    </w:p>
    <w:p>
      <w:pPr>
        <w:pStyle w:val="BodyText"/>
      </w:pPr>
      <w:r>
        <w:rPr>
          <w:i/>
          <w:iCs/>
        </w:rPr>
        <w:t xml:space="preserve">Strongest candidate: 102 days within 25 km. The tracks show sustained co-presence - both vessels operate in overlapping regions over multiple years. Converging segments indicate repeated close encounters.</w:t>
      </w:r>
    </w:p>
    <w:bookmarkEnd w:id="46"/>
    <w:bookmarkStart w:id="50" w:name="plot-2-412061791---412508302"/>
    <w:p>
      <w:pPr>
        <w:pStyle w:val="Heading2"/>
      </w:pPr>
      <w:r>
        <w:t xml:space="preserve">Plot 2: 412061791 &lt;-&gt; 412508302</w:t>
      </w:r>
    </w:p>
    <w:p>
      <w:pPr>
        <w:pStyle w:val="CaptionedFigure"/>
      </w:pPr>
      <w:r>
        <w:drawing>
          <wp:inline>
            <wp:extent cx="4994737" cy="6341065"/>
            <wp:effectExtent b="0" l="0" r="0" t="0"/>
            <wp:docPr descr="Pair 412061791 and 412508302" title="" id="48" name="Picture"/>
            <a:graphic>
              <a:graphicData uri="http://schemas.openxmlformats.org/drawingml/2006/picture">
                <pic:pic>
                  <pic:nvPicPr>
                    <pic:cNvPr descr="../artifacts/plots/case_study_pairs/pair_412061791_412508302.png" id="49" name="Picture"/>
                    <pic:cNvPicPr>
                      <a:picLocks noChangeArrowheads="1" noChangeAspect="1"/>
                    </pic:cNvPicPr>
                  </pic:nvPicPr>
                  <pic:blipFill>
                    <a:blip r:embed="rId47"/>
                    <a:stretch>
                      <a:fillRect/>
                    </a:stretch>
                  </pic:blipFill>
                  <pic:spPr bwMode="auto">
                    <a:xfrm>
                      <a:off x="0" y="0"/>
                      <a:ext cx="4994737" cy="6341065"/>
                    </a:xfrm>
                    <a:prstGeom prst="rect">
                      <a:avLst/>
                    </a:prstGeom>
                    <a:noFill/>
                    <a:ln w="9525">
                      <a:noFill/>
                      <a:headEnd/>
                      <a:tailEnd/>
                    </a:ln>
                  </pic:spPr>
                </pic:pic>
              </a:graphicData>
            </a:graphic>
          </wp:inline>
        </w:drawing>
      </w:r>
    </w:p>
    <w:p>
      <w:pPr>
        <w:pStyle w:val="ImageCaption"/>
      </w:pPr>
      <w:r>
        <w:t xml:space="preserve">Pair 412061791 and 412508302</w:t>
      </w:r>
    </w:p>
    <w:p>
      <w:pPr>
        <w:pStyle w:val="BodyText"/>
      </w:pPr>
      <w:r>
        <w:rPr>
          <w:i/>
          <w:iCs/>
        </w:rPr>
        <w:t xml:space="preserve">Moderate validation: 8 days within 25 km. Tracks show some overlap with intermittent close proximity - consistent with occasional rendezvous rather than persistent co-location.</w:t>
      </w:r>
    </w:p>
    <w:bookmarkEnd w:id="50"/>
    <w:bookmarkStart w:id="54" w:name="plot-3-412425192---998508450"/>
    <w:p>
      <w:pPr>
        <w:pStyle w:val="Heading2"/>
      </w:pPr>
      <w:r>
        <w:t xml:space="preserve">Plot 3: 412425192 &lt;-&gt; 998508450</w:t>
      </w:r>
    </w:p>
    <w:p>
      <w:pPr>
        <w:pStyle w:val="CaptionedFigure"/>
      </w:pPr>
      <w:r>
        <w:drawing>
          <wp:inline>
            <wp:extent cx="4889053" cy="6341065"/>
            <wp:effectExtent b="0" l="0" r="0" t="0"/>
            <wp:docPr descr="Pair 412425192 and 998508450" title="" id="52" name="Picture"/>
            <a:graphic>
              <a:graphicData uri="http://schemas.openxmlformats.org/drawingml/2006/picture">
                <pic:pic>
                  <pic:nvPicPr>
                    <pic:cNvPr descr="../artifacts/plots/case_study_pairs/pair_412425192_998508450.png" id="53" name="Picture"/>
                    <pic:cNvPicPr>
                      <a:picLocks noChangeArrowheads="1" noChangeAspect="1"/>
                    </pic:cNvPicPr>
                  </pic:nvPicPr>
                  <pic:blipFill>
                    <a:blip r:embed="rId51"/>
                    <a:stretch>
                      <a:fillRect/>
                    </a:stretch>
                  </pic:blipFill>
                  <pic:spPr bwMode="auto">
                    <a:xfrm>
                      <a:off x="0" y="0"/>
                      <a:ext cx="4889053" cy="6341065"/>
                    </a:xfrm>
                    <a:prstGeom prst="rect">
                      <a:avLst/>
                    </a:prstGeom>
                    <a:noFill/>
                    <a:ln w="9525">
                      <a:noFill/>
                      <a:headEnd/>
                      <a:tailEnd/>
                    </a:ln>
                  </pic:spPr>
                </pic:pic>
              </a:graphicData>
            </a:graphic>
          </wp:inline>
        </w:drawing>
      </w:r>
    </w:p>
    <w:p>
      <w:pPr>
        <w:pStyle w:val="ImageCaption"/>
      </w:pPr>
      <w:r>
        <w:t xml:space="preserve">Pair 412425192 and 998508450</w:t>
      </w:r>
    </w:p>
    <w:p>
      <w:pPr>
        <w:pStyle w:val="BodyText"/>
      </w:pPr>
      <w:r>
        <w:rPr>
          <w:i/>
          <w:iCs/>
        </w:rPr>
        <w:t xml:space="preserve">Small but non-zero close-proximity days. Tracks may show occasional overlap; useful for geographic diversity in the case-study set.</w:t>
      </w:r>
    </w:p>
    <w:bookmarkEnd w:id="54"/>
    <w:bookmarkStart w:id="58" w:name="plot-4-978925333---415131223"/>
    <w:p>
      <w:pPr>
        <w:pStyle w:val="Heading2"/>
      </w:pPr>
      <w:r>
        <w:t xml:space="preserve">Plot 4: 978925333 &lt;-&gt; 415131223</w:t>
      </w:r>
    </w:p>
    <w:p>
      <w:pPr>
        <w:pStyle w:val="CaptionedFigure"/>
      </w:pPr>
      <w:r>
        <w:drawing>
          <wp:inline>
            <wp:extent cx="5334000" cy="5133138"/>
            <wp:effectExtent b="0" l="0" r="0" t="0"/>
            <wp:docPr descr="Pair 978925333 and 415131223" title="" id="56" name="Picture"/>
            <a:graphic>
              <a:graphicData uri="http://schemas.openxmlformats.org/drawingml/2006/picture">
                <pic:pic>
                  <pic:nvPicPr>
                    <pic:cNvPr descr="../artifacts/plots/case_study_pairs/pair_978925333_415131223.png" id="57" name="Picture"/>
                    <pic:cNvPicPr>
                      <a:picLocks noChangeArrowheads="1" noChangeAspect="1"/>
                    </pic:cNvPicPr>
                  </pic:nvPicPr>
                  <pic:blipFill>
                    <a:blip r:embed="rId55"/>
                    <a:stretch>
                      <a:fillRect/>
                    </a:stretch>
                  </pic:blipFill>
                  <pic:spPr bwMode="auto">
                    <a:xfrm>
                      <a:off x="0" y="0"/>
                      <a:ext cx="5334000" cy="5133138"/>
                    </a:xfrm>
                    <a:prstGeom prst="rect">
                      <a:avLst/>
                    </a:prstGeom>
                    <a:noFill/>
                    <a:ln w="9525">
                      <a:noFill/>
                      <a:headEnd/>
                      <a:tailEnd/>
                    </a:ln>
                  </pic:spPr>
                </pic:pic>
              </a:graphicData>
            </a:graphic>
          </wp:inline>
        </w:drawing>
      </w:r>
    </w:p>
    <w:p>
      <w:pPr>
        <w:pStyle w:val="ImageCaption"/>
      </w:pPr>
      <w:r>
        <w:t xml:space="preserve">Pair 978925333 and 415131223</w:t>
      </w:r>
    </w:p>
    <w:p>
      <w:pPr>
        <w:pStyle w:val="BodyText"/>
      </w:pPr>
      <w:r>
        <w:rPr>
          <w:i/>
          <w:iCs/>
        </w:rPr>
        <w:t xml:space="preserve">Contrast case: 2 days within 25 km but 864 within 100 km. Tracks likely show regional overlap (same fishing grounds) rather than direct close encounters.</w:t>
      </w:r>
    </w:p>
    <w:p>
      <w:r>
        <w:pict>
          <v:rect style="width:0;height:1.5pt" o:hralign="center" o:hrstd="t" o:hr="t"/>
        </w:pict>
      </w:r>
    </w:p>
    <w:bookmarkEnd w:id="58"/>
    <w:bookmarkEnd w:id="59"/>
    <w:bookmarkStart w:id="60" w:name="limitations-explained"/>
    <w:p>
      <w:pPr>
        <w:pStyle w:val="Heading1"/>
      </w:pPr>
      <w:r>
        <w:t xml:space="preserve">8. Limitations (Explained)</w:t>
      </w:r>
    </w:p>
    <w:p>
      <w:pPr>
        <w:pStyle w:val="Compact"/>
        <w:numPr>
          <w:ilvl w:val="0"/>
          <w:numId w:val="1017"/>
        </w:numPr>
      </w:pPr>
      <w:r>
        <w:rPr>
          <w:b/>
          <w:bCs/>
        </w:rPr>
        <w:t xml:space="preserve">Grid-cell resolution:</w:t>
      </w:r>
      <w:r>
        <w:t xml:space="preserve"> </w:t>
      </w:r>
      <w:r>
        <w:t xml:space="preserve">Positions are stored as daily grid-cell centroids, not exact GPS. Fine-scale transshipment (e.g., vessels meeting within a few km for a few hours) may be blurred or missed. We cannot distinguish</w:t>
      </w:r>
      <w:r>
        <w:t xml:space="preserve"> </w:t>
      </w:r>
      <w:r>
        <w:t xml:space="preserve">“same cell”</w:t>
      </w:r>
      <w:r>
        <w:t xml:space="preserve"> </w:t>
      </w:r>
      <w:r>
        <w:t xml:space="preserve">from</w:t>
      </w:r>
      <w:r>
        <w:t xml:space="preserve"> </w:t>
      </w:r>
      <w:r>
        <w:t xml:space="preserve">“adjacent cells”</w:t>
      </w:r>
      <w:r>
        <w:t xml:space="preserve"> </w:t>
      </w:r>
      <w:r>
        <w:t xml:space="preserve">at sub-daily resolution.</w:t>
      </w:r>
    </w:p>
    <w:p>
      <w:pPr>
        <w:pStyle w:val="Compact"/>
        <w:numPr>
          <w:ilvl w:val="0"/>
          <w:numId w:val="1017"/>
        </w:numPr>
      </w:pPr>
      <w:r>
        <w:rPr>
          <w:b/>
          <w:bCs/>
        </w:rPr>
        <w:t xml:space="preserve">No ground truth:</w:t>
      </w:r>
      <w:r>
        <w:t xml:space="preserve"> </w:t>
      </w:r>
      <w:r>
        <w:t xml:space="preserve">We have no labeled</w:t>
      </w:r>
      <w:r>
        <w:t xml:space="preserve"> </w:t>
      </w:r>
      <w:r>
        <w:t xml:space="preserve">“cooperative”</w:t>
      </w:r>
      <w:r>
        <w:t xml:space="preserve"> </w:t>
      </w:r>
      <w:r>
        <w:t xml:space="preserve">or</w:t>
      </w:r>
      <w:r>
        <w:t xml:space="preserve"> </w:t>
      </w:r>
      <w:r>
        <w:t xml:space="preserve">“bridge-vessel”</w:t>
      </w:r>
      <w:r>
        <w:t xml:space="preserve"> </w:t>
      </w:r>
      <w:r>
        <w:t xml:space="preserve">pairs. Validation is based on proximity heuristics - we assume that repeated close proximity is a proxy for coordination. We cannot confirm actual behavior (transshipment, etc.) without external sources.</w:t>
      </w:r>
    </w:p>
    <w:p>
      <w:pPr>
        <w:pStyle w:val="Compact"/>
        <w:numPr>
          <w:ilvl w:val="0"/>
          <w:numId w:val="1017"/>
        </w:numPr>
      </w:pPr>
      <w:r>
        <w:rPr>
          <w:b/>
          <w:bCs/>
        </w:rPr>
        <w:t xml:space="preserve">MMSI validity:</w:t>
      </w:r>
      <w:r>
        <w:t xml:space="preserve"> </w:t>
      </w:r>
      <w:r>
        <w:t xml:space="preserve">A small number of candidate IDs (e.g., under 100M) may be non-standard or corrupted; we filter these in reporting.</w:t>
      </w:r>
    </w:p>
    <w:p>
      <w:pPr>
        <w:pStyle w:val="Compact"/>
        <w:numPr>
          <w:ilvl w:val="0"/>
          <w:numId w:val="1017"/>
        </w:numPr>
      </w:pPr>
      <w:r>
        <w:rPr>
          <w:b/>
          <w:bCs/>
        </w:rPr>
        <w:t xml:space="preserve">Temporal coverage:</w:t>
      </w:r>
      <w:r>
        <w:t xml:space="preserve"> </w:t>
      </w:r>
      <w:r>
        <w:t xml:space="preserve">Results depend on the 2012-2019 slice and the specific edge-construction parameters (distance threshold, time bucket, sampling). Different parameters could yield different candidate sets.</w:t>
      </w:r>
    </w:p>
    <w:p>
      <w:r>
        <w:pict>
          <v:rect style="width:0;height:1.5pt" o:hralign="center" o:hrstd="t" o:hr="t"/>
        </w:pict>
      </w:r>
    </w:p>
    <w:bookmarkEnd w:id="60"/>
    <w:bookmarkStart w:id="61" w:name="conclusion"/>
    <w:p>
      <w:pPr>
        <w:pStyle w:val="Heading1"/>
      </w:pPr>
      <w:r>
        <w:t xml:space="preserve">9. Conclusion</w:t>
      </w:r>
    </w:p>
    <w:p>
      <w:pPr>
        <w:pStyle w:val="Compact"/>
        <w:numPr>
          <w:ilvl w:val="0"/>
          <w:numId w:val="1018"/>
        </w:numPr>
      </w:pPr>
      <w:r>
        <w:t xml:space="preserve">The TGCN + temporal features model surfaces candidate vessel pairs that have observable proximity evidence in the raw data.</w:t>
      </w:r>
    </w:p>
    <w:p>
      <w:pPr>
        <w:pStyle w:val="Compact"/>
        <w:numPr>
          <w:ilvl w:val="0"/>
          <w:numId w:val="1018"/>
        </w:numPr>
      </w:pPr>
      <w:r>
        <w:t xml:space="preserve">Pair 1 (412000690 &lt;-&gt; 412325200) has the strongest validation (102 days within 25 km) and is the primary case study for</w:t>
      </w:r>
      <w:r>
        <w:t xml:space="preserve"> </w:t>
      </w:r>
      <w:r>
        <w:t xml:space="preserve">“model surfaces plausible bridge-vessel pairs.”</w:t>
      </w:r>
    </w:p>
    <w:p>
      <w:pPr>
        <w:pStyle w:val="Compact"/>
        <w:numPr>
          <w:ilvl w:val="0"/>
          <w:numId w:val="1018"/>
        </w:numPr>
      </w:pPr>
      <w:r>
        <w:t xml:space="preserve">Multi-threshold validation separates</w:t>
      </w:r>
      <w:r>
        <w:t xml:space="preserve"> </w:t>
      </w:r>
      <w:r>
        <w:t xml:space="preserve">“same region”</w:t>
      </w:r>
      <w:r>
        <w:t xml:space="preserve"> </w:t>
      </w:r>
      <w:r>
        <w:t xml:space="preserve">overlap from</w:t>
      </w:r>
      <w:r>
        <w:t xml:space="preserve"> </w:t>
      </w:r>
      <w:r>
        <w:t xml:space="preserve">“actually close”</w:t>
      </w:r>
      <w:r>
        <w:t xml:space="preserve"> </w:t>
      </w:r>
      <w:r>
        <w:t xml:space="preserve">encounters. Pairs that pass 25 km are more credible than those that only pass 100 km.</w:t>
      </w:r>
    </w:p>
    <w:p>
      <w:pPr>
        <w:pStyle w:val="Compact"/>
        <w:numPr>
          <w:ilvl w:val="0"/>
          <w:numId w:val="1018"/>
        </w:numPr>
      </w:pPr>
      <w:r>
        <w:t xml:space="preserve">The pipeline is reproducible. The full-coverage run requires substantial RAM; the capped graph runs on typical laptops and validates the approach.</w:t>
      </w:r>
    </w:p>
    <w:p>
      <w:r>
        <w:pict>
          <v:rect style="width:0;height:1.5pt" o:hralign="center" o:hrstd="t" o:hr="t"/>
        </w:pict>
      </w:r>
    </w:p>
    <w:bookmarkEnd w:id="61"/>
    <w:bookmarkStart w:id="62" w:name="future-work"/>
    <w:p>
      <w:pPr>
        <w:pStyle w:val="Heading1"/>
      </w:pPr>
      <w:r>
        <w:t xml:space="preserve">10. Future Work</w:t>
      </w:r>
    </w:p>
    <w:p>
      <w:pPr>
        <w:pStyle w:val="Compact"/>
        <w:numPr>
          <w:ilvl w:val="0"/>
          <w:numId w:val="1019"/>
        </w:numPr>
      </w:pPr>
      <w:r>
        <w:rPr>
          <w:b/>
          <w:bCs/>
        </w:rPr>
        <w:t xml:space="preserve">Finer resolution:</w:t>
      </w:r>
      <w:r>
        <w:t xml:space="preserve"> </w:t>
      </w:r>
      <w:r>
        <w:t xml:space="preserve">Sub-daily or higher spatial resolution would improve detection of brief transshipment events.</w:t>
      </w:r>
    </w:p>
    <w:p>
      <w:pPr>
        <w:pStyle w:val="Compact"/>
        <w:numPr>
          <w:ilvl w:val="0"/>
          <w:numId w:val="1019"/>
        </w:numPr>
      </w:pPr>
      <w:r>
        <w:rPr>
          <w:b/>
          <w:bCs/>
        </w:rPr>
        <w:t xml:space="preserve">External metadata:</w:t>
      </w:r>
      <w:r>
        <w:t xml:space="preserve"> </w:t>
      </w:r>
      <w:r>
        <w:t xml:space="preserve">Flag, gear type, ownership, and AIS history from vessel registries would strengthen case-study interpretation.</w:t>
      </w:r>
    </w:p>
    <w:p>
      <w:pPr>
        <w:pStyle w:val="Compact"/>
        <w:numPr>
          <w:ilvl w:val="0"/>
          <w:numId w:val="1019"/>
        </w:numPr>
      </w:pPr>
      <w:r>
        <w:rPr>
          <w:b/>
          <w:bCs/>
        </w:rPr>
        <w:t xml:space="preserve">Supervised labels:</w:t>
      </w:r>
      <w:r>
        <w:t xml:space="preserve"> </w:t>
      </w:r>
      <w:r>
        <w:t xml:space="preserve">If labeled</w:t>
      </w:r>
      <w:r>
        <w:t xml:space="preserve"> </w:t>
      </w:r>
      <w:r>
        <w:t xml:space="preserve">“cooperative”</w:t>
      </w:r>
      <w:r>
        <w:t xml:space="preserve"> </w:t>
      </w:r>
      <w:r>
        <w:t xml:space="preserve">pairs become available (e.g., from enforcement), a supervised model could be trained.</w:t>
      </w:r>
    </w:p>
    <w:p>
      <w:pPr>
        <w:pStyle w:val="Compact"/>
        <w:numPr>
          <w:ilvl w:val="0"/>
          <w:numId w:val="1019"/>
        </w:numPr>
      </w:pPr>
      <w:r>
        <w:rPr>
          <w:b/>
          <w:bCs/>
        </w:rPr>
        <w:t xml:space="preserve">Full-coverage tuning:</w:t>
      </w:r>
      <w:r>
        <w:t xml:space="preserve"> </w:t>
      </w:r>
      <w:r>
        <w:t xml:space="preserve">Hyperparameter tuning on the capped graph yields ROC AUC ~0.99; applying the best config (embedding_dim=32, epochs=5, lr=0.001) to full-coverage when resources allow.</w:t>
      </w:r>
    </w:p>
    <w:p>
      <w:pPr>
        <w:pStyle w:val="Compact"/>
        <w:numPr>
          <w:ilvl w:val="0"/>
          <w:numId w:val="1019"/>
        </w:numPr>
      </w:pPr>
      <w:r>
        <w:rPr>
          <w:b/>
          <w:bCs/>
        </w:rPr>
        <w:t xml:space="preserve">Ensemble scoring:</w:t>
      </w:r>
      <w:r>
        <w:t xml:space="preserve"> </w:t>
      </w:r>
      <w:r>
        <w:t xml:space="preserve">Averaging scores over multiple seeds improves ranking stability.</w:t>
      </w:r>
    </w:p>
    <w:p>
      <w:r>
        <w:pict>
          <v:rect style="width:0;height:1.5pt" o:hralign="center" o:hrstd="t" o:hr="t"/>
        </w:pict>
      </w:r>
    </w:p>
    <w:bookmarkEnd w:id="62"/>
    <w:bookmarkStart w:id="63" w:name="appendix-key-commands"/>
    <w:p>
      <w:pPr>
        <w:pStyle w:val="Heading1"/>
      </w:pPr>
      <w:r>
        <w:t xml:space="preserve">Appendix: Key Commands</w:t>
      </w:r>
    </w:p>
    <w:p>
      <w:pPr>
        <w:pStyle w:val="SourceCode"/>
      </w:pPr>
      <w:r>
        <w:rPr>
          <w:rStyle w:val="CommentTok"/>
        </w:rPr>
        <w:t xml:space="preserve"># Build temporal graph</w:t>
      </w:r>
      <w:r>
        <w:br/>
      </w:r>
      <w:r>
        <w:rPr>
          <w:rStyle w:val="ExtensionTok"/>
        </w:rPr>
        <w:t xml:space="preserve">python3</w:t>
      </w:r>
      <w:r>
        <w:rPr>
          <w:rStyle w:val="NormalTok"/>
        </w:rPr>
        <w:t xml:space="preserve"> scripts/build_temporal_graph_baseline.py </w:t>
      </w:r>
      <w:r>
        <w:rPr>
          <w:rStyle w:val="AttributeTok"/>
        </w:rPr>
        <w:t xml:space="preserve">--years</w:t>
      </w:r>
      <w:r>
        <w:rPr>
          <w:rStyle w:val="NormalTok"/>
        </w:rPr>
        <w:t xml:space="preserve"> 2012,2013,2014,2015,2016,2017,2018,2019 </w:t>
      </w:r>
      <w:r>
        <w:rPr>
          <w:rStyle w:val="AttributeTok"/>
        </w:rPr>
        <w:t xml:space="preserve">--out-edges</w:t>
      </w:r>
      <w:r>
        <w:rPr>
          <w:rStyle w:val="NormalTok"/>
        </w:rPr>
        <w:t xml:space="preserve"> artifacts/edges_2012_2019_full.parquet</w:t>
      </w:r>
      <w:r>
        <w:br/>
      </w:r>
      <w:r>
        <w:br/>
      </w:r>
      <w:r>
        <w:rPr>
          <w:rStyle w:val="CommentTok"/>
        </w:rPr>
        <w:t xml:space="preserve"># Full coverage (Mac: KMP_DUPLICATE_LIB_OK=TRUE, --max-train-buckets 1500)</w:t>
      </w:r>
      <w:r>
        <w:br/>
      </w:r>
      <w:r>
        <w:rPr>
          <w:rStyle w:val="VariableTok"/>
        </w:rPr>
        <w:t xml:space="preserve">KMP_DUPLICATE_LIB_OK</w:t>
      </w:r>
      <w:r>
        <w:rPr>
          <w:rStyle w:val="OperatorTok"/>
        </w:rPr>
        <w:t xml:space="preserve">=</w:t>
      </w:r>
      <w:r>
        <w:rPr>
          <w:rStyle w:val="NormalTok"/>
        </w:rPr>
        <w:t xml:space="preserve">TRUE </w:t>
      </w:r>
      <w:r>
        <w:rPr>
          <w:rStyle w:val="ExtensionTok"/>
        </w:rPr>
        <w:t xml:space="preserve">python3</w:t>
      </w:r>
      <w:r>
        <w:rPr>
          <w:rStyle w:val="NormalTok"/>
        </w:rPr>
        <w:t xml:space="preserve"> scripts/run_tgcn_time_multiseed.py </w:t>
      </w:r>
      <w:r>
        <w:rPr>
          <w:rStyle w:val="AttributeTok"/>
        </w:rPr>
        <w:t xml:space="preserve">--edges</w:t>
      </w:r>
      <w:r>
        <w:rPr>
          <w:rStyle w:val="NormalTok"/>
        </w:rPr>
        <w:t xml:space="preserve"> artifacts/edges_2012_2019_full.parquet </w:t>
      </w:r>
      <w:r>
        <w:rPr>
          <w:rStyle w:val="AttributeTok"/>
        </w:rPr>
        <w:t xml:space="preserve">--epochs</w:t>
      </w:r>
      <w:r>
        <w:rPr>
          <w:rStyle w:val="NormalTok"/>
        </w:rPr>
        <w:t xml:space="preserve"> 5 </w:t>
      </w:r>
      <w:r>
        <w:rPr>
          <w:rStyle w:val="AttributeTok"/>
        </w:rPr>
        <w:t xml:space="preserve">--embedding-dim</w:t>
      </w:r>
      <w:r>
        <w:rPr>
          <w:rStyle w:val="NormalTok"/>
        </w:rPr>
        <w:t xml:space="preserve"> 32 </w:t>
      </w:r>
      <w:r>
        <w:rPr>
          <w:rStyle w:val="AttributeTok"/>
        </w:rPr>
        <w:t xml:space="preserve">--lr</w:t>
      </w:r>
      <w:r>
        <w:rPr>
          <w:rStyle w:val="NormalTok"/>
        </w:rPr>
        <w:t xml:space="preserve"> 0.001 </w:t>
      </w:r>
      <w:r>
        <w:rPr>
          <w:rStyle w:val="AttributeTok"/>
        </w:rPr>
        <w:t xml:space="preserve">--seeds</w:t>
      </w:r>
      <w:r>
        <w:rPr>
          <w:rStyle w:val="NormalTok"/>
        </w:rPr>
        <w:t xml:space="preserve"> 1 </w:t>
      </w:r>
      <w:r>
        <w:rPr>
          <w:rStyle w:val="AttributeTok"/>
        </w:rPr>
        <w:t xml:space="preserve">--use-temporal-node-features</w:t>
      </w:r>
      <w:r>
        <w:rPr>
          <w:rStyle w:val="NormalTok"/>
        </w:rPr>
        <w:t xml:space="preserve"> </w:t>
      </w:r>
      <w:r>
        <w:rPr>
          <w:rStyle w:val="AttributeTok"/>
        </w:rPr>
        <w:t xml:space="preserve">--max-train-buckets</w:t>
      </w:r>
      <w:r>
        <w:rPr>
          <w:rStyle w:val="NormalTok"/>
        </w:rPr>
        <w:t xml:space="preserve"> 1500 </w:t>
      </w:r>
      <w:r>
        <w:rPr>
          <w:rStyle w:val="AttributeTok"/>
        </w:rPr>
        <w:t xml:space="preserve">--out-report</w:t>
      </w:r>
      <w:r>
        <w:rPr>
          <w:rStyle w:val="NormalTok"/>
        </w:rPr>
        <w:t xml:space="preserve"> artifacts/tgcn_time_temporal_nodes_fullcoverage.json</w:t>
      </w:r>
      <w:r>
        <w:br/>
      </w:r>
      <w:r>
        <w:br/>
      </w:r>
      <w:r>
        <w:rPr>
          <w:rStyle w:val="CommentTok"/>
        </w:rPr>
        <w:t xml:space="preserve"># Candidate scoring (full coverage, chunked for memory)</w:t>
      </w:r>
      <w:r>
        <w:br/>
      </w:r>
      <w:r>
        <w:rPr>
          <w:rStyle w:val="VariableTok"/>
        </w:rPr>
        <w:t xml:space="preserve">KMP_DUPLICATE_LIB_OK</w:t>
      </w:r>
      <w:r>
        <w:rPr>
          <w:rStyle w:val="OperatorTok"/>
        </w:rPr>
        <w:t xml:space="preserve">=</w:t>
      </w:r>
      <w:r>
        <w:rPr>
          <w:rStyle w:val="NormalTok"/>
        </w:rPr>
        <w:t xml:space="preserve">TRUE </w:t>
      </w:r>
      <w:r>
        <w:rPr>
          <w:rStyle w:val="ExtensionTok"/>
        </w:rPr>
        <w:t xml:space="preserve">python3</w:t>
      </w:r>
      <w:r>
        <w:rPr>
          <w:rStyle w:val="NormalTok"/>
        </w:rPr>
        <w:t xml:space="preserve"> scripts/score_tgcn_candidates_chunked.py </w:t>
      </w:r>
      <w:r>
        <w:rPr>
          <w:rStyle w:val="AttributeTok"/>
        </w:rPr>
        <w:t xml:space="preserve">--edges</w:t>
      </w:r>
      <w:r>
        <w:rPr>
          <w:rStyle w:val="NormalTok"/>
        </w:rPr>
        <w:t xml:space="preserve"> artifacts/edges_2012_2019_full.parquet </w:t>
      </w:r>
      <w:r>
        <w:rPr>
          <w:rStyle w:val="AttributeTok"/>
        </w:rPr>
        <w:t xml:space="preserve">--embedding-dim</w:t>
      </w:r>
      <w:r>
        <w:rPr>
          <w:rStyle w:val="NormalTok"/>
        </w:rPr>
        <w:t xml:space="preserve"> 32 </w:t>
      </w:r>
      <w:r>
        <w:rPr>
          <w:rStyle w:val="AttributeTok"/>
        </w:rPr>
        <w:t xml:space="preserve">--epochs</w:t>
      </w:r>
      <w:r>
        <w:rPr>
          <w:rStyle w:val="NormalTok"/>
        </w:rPr>
        <w:t xml:space="preserve"> 5 </w:t>
      </w:r>
      <w:r>
        <w:rPr>
          <w:rStyle w:val="AttributeTok"/>
        </w:rPr>
        <w:t xml:space="preserve">--lr</w:t>
      </w:r>
      <w:r>
        <w:rPr>
          <w:rStyle w:val="NormalTok"/>
        </w:rPr>
        <w:t xml:space="preserve"> 0.001 </w:t>
      </w:r>
      <w:r>
        <w:rPr>
          <w:rStyle w:val="AttributeTok"/>
        </w:rPr>
        <w:t xml:space="preserve">--candidates-per-node</w:t>
      </w:r>
      <w:r>
        <w:rPr>
          <w:rStyle w:val="NormalTok"/>
        </w:rPr>
        <w:t xml:space="preserve"> 50 </w:t>
      </w:r>
      <w:r>
        <w:rPr>
          <w:rStyle w:val="AttributeTok"/>
        </w:rPr>
        <w:t xml:space="preserve">--top-k</w:t>
      </w:r>
      <w:r>
        <w:rPr>
          <w:rStyle w:val="NormalTok"/>
        </w:rPr>
        <w:t xml:space="preserve"> 1000 </w:t>
      </w:r>
      <w:r>
        <w:rPr>
          <w:rStyle w:val="AttributeTok"/>
        </w:rPr>
        <w:t xml:space="preserve">--use-temporal-node-features</w:t>
      </w:r>
      <w:r>
        <w:rPr>
          <w:rStyle w:val="NormalTok"/>
        </w:rPr>
        <w:t xml:space="preserve"> </w:t>
      </w:r>
      <w:r>
        <w:rPr>
          <w:rStyle w:val="AttributeTok"/>
        </w:rPr>
        <w:t xml:space="preserve">--max-train-buckets</w:t>
      </w:r>
      <w:r>
        <w:rPr>
          <w:rStyle w:val="NormalTok"/>
        </w:rPr>
        <w:t xml:space="preserve"> 1500 </w:t>
      </w:r>
      <w:r>
        <w:rPr>
          <w:rStyle w:val="AttributeTok"/>
        </w:rPr>
        <w:t xml:space="preserve">--out</w:t>
      </w:r>
      <w:r>
        <w:rPr>
          <w:rStyle w:val="NormalTok"/>
        </w:rPr>
        <w:t xml:space="preserve"> artifacts/tgcn_candidate_scores_fullcoverage.parquet</w:t>
      </w:r>
      <w:r>
        <w:br/>
      </w:r>
      <w:r>
        <w:br/>
      </w:r>
      <w:r>
        <w:rPr>
          <w:rStyle w:val="CommentTok"/>
        </w:rPr>
        <w:t xml:space="preserve"># Run baseline (capped, for laptops) - best tuned config: emb32, ep5, lr0.001</w:t>
      </w:r>
      <w:r>
        <w:br/>
      </w:r>
      <w:r>
        <w:rPr>
          <w:rStyle w:val="ExtensionTok"/>
        </w:rPr>
        <w:t xml:space="preserve">python3</w:t>
      </w:r>
      <w:r>
        <w:rPr>
          <w:rStyle w:val="NormalTok"/>
        </w:rPr>
        <w:t xml:space="preserve"> scripts/run_tgcn_time_multiseed.py </w:t>
      </w:r>
      <w:r>
        <w:rPr>
          <w:rStyle w:val="AttributeTok"/>
        </w:rPr>
        <w:t xml:space="preserve">--edges</w:t>
      </w:r>
      <w:r>
        <w:rPr>
          <w:rStyle w:val="NormalTok"/>
        </w:rPr>
        <w:t xml:space="preserve"> artifacts/edges_2012_2019_cap5000_even30.parquet </w:t>
      </w:r>
      <w:r>
        <w:rPr>
          <w:rStyle w:val="AttributeTok"/>
        </w:rPr>
        <w:t xml:space="preserve">--epochs</w:t>
      </w:r>
      <w:r>
        <w:rPr>
          <w:rStyle w:val="NormalTok"/>
        </w:rPr>
        <w:t xml:space="preserve"> 5 </w:t>
      </w:r>
      <w:r>
        <w:rPr>
          <w:rStyle w:val="AttributeTok"/>
        </w:rPr>
        <w:t xml:space="preserve">--embedding-dim</w:t>
      </w:r>
      <w:r>
        <w:rPr>
          <w:rStyle w:val="NormalTok"/>
        </w:rPr>
        <w:t xml:space="preserve"> 32 </w:t>
      </w:r>
      <w:r>
        <w:rPr>
          <w:rStyle w:val="AttributeTok"/>
        </w:rPr>
        <w:t xml:space="preserve">--lr</w:t>
      </w:r>
      <w:r>
        <w:rPr>
          <w:rStyle w:val="NormalTok"/>
        </w:rPr>
        <w:t xml:space="preserve"> 0.001 </w:t>
      </w:r>
      <w:r>
        <w:rPr>
          <w:rStyle w:val="AttributeTok"/>
        </w:rPr>
        <w:t xml:space="preserve">--seeds</w:t>
      </w:r>
      <w:r>
        <w:rPr>
          <w:rStyle w:val="NormalTok"/>
        </w:rPr>
        <w:t xml:space="preserve"> 1,2,3 </w:t>
      </w:r>
      <w:r>
        <w:rPr>
          <w:rStyle w:val="AttributeTok"/>
        </w:rPr>
        <w:t xml:space="preserve">--use-temporal-node-features</w:t>
      </w:r>
      <w:r>
        <w:rPr>
          <w:rStyle w:val="NormalTok"/>
        </w:rPr>
        <w:t xml:space="preserve"> </w:t>
      </w:r>
      <w:r>
        <w:rPr>
          <w:rStyle w:val="AttributeTok"/>
        </w:rPr>
        <w:t xml:space="preserve">--max-test-buckets</w:t>
      </w:r>
      <w:r>
        <w:rPr>
          <w:rStyle w:val="NormalTok"/>
        </w:rPr>
        <w:t xml:space="preserve"> 20 </w:t>
      </w:r>
      <w:r>
        <w:rPr>
          <w:rStyle w:val="AttributeTok"/>
        </w:rPr>
        <w:t xml:space="preserve">--out-report</w:t>
      </w:r>
      <w:r>
        <w:rPr>
          <w:rStyle w:val="NormalTok"/>
        </w:rPr>
        <w:t xml:space="preserve"> artifacts/tgcn_time_temporal_nodes_smoke.json</w:t>
      </w:r>
      <w:r>
        <w:br/>
      </w:r>
      <w:r>
        <w:br/>
      </w:r>
      <w:r>
        <w:rPr>
          <w:rStyle w:val="CommentTok"/>
        </w:rPr>
        <w:t xml:space="preserve"># Rolling-window cross-validation (5 folds, mean ± std across folds)</w:t>
      </w:r>
      <w:r>
        <w:br/>
      </w:r>
      <w:r>
        <w:rPr>
          <w:rStyle w:val="ExtensionTok"/>
        </w:rPr>
        <w:t xml:space="preserve">python3</w:t>
      </w:r>
      <w:r>
        <w:rPr>
          <w:rStyle w:val="NormalTok"/>
        </w:rPr>
        <w:t xml:space="preserve"> scripts/run_tgcn_time_multiseed.py </w:t>
      </w:r>
      <w:r>
        <w:rPr>
          <w:rStyle w:val="AttributeTok"/>
        </w:rPr>
        <w:t xml:space="preserve">--edges</w:t>
      </w:r>
      <w:r>
        <w:rPr>
          <w:rStyle w:val="NormalTok"/>
        </w:rPr>
        <w:t xml:space="preserve"> artifacts/edges_2012_2019_cap5000_even30.parquet </w:t>
      </w:r>
      <w:r>
        <w:rPr>
          <w:rStyle w:val="AttributeTok"/>
        </w:rPr>
        <w:t xml:space="preserve">--epochs</w:t>
      </w:r>
      <w:r>
        <w:rPr>
          <w:rStyle w:val="NormalTok"/>
        </w:rPr>
        <w:t xml:space="preserve"> 5 </w:t>
      </w:r>
      <w:r>
        <w:rPr>
          <w:rStyle w:val="AttributeTok"/>
        </w:rPr>
        <w:t xml:space="preserve">--embedding-dim</w:t>
      </w:r>
      <w:r>
        <w:rPr>
          <w:rStyle w:val="NormalTok"/>
        </w:rPr>
        <w:t xml:space="preserve"> 32 </w:t>
      </w:r>
      <w:r>
        <w:rPr>
          <w:rStyle w:val="AttributeTok"/>
        </w:rPr>
        <w:t xml:space="preserve">--lr</w:t>
      </w:r>
      <w:r>
        <w:rPr>
          <w:rStyle w:val="NormalTok"/>
        </w:rPr>
        <w:t xml:space="preserve"> 0.001 </w:t>
      </w:r>
      <w:r>
        <w:rPr>
          <w:rStyle w:val="AttributeTok"/>
        </w:rPr>
        <w:t xml:space="preserve">--seeds</w:t>
      </w:r>
      <w:r>
        <w:rPr>
          <w:rStyle w:val="NormalTok"/>
        </w:rPr>
        <w:t xml:space="preserve"> 1 </w:t>
      </w:r>
      <w:r>
        <w:rPr>
          <w:rStyle w:val="AttributeTok"/>
        </w:rPr>
        <w:t xml:space="preserve">--use-temporal-node-features</w:t>
      </w:r>
      <w:r>
        <w:rPr>
          <w:rStyle w:val="NormalTok"/>
        </w:rPr>
        <w:t xml:space="preserve"> </w:t>
      </w:r>
      <w:r>
        <w:rPr>
          <w:rStyle w:val="AttributeTok"/>
        </w:rPr>
        <w:t xml:space="preserve">--cv-folds</w:t>
      </w:r>
      <w:r>
        <w:rPr>
          <w:rStyle w:val="NormalTok"/>
        </w:rPr>
        <w:t xml:space="preserve"> 5 </w:t>
      </w:r>
      <w:r>
        <w:rPr>
          <w:rStyle w:val="AttributeTok"/>
        </w:rPr>
        <w:t xml:space="preserve">--out-report</w:t>
      </w:r>
      <w:r>
        <w:rPr>
          <w:rStyle w:val="NormalTok"/>
        </w:rPr>
        <w:t xml:space="preserve"> artifacts/tgcn_cv_report.json</w:t>
      </w:r>
      <w:r>
        <w:br/>
      </w:r>
      <w:r>
        <w:br/>
      </w:r>
      <w:r>
        <w:rPr>
          <w:rStyle w:val="CommentTok"/>
        </w:rPr>
        <w:t xml:space="preserve"># Hyperparameter tuning</w:t>
      </w:r>
      <w:r>
        <w:br/>
      </w:r>
      <w:r>
        <w:rPr>
          <w:rStyle w:val="ExtensionTok"/>
        </w:rPr>
        <w:t xml:space="preserve">python3</w:t>
      </w:r>
      <w:r>
        <w:rPr>
          <w:rStyle w:val="NormalTok"/>
        </w:rPr>
        <w:t xml:space="preserve"> scripts/tune_tgcn_hyperparams.py </w:t>
      </w:r>
      <w:r>
        <w:rPr>
          <w:rStyle w:val="AttributeTok"/>
        </w:rPr>
        <w:t xml:space="preserve">--edges</w:t>
      </w:r>
      <w:r>
        <w:rPr>
          <w:rStyle w:val="NormalTok"/>
        </w:rPr>
        <w:t xml:space="preserve"> artifacts/edges_2012_2019_cap5000_even30.parquet </w:t>
      </w:r>
      <w:r>
        <w:rPr>
          <w:rStyle w:val="AttributeTok"/>
        </w:rPr>
        <w:t xml:space="preserve">--out-csv</w:t>
      </w:r>
      <w:r>
        <w:rPr>
          <w:rStyle w:val="NormalTok"/>
        </w:rPr>
        <w:t xml:space="preserve"> artifacts/tgcn_tune_results.csv</w:t>
      </w:r>
      <w:r>
        <w:br/>
      </w:r>
      <w:r>
        <w:br/>
      </w:r>
      <w:r>
        <w:rPr>
          <w:rStyle w:val="CommentTok"/>
        </w:rPr>
        <w:t xml:space="preserve"># Overlap validation (use --max-files-per-year 100 for better coverage)</w:t>
      </w:r>
      <w:r>
        <w:br/>
      </w:r>
      <w:r>
        <w:rPr>
          <w:rStyle w:val="ExtensionTok"/>
        </w:rPr>
        <w:t xml:space="preserve">python3</w:t>
      </w:r>
      <w:r>
        <w:rPr>
          <w:rStyle w:val="NormalTok"/>
        </w:rPr>
        <w:t xml:space="preserve"> scripts/compute_pair_overlap_from_daily.py </w:t>
      </w:r>
      <w:r>
        <w:rPr>
          <w:rStyle w:val="AttributeTok"/>
        </w:rPr>
        <w:t xml:space="preserve">--pairs</w:t>
      </w:r>
      <w:r>
        <w:rPr>
          <w:rStyle w:val="NormalTok"/>
        </w:rPr>
        <w:t xml:space="preserve"> artifacts/tgcn_candidates_fullcoverage_top200.csv </w:t>
      </w:r>
      <w:r>
        <w:rPr>
          <w:rStyle w:val="AttributeTok"/>
        </w:rPr>
        <w:t xml:space="preserve">--daily-root</w:t>
      </w:r>
      <w:r>
        <w:rPr>
          <w:rStyle w:val="NormalTok"/>
        </w:rPr>
        <w:t xml:space="preserve"> </w:t>
      </w:r>
      <w:r>
        <w:rPr>
          <w:rStyle w:val="StringTok"/>
        </w:rPr>
        <w:t xml:space="preserve">"data/MMSI daily vessels "</w:t>
      </w:r>
      <w:r>
        <w:rPr>
          <w:rStyle w:val="NormalTok"/>
        </w:rPr>
        <w:t xml:space="preserve"> </w:t>
      </w:r>
      <w:r>
        <w:rPr>
          <w:rStyle w:val="AttributeTok"/>
        </w:rPr>
        <w:t xml:space="preserve">--top-k</w:t>
      </w:r>
      <w:r>
        <w:rPr>
          <w:rStyle w:val="NormalTok"/>
        </w:rPr>
        <w:t xml:space="preserve"> 100 </w:t>
      </w:r>
      <w:r>
        <w:rPr>
          <w:rStyle w:val="AttributeTok"/>
        </w:rPr>
        <w:t xml:space="preserve">--distance-km</w:t>
      </w:r>
      <w:r>
        <w:rPr>
          <w:rStyle w:val="NormalTok"/>
        </w:rPr>
        <w:t xml:space="preserve"> 25 </w:t>
      </w:r>
      <w:r>
        <w:rPr>
          <w:rStyle w:val="AttributeTok"/>
        </w:rPr>
        <w:t xml:space="preserve">--day-window</w:t>
      </w:r>
      <w:r>
        <w:rPr>
          <w:rStyle w:val="NormalTok"/>
        </w:rPr>
        <w:t xml:space="preserve"> 1 </w:t>
      </w:r>
      <w:r>
        <w:rPr>
          <w:rStyle w:val="AttributeTok"/>
        </w:rPr>
        <w:t xml:space="preserve">--max-files-per-year</w:t>
      </w:r>
      <w:r>
        <w:rPr>
          <w:rStyle w:val="NormalTok"/>
        </w:rPr>
        <w:t xml:space="preserve"> 100 </w:t>
      </w:r>
      <w:r>
        <w:rPr>
          <w:rStyle w:val="AttributeTok"/>
        </w:rPr>
        <w:t xml:space="preserve">--out-dir</w:t>
      </w:r>
      <w:r>
        <w:rPr>
          <w:rStyle w:val="NormalTok"/>
        </w:rPr>
        <w:t xml:space="preserve"> artifacts/plots/case_study_pairs_fullcoverage </w:t>
      </w:r>
      <w:r>
        <w:rPr>
          <w:rStyle w:val="AttributeTok"/>
        </w:rPr>
        <w:t xml:space="preserve">--out-summary</w:t>
      </w:r>
      <w:r>
        <w:rPr>
          <w:rStyle w:val="NormalTok"/>
        </w:rPr>
        <w:t xml:space="preserve"> artifacts/close_pairs_fullcoverage_25km_w1.csv</w:t>
      </w:r>
      <w:r>
        <w:br/>
      </w:r>
      <w:r>
        <w:br/>
      </w:r>
      <w:r>
        <w:rPr>
          <w:rStyle w:val="CommentTok"/>
        </w:rPr>
        <w:t xml:space="preserve"># Generate case study plots (use case_study_pairs.csv for the 4 presentation pairs)</w:t>
      </w:r>
      <w:r>
        <w:br/>
      </w:r>
      <w:r>
        <w:rPr>
          <w:rStyle w:val="ExtensionTok"/>
        </w:rPr>
        <w:t xml:space="preserve">python3</w:t>
      </w:r>
      <w:r>
        <w:rPr>
          <w:rStyle w:val="NormalTok"/>
        </w:rPr>
        <w:t xml:space="preserve"> scripts/compute_pair_overlap_from_daily.py </w:t>
      </w:r>
      <w:r>
        <w:rPr>
          <w:rStyle w:val="AttributeTok"/>
        </w:rPr>
        <w:t xml:space="preserve">--pairs</w:t>
      </w:r>
      <w:r>
        <w:rPr>
          <w:rStyle w:val="NormalTok"/>
        </w:rPr>
        <w:t xml:space="preserve"> artifacts/case_study_pairs.csv </w:t>
      </w:r>
      <w:r>
        <w:rPr>
          <w:rStyle w:val="AttributeTok"/>
        </w:rPr>
        <w:t xml:space="preserve">--daily-root</w:t>
      </w:r>
      <w:r>
        <w:rPr>
          <w:rStyle w:val="NormalTok"/>
        </w:rPr>
        <w:t xml:space="preserve"> </w:t>
      </w:r>
      <w:r>
        <w:rPr>
          <w:rStyle w:val="StringTok"/>
        </w:rPr>
        <w:t xml:space="preserve">"data/MMSI daily vessels "</w:t>
      </w:r>
      <w:r>
        <w:rPr>
          <w:rStyle w:val="NormalTok"/>
        </w:rPr>
        <w:t xml:space="preserve"> </w:t>
      </w:r>
      <w:r>
        <w:rPr>
          <w:rStyle w:val="AttributeTok"/>
        </w:rPr>
        <w:t xml:space="preserve">--top-k</w:t>
      </w:r>
      <w:r>
        <w:rPr>
          <w:rStyle w:val="NormalTok"/>
        </w:rPr>
        <w:t xml:space="preserve"> 4 </w:t>
      </w:r>
      <w:r>
        <w:rPr>
          <w:rStyle w:val="AttributeTok"/>
        </w:rPr>
        <w:t xml:space="preserve">--distance-km</w:t>
      </w:r>
      <w:r>
        <w:rPr>
          <w:rStyle w:val="NormalTok"/>
        </w:rPr>
        <w:t xml:space="preserve"> 25 </w:t>
      </w:r>
      <w:r>
        <w:rPr>
          <w:rStyle w:val="AttributeTok"/>
        </w:rPr>
        <w:t xml:space="preserve">--day-window</w:t>
      </w:r>
      <w:r>
        <w:rPr>
          <w:rStyle w:val="NormalTok"/>
        </w:rPr>
        <w:t xml:space="preserve"> 1 </w:t>
      </w:r>
      <w:r>
        <w:rPr>
          <w:rStyle w:val="AttributeTok"/>
        </w:rPr>
        <w:t xml:space="preserve">--out-dir</w:t>
      </w:r>
      <w:r>
        <w:rPr>
          <w:rStyle w:val="NormalTok"/>
        </w:rPr>
        <w:t xml:space="preserve"> artifacts/plots/case_study_pairs</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2026-02-22T21:12:08Z</dcterms:created>
  <dcterms:modified xsi:type="dcterms:W3CDTF">2026-02-22T21:12:08Z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