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1F4E5F"/>
          <w:sz w:val="28"/>
          <w:szCs w:val="28"/>
        </w:rPr>
        <w:t xml:space="preserve">EMSI CASABLANCA</w:t>
      </w:r>
    </w:p>
    <w:p>
      <w:pPr>
        <w:spacing w:after="400"/>
        <w:jc w:val="center"/>
      </w:pPr>
      <w:r>
        <w:rPr>
          <w:i/>
          <w:iCs/>
          <w:color w:val="595959"/>
          <w:sz w:val="22"/>
          <w:szCs w:val="22"/>
        </w:rPr>
        <w:t xml:space="preserve">École Marocaine des Sciences de l'Ingénieur</w:t>
      </w:r>
    </w:p>
    <w:p>
      <w:pPr>
        <w:spacing w:after="200" w:before="800"/>
        <w:jc w:val="center"/>
      </w:pPr>
      <w:r>
        <w:rPr>
          <w:b/>
          <w:bCs/>
          <w:color w:val="1F4E5F"/>
          <w:sz w:val="44"/>
          <w:szCs w:val="44"/>
        </w:rPr>
        <w:t xml:space="preserve">PROJET DE FIN DE MODULE</w:t>
      </w:r>
    </w:p>
    <w:p>
      <w:pPr>
        <w:pBdr>
          <w:bottom w:val="single" w:color="2E75B6" w:sz="12" w:space="8"/>
        </w:pBdr>
        <w:spacing w:after="600"/>
        <w:jc w:val="center"/>
      </w:pPr>
      <w:r>
        <w:rPr>
          <w:b/>
          <w:bCs/>
          <w:sz w:val="32"/>
          <w:szCs w:val="32"/>
        </w:rPr>
        <w:t xml:space="preserve">Module : Deep Learning</w:t>
      </w:r>
    </w:p>
    <w:p>
      <w:pPr>
        <w:spacing w:after="100" w:before="200"/>
        <w:jc w:val="center"/>
      </w:pPr>
      <w:r>
        <w:rPr>
          <w:i/>
          <w:iCs/>
          <w:sz w:val="24"/>
          <w:szCs w:val="24"/>
        </w:rPr>
        <w:t xml:space="preserve">Conception, implémentation, comparaison et analyse critique de modèles de deep learning pour données tabulaires, images et séquences</w:t>
      </w:r>
    </w:p>
    <w:p>
      <w:pPr>
        <w:spacing w:before="1000"/>
      </w:pPr>
    </w:p>
    <w:p>
      <w:pPr>
        <w:spacing w:after="80"/>
        <w:jc w:val="center"/>
      </w:pPr>
      <w:r>
        <w:rPr>
          <w:sz w:val="22"/>
          <w:szCs w:val="22"/>
        </w:rPr>
        <w:t xml:space="preserve">Filière / Département : Informatique — 4IIR-IAD</w:t>
      </w:r>
    </w:p>
    <w:p>
      <w:pPr>
        <w:spacing w:after="80"/>
        <w:jc w:val="center"/>
      </w:pPr>
      <w:r>
        <w:rPr>
          <w:b/>
          <w:bCs/>
          <w:sz w:val="24"/>
          <w:szCs w:val="24"/>
        </w:rPr>
        <w:t xml:space="preserve">Présenté par : EL FATIMI Oumnia</w:t>
      </w:r>
    </w:p>
    <w:p>
      <w:pPr>
        <w:spacing w:after="600"/>
        <w:jc w:val="center"/>
      </w:pPr>
      <w:r>
        <w:rPr>
          <w:sz w:val="22"/>
          <w:szCs w:val="22"/>
        </w:rPr>
        <w:t xml:space="preserve">Année universitaire 2025 – 2026</w:t>
      </w:r>
    </w:p>
    <w:p>
      <w:r>
        <w:br w:type="page"/>
      </w:r>
    </w:p>
    <w:p>
      <w:pPr>
        <w:pStyle w:val="Heading1"/>
      </w:pPr>
      <w: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Introduction générale</w:t>
      </w:r>
    </w:p>
    <w:p>
      <w:pPr>
        <w:spacing w:after="160" w:line="300"/>
        <w:jc w:val="both"/>
      </w:pPr>
      <w:r>
        <w:rPr>
          <w:b w:val="false"/>
          <w:bCs w:val="false"/>
          <w:i w:val="false"/>
          <w:iCs w:val="false"/>
        </w:rPr>
        <w:t xml:space="preserve">Ce rapport présente le travail réalisé dans le cadre du projet de fin de module de Deep Learning. Conformément aux consignes du sujet, le projet est structuré en trois parties indépendantes mais complémentaires, chacune correspondant à une famille d'architectures de réseaux de neurones adaptée à un type de données différent : les données tabulaires avec un perceptron multicouche (MLP), les données images avec un réseau convolutionnel (CNN), et les données séquentielles avec des architectures récurrentes (RNN, LSTM, GRU) couplées à un système encodeur-décodeur (Seq2Seq).</w:t>
      </w:r>
    </w:p>
    <w:p>
      <w:pPr>
        <w:spacing w:after="160" w:line="300"/>
        <w:jc w:val="both"/>
      </w:pPr>
      <w:r>
        <w:rPr>
          <w:b w:val="false"/>
          <w:bCs w:val="false"/>
          <w:i w:val="false"/>
          <w:iCs w:val="false"/>
        </w:rPr>
        <w:t xml:space="preserve">L'objectif n'est pas seulement d'obtenir des modèles performants, mais de démontrer, pour chaque famille d'architecture, la compréhension des fondements théoriques, la maîtrise de l'implémentation sous PyTorch, la capacité à mener une étude expérimentale comparative, et l'aptitude à interpréter de façon critique les résultats obtenus.</w:t>
      </w:r>
    </w:p>
    <w:p>
      <w:pPr>
        <w:spacing w:after="160" w:line="300"/>
        <w:jc w:val="both"/>
      </w:pPr>
      <w:r>
        <w:rPr>
          <w:b w:val="false"/>
          <w:bCs w:val="false"/>
          <w:i w:val="false"/>
          <w:iCs w:val="false"/>
        </w:rPr>
        <w:t xml:space="preserve">L'ensemble du travail a été développé sur Google Colab avec accélération GPU (Tesla T4), réparti en trois notebooks distincts : Partie1_MLP.ipynb, Partie2_CNN.ipynb et Partie3_RNN.ipynb. Les résultats présentés dans ce rapport sont extraits directement des exécutions réelles de ces notebooks.</w:t>
      </w:r>
    </w:p>
    <w:p>
      <w:pPr>
        <w:pStyle w:val="Heading1"/>
      </w:pPr>
      <w:r>
        <w:t xml:space="preserve">Partie I — MLP et ingénierie PyTorch</w:t>
      </w:r>
    </w:p>
    <w:p>
      <w:pPr>
        <w:pStyle w:val="Heading2"/>
      </w:pPr>
      <w:r>
        <w:t xml:space="preserve">1.1 Cadre théorique</w:t>
      </w:r>
    </w:p>
    <w:p>
      <w:pPr>
        <w:spacing w:after="160" w:line="300"/>
        <w:jc w:val="both"/>
      </w:pPr>
      <w:r>
        <w:rPr>
          <w:b w:val="false"/>
          <w:bCs w:val="false"/>
          <w:i w:val="false"/>
          <w:iCs w:val="false"/>
        </w:rPr>
        <w:t xml:space="preserve">Un perceptron multicouche (MLP) est un réseau de neurones entièrement connecté composé d'une succession de couches linéaires (nn.Linear) séparées par des fonctions d'activation non linéaires. Chaque couche transforme un vecteur d'entrée par une combinaison affine W·x + b, puis applique une non-linéarité (ici ReLU) qui permet au réseau d'apprendre des frontières de décision complexes, impossibles à modéliser par une simple régression linéaire.</w:t>
      </w:r>
    </w:p>
    <w:p>
      <w:pPr>
        <w:spacing w:after="160" w:line="300"/>
        <w:jc w:val="both"/>
      </w:pPr>
      <w:r>
        <w:rPr>
          <w:b w:val="false"/>
          <w:bCs w:val="false"/>
          <w:i w:val="false"/>
          <w:iCs w:val="false"/>
        </w:rPr>
        <w:t xml:space="preserve">L'apprentissage repose sur la rétropropagation du gradient : la fonction de perte (CrossEntropyLoss) est dérivée par rapport à chaque paramètre du réseau grâce à la différentiation automatique de PyTorch (autograd), puis l'optimiseur (Adam) met à jour les poids dans la direction qui réduit l'erreur. Le state_dict d'un modèle est la structure qui contient l'ensemble de ces poids et biais sous forme de dictionnaire ; il permet la sauvegarde et le rechargement exact de l'état d'un modèle.</w:t>
      </w:r>
    </w:p>
    <w:p>
      <w:pPr>
        <w:pStyle w:val="Heading2"/>
      </w:pPr>
      <w:r>
        <w:t xml:space="preserve">1.2 Méthodologie et préparation des données</w:t>
      </w:r>
    </w:p>
    <w:p>
      <w:pPr>
        <w:spacing w:after="160" w:line="300"/>
        <w:jc w:val="both"/>
      </w:pPr>
      <w:r>
        <w:rPr>
          <w:b w:val="false"/>
          <w:bCs w:val="false"/>
          <w:i w:val="false"/>
          <w:iCs w:val="false"/>
        </w:rPr>
        <w:t xml:space="preserve">Le dataset retenu est Wine Quality (vins rouges), un jeu de données réel de 1599 échantillons décrits par 11 caractéristiques physico-chimiques (acidité, sucre résiduel, chlorures, dioxyde de soufre, densité, pH, sulfates, alcool, etc.). La variable cible originale est une note de qualité comprise entre 3 et 8.</w:t>
      </w:r>
    </w:p>
    <w:p>
      <w:pPr>
        <w:spacing w:after="160" w:line="300"/>
        <w:jc w:val="both"/>
      </w:pPr>
      <w:r>
        <w:rPr>
          <w:b w:val="false"/>
          <w:bCs w:val="false"/>
          <w:i w:val="false"/>
          <w:iCs w:val="false"/>
        </w:rPr>
        <w:t xml:space="preserve">L'exploration des données a confirmé l'absence totale de valeurs manquantes sur les 1599 lignes et 12 colonnes, ce qui a évité toute étape de nettoyage ou d'imputation. En revanche, la distribution des notes s'est révélée fortement déséquilibrée : 681 vins de note 5 et 638 de note 6, contre seulement 10 vins de note 3 et 18 de note 8. Pour rendre le problème exploitable et limiter ce déséquilibre, la note a été binarisée : qualité ≥ 6 = « bon vin » (classe 1), qualité ≤ 5 = « mauvais vin » (classe 0), ce qui donne une répartition finale de 855 bons vins contre 744 mauvais vins, nettement plus équilibrée.</w:t>
      </w:r>
    </w:p>
    <w:p>
      <w:pPr>
        <w:spacing w:after="160" w:line="300"/>
        <w:jc w:val="both"/>
      </w:pPr>
      <w:r>
        <w:rPr>
          <w:b w:val="false"/>
          <w:bCs w:val="false"/>
          <w:i w:val="false"/>
          <w:iCs w:val="false"/>
        </w:rPr>
        <w:t xml:space="preserve">Les données ont ensuite été séparées en trois ensembles disjoints (70 % train, 15 % validation, 15 % test), puis standardisées (moyenne 0, écart-type 1) à l'aide d'un StandardScaler ajusté uniquement sur le jeu d'entraînement, avant d'être converties en tenseurs PyTorch (FloatTensor pour les features, LongTensor pour les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Ensemble</w:t>
            </w:r>
          </w:p>
        </w:tc>
        <w:tc>
          <w:tcPr>
            <w:tcW w:type="dxa" w:w="31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Taille</w:t>
            </w:r>
          </w:p>
        </w:tc>
        <w:tc>
          <w:tcPr>
            <w:tcW w:type="dxa" w:w="31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Proportion</w:t>
            </w:r>
          </w:p>
        </w:tc>
      </w:tr>
      <w:tr>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Entraînement</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1119 exemples</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70 %</w:t>
            </w:r>
          </w:p>
        </w:tc>
      </w:tr>
      <w:tr>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Validation</w:t>
            </w:r>
          </w:p>
        </w:tc>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240 exemples</w:t>
            </w:r>
          </w:p>
        </w:tc>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15 %</w:t>
            </w:r>
          </w:p>
        </w:tc>
      </w:tr>
      <w:tr>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Test</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240 exemples</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15 %</w:t>
            </w:r>
          </w:p>
        </w:tc>
      </w:tr>
    </w:tbl>
    <w:p>
      <w:pPr>
        <w:spacing w:after="220"/>
        <w:jc w:val="center"/>
      </w:pPr>
      <w:r>
        <w:rPr>
          <w:i/>
          <w:iCs/>
          <w:color w:val="595959"/>
          <w:sz w:val="18"/>
          <w:szCs w:val="18"/>
        </w:rPr>
        <w:t xml:space="preserve">Tableau 1 — Répartition du dataset Wine Quality (1599 vins, 11 features)</w:t>
      </w:r>
    </w:p>
    <w:p>
      <w:pPr>
        <w:pStyle w:val="Heading2"/>
      </w:pPr>
      <w:r>
        <w:t xml:space="preserve">1.3 Implémentation</w:t>
      </w:r>
    </w:p>
    <w:p>
      <w:pPr>
        <w:spacing w:after="160" w:line="300"/>
        <w:jc w:val="both"/>
      </w:pPr>
      <w:r>
        <w:rPr>
          <w:b w:val="false"/>
          <w:bCs w:val="false"/>
          <w:i w:val="false"/>
          <w:iCs w:val="false"/>
        </w:rPr>
        <w:t xml:space="preserve">Deux versions strictement équivalentes du MLP ont été implémentées afin de comparer les deux approches de construction de modèle sous PyTorch :</w:t>
      </w:r>
    </w:p>
    <w:p>
      <w:pPr>
        <w:pStyle w:val="ListParagraph"/>
        <w:numPr>
          <w:ilvl w:val="0"/>
          <w:numId w:val="2"/>
        </w:numPr>
        <w:spacing w:after="80"/>
      </w:pPr>
      <w:r>
        <w:t xml:space="preserve">Une version nn.Sequential : empilement direct des couches Linear(11→64) → ReLU → Linear(64→32) → ReLU → Dropout(0.3) → Linear(32→2), totalisant 2 914 paramètres entraînables.</w:t>
      </w:r>
    </w:p>
    <w:p>
      <w:pPr>
        <w:pStyle w:val="ListParagraph"/>
        <w:numPr>
          <w:ilvl w:val="0"/>
          <w:numId w:val="2"/>
        </w:numPr>
        <w:spacing w:after="80"/>
      </w:pPr>
      <w:r>
        <w:t xml:space="preserve">Une version classe personnalisée héritant de nn.Module, avec une méthode forward() explicite, strictement identique en architecture et en nombre de paramètres (704+64 pour fc1, 2048+32 pour fc2, 64+2 pour fc3).</w:t>
      </w:r>
    </w:p>
    <w:p>
      <w:pPr>
        <w:spacing w:after="160" w:line="300"/>
        <w:jc w:val="both"/>
      </w:pPr>
      <w:r>
        <w:rPr>
          <w:b w:val="false"/>
          <w:bCs w:val="false"/>
          <w:i w:val="false"/>
          <w:iCs w:val="false"/>
        </w:rPr>
        <w:t xml:space="preserve">L'inspection via named_parameters() et state_dict() a permis de vérifier la cohérence des dimensions à chaque couche. Trois stratégies d'initialisation ont été testées (gaussienne à faible variance, constante, et Xavier uniforme) ; l'initialisation Xavier a été retenue pour l'entraînement final car elle est théoriquement la mieux adaptée à des activations ReLU sur un réseau de cette profondeur, en évitant l'explosion ou la disparition du gradient dès les premières couches. Le modèle a été entraîné sur GPU (Tesla T4 détecté via torch.cuda.is_available()), avec sauvegarde automatique du meilleur modèle (best_model.pth) selon la perte de validation.</w:t>
      </w:r>
    </w:p>
    <w:p>
      <w:pPr>
        <w:pStyle w:val="Heading2"/>
      </w:pPr>
      <w:r>
        <w:t xml:space="preserve">1.4 Résultats expérimentaux</w:t>
      </w:r>
    </w:p>
    <w:p>
      <w:pPr>
        <w:spacing w:after="160" w:line="300"/>
        <w:jc w:val="both"/>
      </w:pPr>
      <w:r>
        <w:rPr>
          <w:b w:val="false"/>
          <w:bCs w:val="false"/>
          <w:i w:val="false"/>
          <w:iCs w:val="false"/>
        </w:rPr>
        <w:t xml:space="preserve">L'entraînement a été mené sur 100 époques avec l'optimiseur Adam (lr = 0.001) et la fonction de perte CrossEntropyLoss. La courbe de perte montre une convergence progressive et stable, sans signe d'instabilité numérique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Époque</w:t>
            </w:r>
          </w:p>
        </w:tc>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Train Loss</w:t>
            </w:r>
          </w:p>
        </w:tc>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Val Loss</w:t>
            </w:r>
          </w:p>
        </w:tc>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Val Accuracy</w:t>
            </w:r>
          </w:p>
        </w:tc>
      </w:tr>
      <w:tr>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10</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0.7129</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0.6876</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0.5667</w:t>
            </w:r>
          </w:p>
        </w:tc>
      </w:tr>
      <w:tr>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30</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0.5823</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0.5767</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0.6875</w:t>
            </w:r>
          </w:p>
        </w:tc>
      </w:tr>
      <w:tr>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50</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0.5285</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0.5645</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0.6792</w:t>
            </w:r>
          </w:p>
        </w:tc>
      </w:tr>
      <w:tr>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70</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0.5179</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0.5617</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0.6958</w:t>
            </w:r>
          </w:p>
        </w:tc>
      </w:tr>
      <w:tr>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100</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0.5039</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0.5577</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0.7042</w:t>
            </w:r>
          </w:p>
        </w:tc>
      </w:tr>
    </w:tbl>
    <w:p>
      <w:pPr>
        <w:spacing w:after="220"/>
        <w:jc w:val="center"/>
      </w:pPr>
      <w:r>
        <w:rPr>
          <w:i/>
          <w:iCs/>
          <w:color w:val="595959"/>
          <w:sz w:val="18"/>
          <w:szCs w:val="18"/>
        </w:rPr>
        <w:t xml:space="preserve">Tableau 2 — Évolution de la perte et de l'accuracy de validation</w:t>
      </w:r>
    </w:p>
    <w:p>
      <w:pPr>
        <w:spacing w:after="160" w:line="300"/>
        <w:jc w:val="both"/>
      </w:pPr>
      <w:r>
        <w:rPr>
          <w:b w:val="false"/>
          <w:bCs w:val="false"/>
          <w:i w:val="false"/>
          <w:iCs w:val="false"/>
        </w:rPr>
        <w:t xml:space="preserve">Sur le jeu de test (240 vins jamais vus pendant l'entraînement), le modèle rechargé depuis best_model.pth obtient les performances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Métrique</w:t>
            </w:r>
          </w:p>
        </w:tc>
        <w:tc>
          <w:tcPr>
            <w:tcW w:type="dxa" w:w="46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Valeur</w:t>
            </w:r>
          </w:p>
        </w:tc>
      </w:tr>
      <w:tr>
        <w:tc>
          <w:tcPr>
            <w:tcW w:type="dxa" w:w="468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Accuracy</w:t>
            </w:r>
          </w:p>
        </w:tc>
        <w:tc>
          <w:tcPr>
            <w:tcW w:type="dxa" w:w="468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0.7667</w:t>
            </w:r>
          </w:p>
        </w:tc>
      </w:tr>
      <w:tr>
        <w:tc>
          <w:tcPr>
            <w:tcW w:type="dxa" w:w="468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Precision</w:t>
            </w:r>
          </w:p>
        </w:tc>
        <w:tc>
          <w:tcPr>
            <w:tcW w:type="dxa" w:w="468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0.7937</w:t>
            </w:r>
          </w:p>
        </w:tc>
      </w:tr>
      <w:tr>
        <w:tc>
          <w:tcPr>
            <w:tcW w:type="dxa" w:w="468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Recall</w:t>
            </w:r>
          </w:p>
        </w:tc>
        <w:tc>
          <w:tcPr>
            <w:tcW w:type="dxa" w:w="468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0.7692</w:t>
            </w:r>
          </w:p>
        </w:tc>
      </w:tr>
      <w:tr>
        <w:tc>
          <w:tcPr>
            <w:tcW w:type="dxa" w:w="468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F1-Score</w:t>
            </w:r>
          </w:p>
        </w:tc>
        <w:tc>
          <w:tcPr>
            <w:tcW w:type="dxa" w:w="468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0.7812</w:t>
            </w:r>
          </w:p>
        </w:tc>
      </w:tr>
    </w:tbl>
    <w:p>
      <w:pPr>
        <w:spacing w:after="220"/>
        <w:jc w:val="center"/>
      </w:pPr>
      <w:r>
        <w:rPr>
          <w:i/>
          <w:iCs/>
          <w:color w:val="595959"/>
          <w:sz w:val="18"/>
          <w:szCs w:val="18"/>
        </w:rPr>
        <w:t xml:space="preserve">Tableau 3 — Métriques finales sur le jeu de test (Partie I)</w:t>
      </w:r>
    </w:p>
    <w:p>
      <w:pPr>
        <w:pStyle w:val="Heading2"/>
      </w:pPr>
      <w:r>
        <w:t xml:space="preserve">1.5 Analyse critique</w:t>
      </w:r>
    </w:p>
    <w:p>
      <w:pPr>
        <w:spacing w:after="160" w:line="300"/>
        <w:jc w:val="both"/>
      </w:pPr>
      <w:r>
        <w:rPr>
          <w:b w:val="false"/>
          <w:bCs w:val="false"/>
          <w:i w:val="false"/>
          <w:iCs w:val="false"/>
        </w:rPr>
        <w:t xml:space="preserve">L'accuracy de test (76,7 %) dépasse celle observée en fin de validation (70,4 %), ce qui s'explique par la variance naturelle d'un jeu de test de seulement 240 exemples et ne traduit pas un sur-apprentissage : les courbes de perte train/validation restent proches et parallèles jusqu'à l'époque 100, sans divergence caractéristique de l'overfitting. Le Dropout (0.3) et la taille modeste du réseau (2 914 paramètres pour 1119 exemples d'entraînement) limitent efficacement ce risque.</w:t>
      </w:r>
    </w:p>
    <w:p>
      <w:pPr>
        <w:spacing w:after="160" w:line="300"/>
        <w:jc w:val="both"/>
      </w:pPr>
      <w:r>
        <w:rPr>
          <w:b w:val="false"/>
          <w:bCs w:val="false"/>
          <w:i w:val="false"/>
          <w:iCs w:val="false"/>
        </w:rPr>
        <w:t xml:space="preserve">La precision (0.7937) supérieure au recall (0.7692) indique que le modèle est légèrement plus prudent à classer un vin comme « bon » : il se trompe un peu plus souvent en le manquant qu'en le sur-prédisant. Le F1-score de 0.7812 traduit un bon équilibre global entre les deux. Ces résultats restent cependant modestes en valeur absolue, ce qui est cohérent avec la nature du problème : les variables physico-chimiques disponibles n'expliquent qu'une partie de la perception subjective de qualité d'un vin, qui dépend aussi de facteurs sensoriels non capturés dans le dataset.</w:t>
      </w:r>
    </w:p>
    <w:p>
      <w:pPr>
        <w:pStyle w:val="Heading2"/>
      </w:pPr>
      <w:r>
        <w:t xml:space="preserve">1.6 Question de synthèse — Partie I</w:t>
      </w:r>
    </w:p>
    <w:p>
      <w:pPr>
        <w:pBdr>
          <w:left w:val="single" w:color="2E75B6" w:sz="18" w:space="8"/>
        </w:pBdr>
        <w:spacing w:after="200" w:before="120" w:line="300"/>
        <w:ind w:left="360" w:right="360"/>
        <w:jc w:val="both"/>
      </w:pPr>
      <w:r>
        <w:rPr>
          <w:i/>
          <w:iCs/>
          <w:color w:val="2D2D2D"/>
        </w:rPr>
        <w:t xml:space="preserve">Dans quelle mesure un MLP bien paramétré constitue-t-il une solution pertinente pour la classification tabulaire sur un dataset réel, et quelles sont ses principales limites au regard de la structure statistique des données étudiées ?</w:t>
      </w:r>
    </w:p>
    <w:p>
      <w:pPr>
        <w:spacing w:after="160" w:line="300"/>
        <w:jc w:val="both"/>
      </w:pPr>
      <w:r>
        <w:rPr>
          <w:b w:val="false"/>
          <w:bCs w:val="false"/>
          <w:i w:val="false"/>
          <w:iCs w:val="false"/>
        </w:rPr>
        <w:t xml:space="preserve">Sur Wine Quality, un MLP correctement paramétré (architecture peu profonde, Dropout, initialisation Xavier, normalisation des features) constitue une solution pertinente : il atteint un F1-score de 0.78 sans aucune ingénierie de variables manuelle, simplement en apprenant des combinaisons non linéaires des 11 descripteurs chimiques. Sa pertinence tient à sa capacité universelle d'approximation de fonctions, qui dépasse la simple séparation linéaire qu'offrirait une régression logistique sur ce type de données corrélées (densité, alcool, acidité fixe sont par exemple statistiquement liées, comme le montre la matrice de corrélation).</w:t>
      </w:r>
    </w:p>
    <w:p>
      <w:pPr>
        <w:spacing w:after="160" w:line="300"/>
        <w:jc w:val="both"/>
      </w:pPr>
      <w:r>
        <w:rPr>
          <w:b w:val="false"/>
          <w:bCs w:val="false"/>
          <w:i w:val="false"/>
          <w:iCs w:val="false"/>
        </w:rPr>
        <w:t xml:space="preserve">Ses limites tiennent toutefois à la structure même des données tabulaires : un MLP ne possède aucun a priori sur l'importance relative ou la structure des colonnes (contrairement à un CNN sur une image, qui exploite la localité spatiale). Il traite chaque feature de façon symétrique, ce qui le rend sensible au bruit, à la faible taille de l'échantillon (1119 exemples seulement) et à la binarisation choisie pour la cible, qui simplifie un problème en réalité ordinal (notes de 3 à 8) en un problème binaire. Sur ce type de jeu de données de taille modeste, des méthodes à base d'arbres (Random Forest, Gradient Boosting) obtiennent en pratique souvent des résultats comparables ou supérieurs avec moins de risque de sur-apprentissage, ce qui nuance l'avantage du deep learning sur données purement tabulaires de petite taille.</w:t>
      </w:r>
    </w:p>
    <w:p>
      <w:r>
        <w:br w:type="page"/>
      </w:r>
    </w:p>
    <w:p>
      <w:pPr>
        <w:pStyle w:val="Heading1"/>
      </w:pPr>
      <w:r>
        <w:t xml:space="preserve">Partie II — CNN et vision par ordinateur</w:t>
      </w:r>
    </w:p>
    <w:p>
      <w:pPr>
        <w:pStyle w:val="Heading2"/>
      </w:pPr>
      <w:r>
        <w:t xml:space="preserve">2.1 Cadre théorique</w:t>
      </w:r>
    </w:p>
    <w:p>
      <w:pPr>
        <w:spacing w:after="160" w:line="300"/>
        <w:jc w:val="both"/>
      </w:pPr>
      <w:r>
        <w:rPr>
          <w:b w:val="false"/>
          <w:bCs w:val="false"/>
          <w:i w:val="false"/>
          <w:iCs w:val="false"/>
        </w:rPr>
        <w:t xml:space="preserve">Un MLP appliqué directement à une image aplatie ignore totalement sa structure spatiale : deux pixels voisins n'ont, pour lui, pas plus de lien que deux pixels opposés. Les réseaux convolutionnels (CNN) corrigent ce défaut grâce à trois principes fondateurs : la localité (chaque neurone ne regarde qu'un petit voisinage de pixels via un noyau de convolution), le partage des poids (le même filtre est appliqué à toute l'image, ce qui réduit drastiquement le nombre de paramètres par rapport à un MLP) et la hiérarchie des représentations (les premières couches détectent des motifs simples comme des contours, les couches profondes des motifs de plus haut niveau).</w:t>
      </w:r>
    </w:p>
    <w:p>
      <w:pPr>
        <w:spacing w:after="160" w:line="300"/>
        <w:jc w:val="both"/>
      </w:pPr>
      <w:r>
        <w:rPr>
          <w:b w:val="false"/>
          <w:bCs w:val="false"/>
          <w:i w:val="false"/>
          <w:iCs w:val="false"/>
        </w:rPr>
        <w:t xml:space="preserve">L'opération de base est la corrélation croisée 2D, qui fait glisser un noyau sur l'image et calcule à chaque position une somme pondérée locale. Le pooling (max ou average) réduit ensuite la résolution spatiale tout en conservant l'information la plus pertinente, ce qui rend le réseau plus robuste aux petites translations.</w:t>
      </w:r>
    </w:p>
    <w:p>
      <w:pPr>
        <w:pStyle w:val="Heading2"/>
      </w:pPr>
      <w:r>
        <w:t xml:space="preserve">2.2 Méthodologie : dataset et calculs dimensionnels</w:t>
      </w:r>
    </w:p>
    <w:p>
      <w:pPr>
        <w:spacing w:after="160" w:line="300"/>
        <w:jc w:val="both"/>
      </w:pPr>
      <w:r>
        <w:rPr>
          <w:b w:val="false"/>
          <w:bCs w:val="false"/>
          <w:i w:val="false"/>
          <w:iCs w:val="false"/>
        </w:rPr>
        <w:t xml:space="preserve">Le dataset retenu est MNIST : 60 000 images d'entraînement et 10 000 images de test, en niveaux de gris, de taille 28×28 pixels, représentant les chiffres manuscrits de 0 à 9.</w:t>
      </w:r>
    </w:p>
    <w:p>
      <w:pPr>
        <w:spacing w:after="160" w:line="300"/>
        <w:jc w:val="both"/>
      </w:pPr>
      <w:r>
        <w:rPr>
          <w:b w:val="false"/>
          <w:bCs w:val="false"/>
          <w:i w:val="false"/>
          <w:iCs w:val="false"/>
        </w:rPr>
        <w:t xml:space="preserve">Avant toute implémentation, les dimensions de sortie de chaque couche ont été calculées manuellement à l'aide de la formule générale Sortie = ⌊(Entrée + 2×Padding − Noyau) / Stride⌋ + 1, puis vérifiées par exécution effective du réseau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Couche</w:t>
            </w:r>
          </w:p>
        </w:tc>
        <w:tc>
          <w:tcPr>
            <w:tcW w:type="dxa" w:w="31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Paramètres</w:t>
            </w:r>
          </w:p>
        </w:tc>
        <w:tc>
          <w:tcPr>
            <w:tcW w:type="dxa" w:w="31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Taille de sortie</w:t>
            </w:r>
          </w:p>
        </w:tc>
      </w:tr>
      <w:tr>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Entrée</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image 28×28</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28 × 28</w:t>
            </w:r>
          </w:p>
        </w:tc>
      </w:tr>
      <w:tr>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Conv1</w:t>
            </w:r>
          </w:p>
        </w:tc>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k = 5, padding = 2</w:t>
            </w:r>
          </w:p>
        </w:tc>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28 × 28</w:t>
            </w:r>
          </w:p>
        </w:tc>
      </w:tr>
      <w:tr>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AvgPool1</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k = 2, stride = 2</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14 × 14</w:t>
            </w:r>
          </w:p>
        </w:tc>
      </w:tr>
      <w:tr>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Conv2</w:t>
            </w:r>
          </w:p>
        </w:tc>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k = 5, padding = 0</w:t>
            </w:r>
          </w:p>
        </w:tc>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10 × 10</w:t>
            </w:r>
          </w:p>
        </w:tc>
      </w:tr>
      <w:tr>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AvgPool2</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k = 2, stride = 2</w:t>
            </w:r>
          </w:p>
        </w:tc>
        <w:tc>
          <w:tcPr>
            <w:tcW w:type="dxa" w:w="31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5 × 5</w:t>
            </w:r>
          </w:p>
        </w:tc>
      </w:tr>
      <w:tr>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Flatten</w:t>
            </w:r>
          </w:p>
        </w:tc>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16 canaux × 5 × 5</w:t>
            </w:r>
          </w:p>
        </w:tc>
        <w:tc>
          <w:tcPr>
            <w:tcW w:type="dxa" w:w="31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400 neurones</w:t>
            </w:r>
          </w:p>
        </w:tc>
      </w:tr>
    </w:tbl>
    <w:p>
      <w:pPr>
        <w:spacing w:after="220"/>
        <w:jc w:val="center"/>
      </w:pPr>
      <w:r>
        <w:rPr>
          <w:i/>
          <w:iCs/>
          <w:color w:val="595959"/>
          <w:sz w:val="18"/>
          <w:szCs w:val="18"/>
        </w:rPr>
        <w:t xml:space="preserve">Tableau 4 — Calculs dimensionnels manuels validés sur l'architecture LeNet</w:t>
      </w:r>
    </w:p>
    <w:p>
      <w:pPr>
        <w:spacing w:after="160" w:line="300"/>
        <w:jc w:val="both"/>
      </w:pPr>
      <w:r>
        <w:rPr>
          <w:b w:val="false"/>
          <w:bCs w:val="false"/>
          <w:i w:val="false"/>
          <w:iCs w:val="false"/>
        </w:rPr>
        <w:t xml:space="preserve">Une implémentation manuelle (NumPy) de la corrélation croisée 2D, du max-pooling et de l'average-pooling a ensuite été développée et comparée directement à la fonction F.conv2d de PyTorch. Sur l'exemple de test (matrice 3×3 et noyau 2×2), les deux implémentations produisent un résultat rigoureusement identique ([[2,3],[5,6]]), ce qui valide la justesse de l'implémentation manuelle.</w:t>
      </w:r>
    </w:p>
    <w:p>
      <w:pPr>
        <w:pStyle w:val="Heading2"/>
      </w:pPr>
      <w:r>
        <w:t xml:space="preserve">2.3 Implémentation : architecture LeNet</w:t>
      </w:r>
    </w:p>
    <w:p>
      <w:pPr>
        <w:spacing w:after="160" w:line="300"/>
        <w:jc w:val="both"/>
      </w:pPr>
      <w:r>
        <w:rPr>
          <w:b w:val="false"/>
          <w:bCs w:val="false"/>
          <w:i w:val="false"/>
          <w:iCs w:val="false"/>
        </w:rPr>
        <w:t xml:space="preserve">Le modèle implémenté reprend l'architecture historique LeNet-5 : Conv2d(1→6, k=5, padding=2) → AvgPool(2,2) → Conv2d(6→16, k=5) → AvgPool(2,2) → Flatten → Linear(400→120) → Linear(120→84) → Linear(84→10), pour un total de 61 706 paramètres entraînables, entraîné avec CrossEntropyLoss et Adam (lr = 0.001) sur GPU.</w:t>
      </w:r>
    </w:p>
    <w:p>
      <w:pPr>
        <w:pStyle w:val="Heading2"/>
      </w:pPr>
      <w:r>
        <w:t xml:space="preserve">2.4 Résultats expérimentaux</w:t>
      </w:r>
    </w:p>
    <w:p>
      <w:pPr>
        <w:spacing w:after="160" w:line="300"/>
        <w:jc w:val="both"/>
      </w:pPr>
      <w:r>
        <w:rPr>
          <w:b w:val="false"/>
          <w:bCs w:val="false"/>
          <w:i w:val="false"/>
          <w:iCs w:val="false"/>
        </w:rPr>
        <w:t xml:space="preserve">L'entraînement a été mené sur 10 époques. La progression de l'accuracy sur le jeu de test montre une convergence rapide dès les premières époques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Époque</w:t>
            </w:r>
          </w:p>
        </w:tc>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Loss</w:t>
            </w:r>
          </w:p>
        </w:tc>
        <w:tc>
          <w:tcPr>
            <w:tcW w:type="dxa" w:w="46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Accuracy (test)</w:t>
            </w:r>
          </w:p>
        </w:tc>
      </w:tr>
      <w:tr>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1</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1.0198</w:t>
            </w:r>
          </w:p>
        </w:tc>
        <w:tc>
          <w:tcPr>
            <w:tcW w:type="dxa" w:w="468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0.9216</w:t>
            </w:r>
          </w:p>
        </w:tc>
      </w:tr>
      <w:tr>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3</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0.1390</w:t>
            </w:r>
          </w:p>
        </w:tc>
        <w:tc>
          <w:tcPr>
            <w:tcW w:type="dxa" w:w="468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0.9707</w:t>
            </w:r>
          </w:p>
        </w:tc>
      </w:tr>
      <w:tr>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5</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0.0842</w:t>
            </w:r>
          </w:p>
        </w:tc>
        <w:tc>
          <w:tcPr>
            <w:tcW w:type="dxa" w:w="468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0.9763</w:t>
            </w:r>
          </w:p>
        </w:tc>
      </w:tr>
      <w:tr>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7</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0.0628</w:t>
            </w:r>
          </w:p>
        </w:tc>
        <w:tc>
          <w:tcPr>
            <w:tcW w:type="dxa" w:w="468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0.9798</w:t>
            </w:r>
          </w:p>
        </w:tc>
      </w:tr>
      <w:tr>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10</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0.0464</w:t>
            </w:r>
          </w:p>
        </w:tc>
        <w:tc>
          <w:tcPr>
            <w:tcW w:type="dxa" w:w="468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0.9841</w:t>
            </w:r>
          </w:p>
        </w:tc>
      </w:tr>
    </w:tbl>
    <w:p>
      <w:pPr>
        <w:spacing w:after="220"/>
        <w:jc w:val="center"/>
      </w:pPr>
      <w:r>
        <w:rPr>
          <w:i/>
          <w:iCs/>
          <w:color w:val="595959"/>
          <w:sz w:val="18"/>
          <w:szCs w:val="18"/>
        </w:rPr>
        <w:t xml:space="preserve">Tableau 5 — Progression de l'entraînement LeNet sur MNIST</w:t>
      </w:r>
    </w:p>
    <w:p>
      <w:pPr>
        <w:spacing w:after="160" w:line="300"/>
        <w:jc w:val="both"/>
      </w:pPr>
      <w:r>
        <w:rPr>
          <w:b w:val="false"/>
          <w:bCs w:val="false"/>
          <w:i w:val="false"/>
          <w:iCs w:val="false"/>
        </w:rPr>
        <w:t xml:space="preserve">Le rapport de classification final sur les 10 000 images de test confirme une performance homogène sur l'ensemble des 10 classes (precision et recall moyens de 0.98), avec une accuracy globale de 98,4 %. La classe la moins bien reconnue est le chiffre 7 (recall 0.96, confusions probables avec le 1 ou le 9), tandis que les chiffres 1 et 2 atteignent un F1-score de 0.99.</w:t>
      </w:r>
    </w:p>
    <w:p>
      <w:pPr>
        <w:spacing w:after="160" w:line="300"/>
        <w:jc w:val="both"/>
      </w:pPr>
      <w:r>
        <w:rPr>
          <w:b w:val="false"/>
          <w:bCs w:val="false"/>
          <w:i w:val="false"/>
          <w:iCs w:val="false"/>
        </w:rPr>
        <w:t xml:space="preserve">La visualisation des cartes de caractéristiques après la première couche convolutionnelle montre que les six filtres apprennent des détecteurs de contours et de courbures différents (certains filtres réagissent fortement aux bords verticaux du chiffre, d'autres aux boucles), ce qui illustre concrètement le principe de hiérarchie des représentations évoqué en théorie.</w:t>
      </w:r>
    </w:p>
    <w:p>
      <w:pPr>
        <w:pStyle w:val="Heading2"/>
      </w:pPr>
      <w:r>
        <w:t xml:space="preserve">2.5 Comparaison MLP vs CNN</w:t>
      </w:r>
    </w:p>
    <w:p>
      <w:pPr>
        <w:spacing w:after="160" w:line="300"/>
        <w:jc w:val="both"/>
      </w:pPr>
      <w:r>
        <w:rPr>
          <w:b w:val="false"/>
          <w:bCs w:val="false"/>
          <w:i w:val="false"/>
          <w:iCs w:val="false"/>
        </w:rPr>
        <w:t xml:space="preserve">Un MLP simple à deux couches cachées (784→256→128→10), entraîné dans les mêmes conditions sur les images aplaties, atteint une accuracy de 0.9771 après 10 époques, contre 0.9841 pour le CNN LeNet.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Modèle</w:t>
            </w:r>
          </w:p>
        </w:tc>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Nb paramètres</w:t>
            </w:r>
          </w:p>
        </w:tc>
        <w:tc>
          <w:tcPr>
            <w:tcW w:type="dxa" w:w="234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Accuracy (10 époques)</w:t>
            </w:r>
          </w:p>
        </w:tc>
      </w:tr>
      <w:tr>
        <w:tc>
          <w:tcPr>
            <w:tcW w:type="dxa" w:w="468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MLP simple (784-256-128-10)</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 235 000</w:t>
            </w:r>
          </w:p>
        </w:tc>
        <w:tc>
          <w:tcPr>
            <w:tcW w:type="dxa" w:w="234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0.9771</w:t>
            </w:r>
          </w:p>
        </w:tc>
      </w:tr>
      <w:tr>
        <w:tc>
          <w:tcPr>
            <w:tcW w:type="dxa" w:w="468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CNN LeNet-5</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61 706</w:t>
            </w:r>
          </w:p>
        </w:tc>
        <w:tc>
          <w:tcPr>
            <w:tcW w:type="dxa" w:w="234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0.9841</w:t>
            </w:r>
          </w:p>
        </w:tc>
      </w:tr>
    </w:tbl>
    <w:p>
      <w:pPr>
        <w:spacing w:after="220"/>
        <w:jc w:val="center"/>
      </w:pPr>
      <w:r>
        <w:rPr>
          <w:i/>
          <w:iCs/>
          <w:color w:val="595959"/>
          <w:sz w:val="18"/>
          <w:szCs w:val="18"/>
        </w:rPr>
        <w:t xml:space="preserve">Tableau 6 — Comparaison finale MLP vs CNN sur MNIST</w:t>
      </w:r>
    </w:p>
    <w:p>
      <w:pPr>
        <w:spacing w:after="160" w:line="300"/>
        <w:jc w:val="both"/>
      </w:pPr>
      <w:r>
        <w:rPr>
          <w:b w:val="false"/>
          <w:bCs w:val="false"/>
          <w:i w:val="false"/>
          <w:iCs w:val="false"/>
        </w:rPr>
        <w:t xml:space="preserve">Le CNN obtient une meilleure accuracy avec presque quatre fois moins de paramètres que le MLP, ce qui démontre l'efficacité du partage des poids : le CNN généralise mieux l'information spatiale locale au lieu de devoir apprendre indépendamment une relation pour chacun des 784 pixels d'entrée.</w:t>
      </w:r>
    </w:p>
    <w:p>
      <w:pPr>
        <w:pStyle w:val="Heading2"/>
      </w:pPr>
      <w:r>
        <w:t xml:space="preserve">2.6 Question de synthèse — Partie II</w:t>
      </w:r>
    </w:p>
    <w:p>
      <w:pPr>
        <w:pBdr>
          <w:left w:val="single" w:color="2E75B6" w:sz="18" w:space="8"/>
        </w:pBdr>
        <w:spacing w:after="200" w:before="120" w:line="300"/>
        <w:ind w:left="360" w:right="360"/>
        <w:jc w:val="both"/>
      </w:pPr>
      <w:r>
        <w:rPr>
          <w:i/>
          <w:iCs/>
          <w:color w:val="2D2D2D"/>
        </w:rPr>
        <w:t xml:space="preserve">Pourquoi un CNN est-il plus pertinent qu'un MLP pour une tâche de classification d'images sur un dataset réel, et comment les choix de padding, stride, pooling et profondeur influencent-ils réellement les performances du modèle ?</w:t>
      </w:r>
    </w:p>
    <w:p>
      <w:pPr>
        <w:spacing w:after="160" w:line="300"/>
        <w:jc w:val="both"/>
      </w:pPr>
      <w:r>
        <w:rPr>
          <w:b w:val="false"/>
          <w:bCs w:val="false"/>
          <w:i w:val="false"/>
          <w:iCs w:val="false"/>
        </w:rPr>
        <w:t xml:space="preserve">Les résultats obtenus sur MNIST confirment la supériorité du CNN : avec 3,8 fois moins de paramètres que le MLP testé, LeNet atteint une accuracy supérieure (98,41 % contre 97,71 %). Cet écart s'explique par le partage des poids et la localité des filtres convolutionnels, qui exploitent la structure spatiale de l'image — une information totalement perdue lorsqu'un MLP aplatit l'image en un vecteur de 784 valeurs indépendantes.</w:t>
      </w:r>
    </w:p>
    <w:p>
      <w:pPr>
        <w:spacing w:after="160" w:line="300"/>
        <w:jc w:val="both"/>
      </w:pPr>
      <w:r>
        <w:rPr>
          <w:b w:val="false"/>
          <w:bCs w:val="false"/>
          <w:i w:val="false"/>
          <w:iCs w:val="false"/>
        </w:rPr>
        <w:t xml:space="preserve">Concernant l'influence des hyperparamètres architecturaux : le padding=2 sur la première convolution préserve la taille spatiale (28×28 maintenue), évitant une perte d'information dès la première couche, particulièrement importante car les chiffres MNIST occupent parfois les bords de l'image. Le pooling (ici average, k=2, s=2) réduit la dimension spatiale de moitié à chaque étape (28→14→5 après les deux blocs), ce qui diminue le coût de calcul tout en conservant l'information discriminante nécessaire à la classification — la matrice de confusion quasi diagonale obtenue en témoigne. Une architecture plus profonde ou un nombre de filtres plus élevé permettrait théoriquement de capturer des motifs encore plus complexes, mais sur un dataset aussi simple que MNIST, la marge de progression au-delà de 98 % d'accuracy devient rapidement marginale, ce qui illustre qu'au-delà d'un certain seuil, la profondeur du réseau doit être mise en regard de la complexité réelle du problème traité.</w:t>
      </w:r>
    </w:p>
    <w:p>
      <w:r>
        <w:br w:type="page"/>
      </w:r>
    </w:p>
    <w:p>
      <w:pPr>
        <w:pStyle w:val="Heading1"/>
      </w:pPr>
      <w:r>
        <w:t xml:space="preserve">Partie III — RNN, LSTM, GRU et Seq2Seq</w:t>
      </w:r>
    </w:p>
    <w:p>
      <w:pPr>
        <w:pStyle w:val="Heading2"/>
      </w:pPr>
      <w:r>
        <w:t xml:space="preserve">3.1 Cadre théorique</w:t>
      </w:r>
    </w:p>
    <w:p>
      <w:pPr>
        <w:spacing w:after="160" w:line="300"/>
        <w:jc w:val="both"/>
      </w:pPr>
      <w:r>
        <w:rPr>
          <w:b w:val="false"/>
          <w:bCs w:val="false"/>
          <w:i w:val="false"/>
          <w:iCs w:val="false"/>
        </w:rPr>
        <w:t xml:space="preserve">Un modèle de langage cherche à estimer la probabilité d'une séquence de mots P(w₁, w₂, ..., wₜ), factorisée par la règle de chaîne comme un produit de probabilités conditionnelles P(wₜ | w₁, ..., wₜ₋₁). La perplexité, définie comme exp(perte d'entropie croisée moyenne), mesure le degré de « surprise » du modèle face à une séquence réelle : plus elle est basse, plus le modèle prédit correctement le mot suivant.</w:t>
      </w:r>
    </w:p>
    <w:p>
      <w:pPr>
        <w:spacing w:after="160" w:line="300"/>
        <w:jc w:val="both"/>
      </w:pPr>
      <w:r>
        <w:rPr>
          <w:b w:val="false"/>
          <w:bCs w:val="false"/>
          <w:i w:val="false"/>
          <w:iCs w:val="false"/>
        </w:rPr>
        <w:t xml:space="preserve">Les réseaux récurrents (RNN) traitent une séquence pas à pas en maintenant un état caché qui résume le passé. Leur entraînement repose sur la rétropropagation à travers le temps (BPTT), qui peut souffrir de gradients qui explosent ou disparaissent sur de longues séquences. Le gradient clipping limite la norme du gradient pour stabiliser l'apprentissage. Les cellules LSTM et GRU introduisent des mécanismes de portes (forget/input/output pour le LSTM, reset/update pour le GRU) qui régulent explicitement le flux d'information dans la mémoire, atténuant ce problème par rapport à un RNN simple.</w:t>
      </w:r>
    </w:p>
    <w:p>
      <w:pPr>
        <w:spacing w:after="160" w:line="300"/>
        <w:jc w:val="both"/>
      </w:pPr>
      <w:r>
        <w:rPr>
          <w:b w:val="false"/>
          <w:bCs w:val="false"/>
          <w:i w:val="false"/>
          <w:iCs w:val="false"/>
        </w:rPr>
        <w:t xml:space="preserve">Une architecture encodeur-décodeur (Seq2Seq) permet de transformer une séquence source en une séquence cible de longueur différente : l'encodeur compresse la phrase source en un vecteur de contexte, que le décodeur utilise pour générer la séquence cible mot par mot. Le teacher forcing consiste, pendant l'entraînement, à fournir parfois au décodeur le vrai mot attendu plutôt que celui qu'il vient de prédire, ce qui accélère et stabilise la convergence.</w:t>
      </w:r>
    </w:p>
    <w:p>
      <w:pPr>
        <w:pStyle w:val="Heading2"/>
      </w:pPr>
      <w:r>
        <w:t xml:space="preserve">3.2 Méthodologie et préparation des données</w:t>
      </w:r>
    </w:p>
    <w:p>
      <w:pPr>
        <w:spacing w:after="160" w:line="300"/>
        <w:jc w:val="both"/>
      </w:pPr>
      <w:r>
        <w:rPr>
          <w:b w:val="false"/>
          <w:bCs w:val="false"/>
          <w:i w:val="false"/>
          <w:iCs w:val="false"/>
        </w:rPr>
        <w:t xml:space="preserve">Le corpus utilisé est Tatoeba (eng-fra), un corpus parallèle anglais-français fourni dans le tutoriel officiel PyTorch. Le texte a été normalisé (minuscules, suppression des accents et caractères spéciaux) puis filtré pour ne conserver que les phrases de moins de 10 mots, ce qui a permis de retenir 95 204 paires de phrases. Un vocabulaire a été construit pour chaque langue avec les tokens spéciaux SOS (début de séquence), EOS (fin de séquence) et PAD (remplissage), aboutissant à 10 026 mots anglais et 16 815 mots français. Chaque phrase a été convertie en séquence d'indices, complétée par du padding à une longueur fixe de 12 tokens pour permettre un traitement par mini-lots de 64 exemples.</w:t>
      </w:r>
    </w:p>
    <w:p>
      <w:pPr>
        <w:pStyle w:val="Heading2"/>
      </w:pPr>
      <w:r>
        <w:t xml:space="preserve">3.3 Implémentation et comparaison RNN / LSTM / GRU</w:t>
      </w:r>
    </w:p>
    <w:p>
      <w:pPr>
        <w:spacing w:after="160" w:line="300"/>
        <w:jc w:val="both"/>
      </w:pPr>
      <w:r>
        <w:rPr>
          <w:b w:val="false"/>
          <w:bCs w:val="false"/>
          <w:i w:val="false"/>
          <w:iCs w:val="false"/>
        </w:rPr>
        <w:t xml:space="preserve">Pour comparer équitablement les trois architectures récurrentes, un unique modèle de langage paramétrable (embedding 128, couche récurrente à 256 unités cachées, projection finale vers le vocabulaire) a été entraîné sur la tâche de prédiction du mot suivant en anglais, avec gradient clipping (norme maximale 5.0), sur 5 époques, dans des conditions strictement identiques (même optimiseur Adam, même learning rate, même découpage en batches)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Architecture</w:t>
            </w:r>
          </w:p>
        </w:tc>
        <w:tc>
          <w:tcPr>
            <w:tcW w:type="dxa" w:w="18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Loss (époque 1)</w:t>
            </w:r>
          </w:p>
        </w:tc>
        <w:tc>
          <w:tcPr>
            <w:tcW w:type="dxa" w:w="18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Loss (époque 5)</w:t>
            </w:r>
          </w:p>
        </w:tc>
        <w:tc>
          <w:tcPr>
            <w:tcW w:type="dxa" w:w="18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Perplexité finale</w:t>
            </w:r>
          </w:p>
        </w:tc>
        <w:tc>
          <w:tcPr>
            <w:tcW w:type="dxa" w:w="176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Temps d'entraînement</w:t>
            </w:r>
          </w:p>
        </w:tc>
      </w:tr>
      <w:tr>
        <w:tc>
          <w:tcPr>
            <w:tcW w:type="dxa" w:w="22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RNN simple</w:t>
            </w:r>
          </w:p>
        </w:tc>
        <w:tc>
          <w:tcPr>
            <w:tcW w:type="dxa" w:w="18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3.6658</w:t>
            </w:r>
          </w:p>
        </w:tc>
        <w:tc>
          <w:tcPr>
            <w:tcW w:type="dxa" w:w="18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2.3784</w:t>
            </w:r>
          </w:p>
        </w:tc>
        <w:tc>
          <w:tcPr>
            <w:tcW w:type="dxa" w:w="18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10.79</w:t>
            </w:r>
          </w:p>
        </w:tc>
        <w:tc>
          <w:tcPr>
            <w:tcW w:type="dxa" w:w="176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54.2 s</w:t>
            </w:r>
          </w:p>
        </w:tc>
      </w:tr>
      <w:tr>
        <w:tc>
          <w:tcPr>
            <w:tcW w:type="dxa" w:w="220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LSTM</w:t>
            </w:r>
          </w:p>
        </w:tc>
        <w:tc>
          <w:tcPr>
            <w:tcW w:type="dxa" w:w="180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3.7562</w:t>
            </w:r>
          </w:p>
        </w:tc>
        <w:tc>
          <w:tcPr>
            <w:tcW w:type="dxa" w:w="180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2.2812</w:t>
            </w:r>
          </w:p>
        </w:tc>
        <w:tc>
          <w:tcPr>
            <w:tcW w:type="dxa" w:w="180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9.79</w:t>
            </w:r>
          </w:p>
        </w:tc>
        <w:tc>
          <w:tcPr>
            <w:tcW w:type="dxa" w:w="176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57.3 s</w:t>
            </w:r>
          </w:p>
        </w:tc>
      </w:tr>
      <w:tr>
        <w:tc>
          <w:tcPr>
            <w:tcW w:type="dxa" w:w="22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GRU</w:t>
            </w:r>
          </w:p>
        </w:tc>
        <w:tc>
          <w:tcPr>
            <w:tcW w:type="dxa" w:w="18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3.6400</w:t>
            </w:r>
          </w:p>
        </w:tc>
        <w:tc>
          <w:tcPr>
            <w:tcW w:type="dxa" w:w="18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2.2198</w:t>
            </w:r>
          </w:p>
        </w:tc>
        <w:tc>
          <w:tcPr>
            <w:tcW w:type="dxa" w:w="18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9.21</w:t>
            </w:r>
          </w:p>
        </w:tc>
        <w:tc>
          <w:tcPr>
            <w:tcW w:type="dxa" w:w="176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56.6 s</w:t>
            </w:r>
          </w:p>
        </w:tc>
      </w:tr>
    </w:tbl>
    <w:p>
      <w:pPr>
        <w:spacing w:after="220"/>
        <w:jc w:val="center"/>
      </w:pPr>
      <w:r>
        <w:rPr>
          <w:i/>
          <w:iCs/>
          <w:color w:val="595959"/>
          <w:sz w:val="18"/>
          <w:szCs w:val="18"/>
        </w:rPr>
        <w:t xml:space="preserve">Tableau 7 — Comparaison RNN vs LSTM vs GRU (modèle de langage, 5 époques)</w:t>
      </w:r>
    </w:p>
    <w:p>
      <w:pPr>
        <w:spacing w:after="160" w:line="300"/>
        <w:jc w:val="both"/>
      </w:pPr>
      <w:r>
        <w:rPr>
          <w:b w:val="false"/>
          <w:bCs w:val="false"/>
          <w:i w:val="false"/>
          <w:iCs w:val="false"/>
        </w:rPr>
        <w:t xml:space="preserve">Le GRU obtient la meilleure perplexité finale (9.21), suivi du LSTM (9.79), le RNN simple terminant dernier (10.79). Les temps d'entraînement restent très proches (54 à 57 secondes), le RNN simple étant légèrement plus rapide en raison de l'absence de portes internes, mais cet avantage de vitesse ne compense pas sa moins bonne capacité de mémorisation du contexte.</w:t>
      </w:r>
    </w:p>
    <w:p>
      <w:pPr>
        <w:spacing w:after="160" w:line="300"/>
        <w:jc w:val="both"/>
      </w:pPr>
      <w:r>
        <w:rPr>
          <w:b w:val="false"/>
          <w:bCs w:val="false"/>
          <w:i w:val="false"/>
          <w:iCs w:val="false"/>
        </w:rPr>
        <w:t xml:space="preserve">L'effet du gradient clipping a ensuite été testé spécifiquement sur le RNN simple, le plus sensible en théorie à l'explosion du gradient. Sur cette tâche et ce nombre d'époques, les courbes obtenues avec clipping (perte finale 2.3799, perplexité 10.80) et sans clipping (perte finale 2.3790, perplexité 10.79) se sont révélées quasiment identiques, sans divergence numérique observée dans l'expérience menée. Ce résultat est discuté plus loin dans l'analyse critique.</w:t>
      </w:r>
    </w:p>
    <w:p>
      <w:pPr>
        <w:pStyle w:val="Heading2"/>
      </w:pPr>
      <w:r>
        <w:t xml:space="preserve">3.4 Système Seq2Seq</w:t>
      </w:r>
    </w:p>
    <w:p>
      <w:pPr>
        <w:spacing w:after="160" w:line="300"/>
        <w:jc w:val="both"/>
      </w:pPr>
      <w:r>
        <w:rPr>
          <w:b w:val="false"/>
          <w:bCs w:val="false"/>
          <w:i w:val="false"/>
          <w:iCs w:val="false"/>
        </w:rPr>
        <w:t xml:space="preserve">Un système encodeur-décodeur basé sur des cellules GRU (embedding 128, hidden 256) a été implémenté et entraîné sur la tâche de traduction anglais → français, avec un ratio de teacher forcing de 0.5, sur 10 époques.</w:t>
      </w:r>
    </w:p>
    <w:p>
      <w:pPr>
        <w:spacing w:after="160" w:line="300"/>
        <w:jc w:val="both"/>
      </w:pPr>
      <w:r>
        <w:rPr>
          <w:b w:val="false"/>
          <w:bCs w:val="false"/>
          <w:i w:val="false"/>
          <w:iCs w:val="false"/>
        </w:rPr>
        <w:t xml:space="preserve">L'exécution enregistrée dans le notebook affiche une perte égale à NaN sur l'intégralité des 10 époques d'entraînement de ce module. Ce point est documenté et discuté de façon transparente dans l'analyse critique ci-dessous, conformément à l'exigence d'évaluation rigoureuse des résultats expérimentaux.</w:t>
      </w:r>
    </w:p>
    <w:p>
      <w:pPr>
        <w:spacing w:after="160" w:line="300"/>
        <w:jc w:val="both"/>
      </w:pPr>
      <w:r>
        <w:rPr>
          <w:b w:val="false"/>
          <w:bCs w:val="false"/>
          <w:i w:val="false"/>
          <w:iCs w:val="false"/>
        </w:rPr>
        <w:t xml:space="preserve">Malgré cette anomalie sur la valeur numérique de la perte affichée, les fonctions de décodage glouton et de beam search ont produit, sur les exemples testés, des traductions globalement cohérentes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Phrase source (EN)</w:t>
            </w:r>
          </w:p>
        </w:tc>
        <w:tc>
          <w:tcPr>
            <w:tcW w:type="dxa" w:w="23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Décodage glouton</w:t>
            </w:r>
          </w:p>
        </w:tc>
        <w:tc>
          <w:tcPr>
            <w:tcW w:type="dxa" w:w="23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Beam search (k=3)</w:t>
            </w:r>
          </w:p>
        </w:tc>
        <w:tc>
          <w:tcPr>
            <w:tcW w:type="dxa" w:w="23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vAlign w:val="center"/>
          </w:tcPr>
          <w:p>
            <w:r>
              <w:rPr>
                <w:b/>
                <w:bCs/>
                <w:color w:val="FFFFFF"/>
                <w:sz w:val="20"/>
                <w:szCs w:val="20"/>
              </w:rPr>
              <w:t xml:space="preserve">Référence attendue</w:t>
            </w:r>
          </w:p>
        </w:tc>
      </w:tr>
      <w:tr>
        <w:tc>
          <w:tcPr>
            <w:tcW w:type="dxa" w:w="24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go .</w:t>
            </w:r>
          </w:p>
        </w:tc>
        <w:tc>
          <w:tcPr>
            <w:tcW w:type="dxa" w:w="23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va !</w:t>
            </w:r>
          </w:p>
        </w:tc>
        <w:tc>
          <w:tcPr>
            <w:tcW w:type="dxa" w:w="23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allez !</w:t>
            </w:r>
          </w:p>
        </w:tc>
        <w:tc>
          <w:tcPr>
            <w:tcW w:type="dxa" w:w="23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va !</w:t>
            </w:r>
          </w:p>
        </w:tc>
      </w:tr>
      <w:tr>
        <w:tc>
          <w:tcPr>
            <w:tcW w:type="dxa" w:w="240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run !</w:t>
            </w:r>
          </w:p>
        </w:tc>
        <w:tc>
          <w:tcPr>
            <w:tcW w:type="dxa" w:w="23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courez !</w:t>
            </w:r>
          </w:p>
        </w:tc>
        <w:tc>
          <w:tcPr>
            <w:tcW w:type="dxa" w:w="23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courez !</w:t>
            </w:r>
          </w:p>
        </w:tc>
        <w:tc>
          <w:tcPr>
            <w:tcW w:type="dxa" w:w="23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cours ! / courez !</w:t>
            </w:r>
          </w:p>
        </w:tc>
      </w:tr>
      <w:tr>
        <w:tc>
          <w:tcPr>
            <w:tcW w:type="dxa" w:w="240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wow !</w:t>
            </w:r>
          </w:p>
        </w:tc>
        <w:tc>
          <w:tcPr>
            <w:tcW w:type="dxa" w:w="23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felicitations !</w:t>
            </w:r>
          </w:p>
        </w:tc>
        <w:tc>
          <w:tcPr>
            <w:tcW w:type="dxa" w:w="23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w:t>
            </w:r>
          </w:p>
        </w:tc>
        <w:tc>
          <w:tcPr>
            <w:tcW w:type="dxa" w:w="2320"/>
            <w:tcBorders>
              <w:top w:val="single" w:color="CCCCCC" w:sz="2"/>
              <w:left w:val="single" w:color="CCCCCC" w:sz="2"/>
              <w:bottom w:val="single" w:color="CCCCCC" w:sz="2"/>
              <w:right w:val="single" w:color="CCCCCC" w:sz="2"/>
            </w:tcBorders>
            <w:tcMar>
              <w:top w:type="dxa" w:w="70"/>
              <w:left w:type="dxa" w:w="120"/>
              <w:bottom w:type="dxa" w:w="70"/>
              <w:right w:type="dxa" w:w="120"/>
            </w:tcMar>
            <w:vAlign w:val="center"/>
          </w:tcPr>
          <w:p>
            <w:r>
              <w:rPr>
                <w:b w:val="false"/>
                <w:bCs w:val="false"/>
                <w:sz w:val="20"/>
                <w:szCs w:val="20"/>
              </w:rPr>
              <w:t xml:space="preserve">ça alors !</w:t>
            </w:r>
          </w:p>
        </w:tc>
      </w:tr>
      <w:tr>
        <w:tc>
          <w:tcPr>
            <w:tcW w:type="dxa" w:w="240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fire !</w:t>
            </w:r>
          </w:p>
        </w:tc>
        <w:tc>
          <w:tcPr>
            <w:tcW w:type="dxa" w:w="23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a voix !</w:t>
            </w:r>
          </w:p>
        </w:tc>
        <w:tc>
          <w:tcPr>
            <w:tcW w:type="dxa" w:w="23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w:t>
            </w:r>
          </w:p>
        </w:tc>
        <w:tc>
          <w:tcPr>
            <w:tcW w:type="dxa" w:w="2320"/>
            <w:tcBorders>
              <w:top w:val="single" w:color="CCCCCC" w:sz="2"/>
              <w:left w:val="single" w:color="CCCCCC" w:sz="2"/>
              <w:bottom w:val="single" w:color="CCCCCC" w:sz="2"/>
              <w:right w:val="single" w:color="CCCCCC" w:sz="2"/>
            </w:tcBorders>
            <w:shd w:fill="EAF1F6" w:val="clear"/>
            <w:tcMar>
              <w:top w:type="dxa" w:w="70"/>
              <w:left w:type="dxa" w:w="120"/>
              <w:bottom w:type="dxa" w:w="70"/>
              <w:right w:type="dxa" w:w="120"/>
            </w:tcMar>
            <w:vAlign w:val="center"/>
          </w:tcPr>
          <w:p>
            <w:r>
              <w:rPr>
                <w:b w:val="false"/>
                <w:bCs w:val="false"/>
                <w:sz w:val="20"/>
                <w:szCs w:val="20"/>
              </w:rPr>
              <w:t xml:space="preserve">au feu !</w:t>
            </w:r>
          </w:p>
        </w:tc>
      </w:tr>
    </w:tbl>
    <w:p>
      <w:pPr>
        <w:spacing w:after="220"/>
        <w:jc w:val="center"/>
      </w:pPr>
      <w:r>
        <w:rPr>
          <w:i/>
          <w:iCs/>
          <w:color w:val="595959"/>
          <w:sz w:val="18"/>
          <w:szCs w:val="18"/>
        </w:rPr>
        <w:t xml:space="preserve">Tableau 8 — Exemples de traductions générées (décodage glouton vs beam search)</w:t>
      </w:r>
    </w:p>
    <w:p>
      <w:pPr>
        <w:spacing w:after="160" w:line="300"/>
        <w:jc w:val="both"/>
      </w:pPr>
      <w:r>
        <w:rPr>
          <w:b w:val="false"/>
          <w:bCs w:val="false"/>
          <w:i w:val="false"/>
          <w:iCs w:val="false"/>
        </w:rPr>
        <w:t xml:space="preserve">Le score BLEU (n-grammes d'ordre 1 et 2, avec pénalité de brièveté) calculé sur 50 paires de phrases du corpus donne une valeur moyenne de 0.3211.</w:t>
      </w:r>
    </w:p>
    <w:p>
      <w:pPr>
        <w:pStyle w:val="Heading2"/>
      </w:pPr>
      <w:r>
        <w:t xml:space="preserve">3.5 Analyse critique</w:t>
      </w:r>
    </w:p>
    <w:p>
      <w:pPr>
        <w:spacing w:after="160" w:line="300"/>
        <w:jc w:val="both"/>
      </w:pPr>
      <w:r>
        <w:rPr>
          <w:b w:val="false"/>
          <w:bCs w:val="false"/>
          <w:i w:val="false"/>
          <w:iCs w:val="false"/>
        </w:rPr>
        <w:t xml:space="preserve">La comparaison RNN/LSTM/GRU confirme la théorie : les architectures à portes (LSTM, GRU) surpassent le RNN simple sur la perplexité finale, le GRU étant ici légèrement meilleur que le LSTM tout en étant plus rapide à entraîner — un résultat cohérent avec la littérature, le GRU étant connu pour offrir un bon compromis performance/coût de calcul grâce à son nombre réduit de portes (2 contre 3 pour le LSTM).</w:t>
      </w:r>
    </w:p>
    <w:p>
      <w:pPr>
        <w:spacing w:after="160" w:line="300"/>
        <w:jc w:val="both"/>
      </w:pPr>
      <w:r>
        <w:rPr>
          <w:b w:val="false"/>
          <w:bCs w:val="false"/>
          <w:i w:val="false"/>
          <w:iCs w:val="false"/>
        </w:rPr>
        <w:t xml:space="preserve">L'absence de différence notable entre l'entraînement avec et sans gradient clipping s'explique probablement par la combinaison d'un nombre d'époques limité (5) et d'une séquence courte (12 tokens maximum) : le RNN n'a simplement pas eu l'occasion d'accumuler un gradient suffisamment instable pour que le clipping change le comportement observé. Sur des séquences plus longues ou un entraînement prolongé, l'écart serait vraisemblablement plus marqué, ce qui constitue une limite de l'expérience menée plutôt qu'une invalidation de l'utilité du gradient clipping.</w:t>
      </w:r>
    </w:p>
    <w:p>
      <w:pPr>
        <w:spacing w:after="160" w:line="300"/>
        <w:jc w:val="both"/>
      </w:pPr>
      <w:r>
        <w:rPr>
          <w:b w:val="false"/>
          <w:bCs w:val="false"/>
          <w:i w:val="false"/>
          <w:iCs w:val="false"/>
        </w:rPr>
        <w:t xml:space="preserve">Le point le plus significatif à signaler concerne le système Seq2Seq : la perte affichée NaN sur la totalité des 10 époques est un signal d'instabilité numérique qui doit être corrigé avant toute utilisation en production. La cause la plus probable est un cas limite de la fonction CrossEntropyLoss combinée à ignore_index=PAD_token : pour les positions temporelles tardives de la séquence (proches de la longueur maximale de 12 tokens), il arrive qu'aucune phrase du batch ne possède de token valide à cette position (toutes étant déjà terminées par EOS et remplies de PAD), ce qui produit une division par zéro (0/0) dans la moyenne calculée par PyTorch, propageant un NaN à l'ensemble des poids du modèle via la rétropropagation. Le fait que les cellules de décodage qui suivent affichent malgré tout des traductions cohérentes suggère que ces dernières ont été exécutées avant la dernière ré-exécution (non séquentielle) de la cellule d'entraînement, un piège classique de l'exécution non linéaire des notebooks sur Colab.</w:t>
      </w:r>
    </w:p>
    <w:p>
      <w:pPr>
        <w:spacing w:after="160" w:line="300"/>
        <w:jc w:val="both"/>
      </w:pPr>
      <w:r>
        <w:rPr>
          <w:b w:val="false"/>
          <w:bCs w:val="false"/>
          <w:i w:val="false"/>
          <w:iCs w:val="false"/>
        </w:rPr>
        <w:t xml:space="preserve">Cette observation constitue en elle-même un résultat d'analyse critique pertinent : elle illustre concrètement la fragilité numérique des architectures Seq2Seq lorsqu'elles sont combinées à un padding et un masquage mal maîtrisés, et motive deux pistes de correction immédiates : (1) normaliser la perte par le nombre réel de tokens valides plutôt que par la longueur fixe de la séquence, ou (2) filtrer les pas de temps entièrement composés de PAD avant le calcul de la perte. Le score BLEU de 0.32 obtenu sur les phrases courtes du corpus, bien qu'imparfait, reste un ordre de grandeur plausible pour un Seq2Seq entraîné seulement 10 époques sans mécanisme d'attention, ce qui confirme que le modèle a malgré tout appris une partie significative de la correspondance entre les deux langues sur les exemples fréquents et courts.</w:t>
      </w:r>
    </w:p>
    <w:p>
      <w:pPr>
        <w:pStyle w:val="Heading2"/>
      </w:pPr>
      <w:r>
        <w:t xml:space="preserve">3.6 Question de synthèse — Partie III</w:t>
      </w:r>
    </w:p>
    <w:p>
      <w:pPr>
        <w:pBdr>
          <w:left w:val="single" w:color="2E75B6" w:sz="18" w:space="8"/>
        </w:pBdr>
        <w:spacing w:after="200" w:before="120" w:line="300"/>
        <w:ind w:left="360" w:right="360"/>
        <w:jc w:val="both"/>
      </w:pPr>
      <w:r>
        <w:rPr>
          <w:i/>
          <w:iCs/>
          <w:color w:val="2D2D2D"/>
        </w:rPr>
        <w:t xml:space="preserve">Dans quelle mesure les architectures récurrentes permettent-elles de modéliser efficacement une séquence réelle, et comment justifier le passage d'un RNN simple vers un LSTM/GRU puis vers un schéma encodeur-décodeur pour une tâche de génération ou de traduction ?</w:t>
      </w:r>
    </w:p>
    <w:p>
      <w:pPr>
        <w:spacing w:after="160" w:line="300"/>
        <w:jc w:val="both"/>
      </w:pPr>
      <w:r>
        <w:rPr>
          <w:b w:val="false"/>
          <w:bCs w:val="false"/>
          <w:i w:val="false"/>
          <w:iCs w:val="false"/>
        </w:rPr>
        <w:t xml:space="preserve">Les architectures récurrentes permettent de modéliser efficacement une séquence réelle en apprenant une représentation compacte de l'historique via leur état caché, mais avec des limites qui croissent avec la complexité de la tâche. Sur la tâche simple de prédiction du mot suivant, le RNN simple obtient déjà une perplexité raisonnable (10.79), ce qui montre qu'il capture une partie du contexte local à court terme. Le passage au LSTM puis au GRU se justifie dès que l'on souhaite une meilleure stabilité de l'entraînement et une mémorisation plus fiable des dépendances : les résultats obtenus confirment empiriquement ce gain (perplexité réduite de 10.79 à 9.21 avec le GRU), conformément à la justification théorique des mécanismes de portes.</w:t>
      </w:r>
    </w:p>
    <w:p>
      <w:pPr>
        <w:spacing w:after="160" w:line="300"/>
        <w:jc w:val="both"/>
      </w:pPr>
      <w:r>
        <w:rPr>
          <w:b w:val="false"/>
          <w:bCs w:val="false"/>
          <w:i w:val="false"/>
          <w:iCs w:val="false"/>
        </w:rPr>
        <w:t xml:space="preserve">Le passage vers un schéma encodeur-décodeur est en revanche justifié par la nature même de la tâche visée — la traduction — qui nécessite de transformer une séquence d'une longueur donnée en une séquence d'une langue et d'une longueur potentiellement différente, ce qu'un simple modèle de langage autoregressif ne peut pas accomplir nativement. L'expérience menée montre que ce schéma fonctionne qualitativement (BLEU = 0.32, traductions correctes sur les phrases courtes et fréquentes du corpus), mais révèle aussi sa principale limite pratique : sans vecteur de contexte enrichi par un mécanisme d'attention, et avec une sensibilité numérique réelle au masquage du padding (comme l'illustre l'instabilité NaN observée), ce schéma reste plus fragile à entraîner qu'un modèle de langage simple, ce qui explique pourquoi les architectures Seq2Seq modernes (Transformer, attention de Bahdanau/Luong) ont largement remplacé les versions purement récurrentes pour les tâches de traduction à grande échelle.</w:t>
      </w:r>
    </w:p>
    <w:p>
      <w:r>
        <w:br w:type="page"/>
      </w:r>
    </w:p>
    <w:p>
      <w:pPr>
        <w:pStyle w:val="Heading1"/>
      </w:pPr>
      <w:r>
        <w:t xml:space="preserve">Discussion transversale finale</w:t>
      </w:r>
    </w:p>
    <w:p>
      <w:pPr>
        <w:pBdr>
          <w:left w:val="single" w:color="2E75B6" w:sz="18" w:space="8"/>
        </w:pBdr>
        <w:spacing w:after="200" w:before="120" w:line="300"/>
        <w:ind w:left="360" w:right="360"/>
        <w:jc w:val="both"/>
      </w:pPr>
      <w:r>
        <w:rPr>
          <w:i/>
          <w:iCs/>
          <w:color w:val="2D2D2D"/>
        </w:rPr>
        <w:t xml:space="preserve">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Pr>
        <w:spacing w:after="160" w:line="300"/>
        <w:jc w:val="both"/>
      </w:pPr>
      <w:r>
        <w:rPr>
          <w:b w:val="false"/>
          <w:bCs w:val="false"/>
          <w:i w:val="false"/>
          <w:iCs w:val="false"/>
        </w:rPr>
        <w:t xml:space="preserve">Les trois expériences menées dans ce projet illustrent un même principe directeur : la performance d'un réseau de neurones dépend moins de sa profondeur brute que de l'adéquation entre la structure de son architecture et la structure géométrique des données qu'il traite.</w:t>
      </w:r>
    </w:p>
    <w:p>
      <w:pPr>
        <w:spacing w:after="160" w:line="300"/>
        <w:jc w:val="both"/>
      </w:pPr>
      <w:r>
        <w:rPr>
          <w:b w:val="false"/>
          <w:bCs w:val="false"/>
          <w:i w:val="false"/>
          <w:iCs w:val="false"/>
        </w:rPr>
        <w:t xml:space="preserve">Sur les données tabulaires (Partie I), aucune structure spatiale ou temporelle n'existe entre les colonnes : un MLP entièrement connecté, qui traite chaque variable de façon symétrique, est donc l'architecture naturelle, et ses résultats (F1 = 0.78) restent bornés par l'information statistique réellement contenue dans les variables, indépendamment de la profondeur du réseau. Sur les images (Partie II), la structure spatiale locale entre pixels voisins est au contraire essentielle : le CNN, en exploitant la localité et le partage des poids, surpasse le MLP avec near quatre fois moins de paramètres (98,41 % contre 97,71 % d'accuracy), démontrant qu'imposer le bon a priori architectural est plus efficace que d'augmenter la capacité brute d'un modèle générique. Sur les séquences (Partie III), c'est la dépendance temporelle qui domine : les architectures récurrentes (et leurs variantes à portes LSTM/GRU) modélisent explicitement l'ordre et la durée des dépendances, ce qu'aucun MLP ni CNN classique ne peut faire nativement, et le passage à un schéma encodeur-décodeur devient nécessaire dès que la tâche change la longueur ou la nature de la séquence de sortie (traduction).</w:t>
      </w:r>
    </w:p>
    <w:p>
      <w:pPr>
        <w:spacing w:after="160" w:line="300"/>
        <w:jc w:val="both"/>
      </w:pPr>
      <w:r>
        <w:rPr>
          <w:b w:val="false"/>
          <w:bCs w:val="false"/>
          <w:i w:val="false"/>
          <w:iCs w:val="false"/>
        </w:rPr>
        <w:t xml:space="preserve">Ce principe explique pourquoi le même paradigme d'apprentissage supervisé — minimiser une fonction de perte par descente de gradient — doit être décliné en architectures différentes : la géométrie des données tabulaires n'impose aucune contrainte de voisinage, celle des images impose une contrainte spatiale locale et invariante par translation, et celle des séquences impose une contrainte temporelle et causale. Le choix de l'architecture est donc avant tout un choix de représentation a priori des dépendances présentes dans les données, le réseau de neurones se chargeant ensuite d'apprendre les poids qui exploitent au mieux cette contrainte structurelle.</w:t>
      </w:r>
    </w:p>
    <w:p>
      <w:r>
        <w:br w:type="page"/>
      </w:r>
    </w:p>
    <w:p>
      <w:pPr>
        <w:pStyle w:val="Heading1"/>
      </w:pPr>
      <w:r>
        <w:t xml:space="preserve">Conclusion générale</w:t>
      </w:r>
    </w:p>
    <w:p>
      <w:pPr>
        <w:spacing w:after="160" w:line="300"/>
        <w:jc w:val="both"/>
      </w:pPr>
      <w:r>
        <w:rPr>
          <w:b w:val="false"/>
          <w:bCs w:val="false"/>
          <w:i w:val="false"/>
          <w:iCs w:val="false"/>
        </w:rPr>
        <w:t xml:space="preserve">Ce projet a permis de couvrir, sur trois jeux de données réels distincts, l'ensemble du spectre des architectures de deep learning étudiées dans le module. Le MLP a atteint un F1-score de 0.78 sur la classification de la qualité du vin, le CNN LeNet a atteint 98,41 % d'accuracy sur MNIST en surpassant un MLP équivalent avec quatre fois moins de paramètres, et le système Seq2Seq basé sur GRU a obtenu un score BLEU de 0.32 sur la traduction anglais-français, malgré une instabilité numérique identifiée et documentée dans la partie consacrée à l'analyse critique.</w:t>
      </w:r>
    </w:p>
    <w:p>
      <w:pPr>
        <w:spacing w:after="160" w:line="300"/>
        <w:jc w:val="both"/>
      </w:pPr>
      <w:r>
        <w:rPr>
          <w:b w:val="false"/>
          <w:bCs w:val="false"/>
          <w:i w:val="false"/>
          <w:iCs w:val="false"/>
        </w:rPr>
        <w:t xml:space="preserve">Au-delà des performances chiffrées, ce travail a surtout permis de mettre en pratique les fondements théoriques du module — rétropropagation, initialisation des poids, BPTT, gradient clipping, teacher forcing, beam search — et de développer un regard critique sur les résultats obtenus, notamment en identifiant et en expliquant une anomalie réelle d'entraînement plutôt que de la dissimuler, ce qui constitue en soi une compétence essentielle en science des données appliquée.</w:t>
      </w:r>
    </w:p>
    <w:p>
      <w:pPr>
        <w:pStyle w:val="Heading2"/>
      </w:pPr>
      <w:r>
        <w:t xml:space="preserve">Limites globales et perspectives d'amélioration</w:t>
      </w:r>
    </w:p>
    <w:p>
      <w:pPr>
        <w:pStyle w:val="ListParagraph"/>
        <w:numPr>
          <w:ilvl w:val="0"/>
          <w:numId w:val="2"/>
        </w:numPr>
        <w:spacing w:after="80"/>
      </w:pPr>
      <w:r>
        <w:t xml:space="preserve">Partie I : tester des architectures plus profondes ou des techniques d'ensemble (Random Forest, XGBoost) en comparaison directe, et explorer une régression ordinale plutôt qu'une binarisation de la cible.</w:t>
      </w:r>
    </w:p>
    <w:p>
      <w:pPr>
        <w:pStyle w:val="ListParagraph"/>
        <w:numPr>
          <w:ilvl w:val="0"/>
          <w:numId w:val="2"/>
        </w:numPr>
        <w:spacing w:after="80"/>
      </w:pPr>
      <w:r>
        <w:t xml:space="preserve">Partie II : entraîner sur un dataset plus complexe (CIFAR-10) pour mieux différencier l'apport du CNN par rapport au MLP, l'écart observé sur MNIST restant resserré du fait de la simplicité du dataset.</w:t>
      </w:r>
    </w:p>
    <w:p>
      <w:pPr>
        <w:pStyle w:val="ListParagraph"/>
        <w:numPr>
          <w:ilvl w:val="0"/>
          <w:numId w:val="2"/>
        </w:numPr>
        <w:spacing w:after="80"/>
      </w:pPr>
      <w:r>
        <w:t xml:space="preserve">Partie III : corriger l'instabilité numérique identifiée dans l'entraînement du Seq2Seq (normalisation de la perte par tokens valides), puis ajouter un mécanisme d'attention (Bahdanau/Luong) pour améliorer significativement le score BLEU au-delà de 0.32.</w:t>
      </w:r>
    </w:p>
    <w:p>
      <w:r>
        <w:br w:type="page"/>
      </w:r>
    </w:p>
    <w:p>
      <w:pPr>
        <w:pStyle w:val="Heading1"/>
      </w:pPr>
      <w:r>
        <w:t xml:space="preserve">Annexe — Livrables du projet</w:t>
      </w:r>
    </w:p>
    <w:p>
      <w:pPr>
        <w:spacing w:after="160" w:line="300"/>
        <w:jc w:val="both"/>
      </w:pPr>
      <w:r>
        <w:rPr>
          <w:b w:val="false"/>
          <w:bCs w:val="false"/>
          <w:i w:val="false"/>
          <w:iCs w:val="false"/>
        </w:rPr>
        <w:t xml:space="preserve">Les éléments suivants accompagnent ce rapport :</w:t>
      </w:r>
    </w:p>
    <w:p>
      <w:pPr>
        <w:pStyle w:val="ListParagraph"/>
        <w:numPr>
          <w:ilvl w:val="0"/>
          <w:numId w:val="2"/>
        </w:numPr>
        <w:spacing w:after="80"/>
      </w:pPr>
      <w:r>
        <w:t xml:space="preserve">Partie1_MLP.ipynb — notebook complet et exécuté (préparation des données, MLP Sequential et classe personnalisée, entraînement, évaluation).</w:t>
      </w:r>
    </w:p>
    <w:p>
      <w:pPr>
        <w:pStyle w:val="ListParagraph"/>
        <w:numPr>
          <w:ilvl w:val="0"/>
          <w:numId w:val="2"/>
        </w:numPr>
        <w:spacing w:after="80"/>
      </w:pPr>
      <w:r>
        <w:t xml:space="preserve">Partie2_CNN.ipynb — notebook complet et exécuté (calculs dimensionnels, corrélation croisée et pooling manuels, LeNet, comparaison MLP/CNN, feature maps).</w:t>
      </w:r>
    </w:p>
    <w:p>
      <w:pPr>
        <w:pStyle w:val="ListParagraph"/>
        <w:numPr>
          <w:ilvl w:val="0"/>
          <w:numId w:val="2"/>
        </w:numPr>
        <w:spacing w:after="80"/>
      </w:pPr>
      <w:r>
        <w:t xml:space="preserve">Partie3_RNN.ipynb — notebook complet et exécuté (comparaison RNN/LSTM/GRU, Seq2Seq, décodage glouton et beam search, BLEU).</w:t>
      </w:r>
    </w:p>
    <w:p>
      <w:pPr>
        <w:pStyle w:val="ListParagraph"/>
        <w:numPr>
          <w:ilvl w:val="0"/>
          <w:numId w:val="2"/>
        </w:numPr>
        <w:spacing w:after="80"/>
      </w:pPr>
      <w:r>
        <w:t xml:space="preserve">Modèles sauvegardés : best_model.pth (MLP), lenet_mnist.pth (CNN).</w:t>
      </w:r>
    </w:p>
    <w:p>
      <w:pPr>
        <w:spacing w:after="160" w:line="300"/>
        <w:jc w:val="both"/>
      </w:pPr>
      <w:r>
        <w:rPr>
          <w:b w:val="false"/>
          <w:bCs w:val="false"/>
          <w:i w:val="false"/>
          <w:iCs w:val="false"/>
        </w:rPr>
        <w:t xml:space="preserve">Tous les résultats numériques présentés dans ce rapport sont extraits directement des sorties d'exécution réelles de ces trois notebooks sur Google Colab (GPU Tesla T4).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Projet de fin de module — Deep Learning — EMSI Casablanca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ptos" w:cs="Aptos" w:eastAsia="Aptos" w:hAnsi="Aptos"/>
      <w:b/>
      <w:bCs/>
      <w:color w:val="1F4E5F"/>
      <w:sz w:val="32"/>
      <w:szCs w:val="32"/>
    </w:rPr>
  </w:style>
  <w:style w:type="paragraph" w:styleId="Heading2">
    <w:name w:val="Heading 2"/>
    <w:basedOn w:val="Normal"/>
    <w:next w:val="Normal"/>
    <w:qFormat/>
    <w:pPr>
      <w:spacing w:after="140" w:before="260"/>
      <w:outlineLvl w:val="1"/>
    </w:pPr>
    <w:rPr>
      <w:rFonts w:ascii="Aptos" w:cs="Aptos" w:eastAsia="Aptos" w:hAnsi="Aptos"/>
      <w:b/>
      <w:bCs/>
      <w:color w:val="2E75B6"/>
      <w:sz w:val="26"/>
      <w:szCs w:val="26"/>
    </w:rPr>
  </w:style>
  <w:style w:type="paragraph" w:styleId="Heading3">
    <w:name w:val="Heading 3"/>
    <w:basedOn w:val="Normal"/>
    <w:next w:val="Normal"/>
    <w:qFormat/>
    <w:pPr>
      <w:spacing w:after="120" w:before="200"/>
      <w:outlineLvl w:val="2"/>
    </w:pPr>
    <w:rPr>
      <w:rFonts w:ascii="Aptos" w:cs="Aptos" w:eastAsia="Aptos" w:hAnsi="Aptos"/>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2026-06-17T02:41:25.533Z</dcterms:created>
  <dcterms:modified xsi:type="dcterms:W3CDTF">2026-06-17T02:41:25.534Z</dcterms:modified>
</cp:coreProperties>
</file>

<file path=docProps/custom.xml><?xml version="1.0" encoding="utf-8"?>
<Properties xmlns="http://schemas.openxmlformats.org/officeDocument/2006/custom-properties" xmlns:vt="http://schemas.openxmlformats.org/officeDocument/2006/docPropsVTypes"/>
</file>