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2E971" w14:textId="77777777" w:rsidR="00134983" w:rsidRPr="00134983" w:rsidRDefault="00134983" w:rsidP="00134983">
      <w:pPr>
        <w:jc w:val="center"/>
        <w:rPr>
          <w:b/>
          <w:bCs/>
          <w:sz w:val="28"/>
          <w:szCs w:val="32"/>
        </w:rPr>
      </w:pPr>
      <w:r w:rsidRPr="00134983">
        <w:rPr>
          <w:b/>
          <w:bCs/>
          <w:sz w:val="28"/>
          <w:szCs w:val="32"/>
        </w:rPr>
        <w:t>Integrated Phylogenomics Reveals Distinct Evolutionary Signatures and Hidden Diversity in Thai Beetle Communities</w:t>
      </w:r>
    </w:p>
    <w:p w14:paraId="00626727" w14:textId="77777777" w:rsidR="00134983" w:rsidRPr="00134983" w:rsidRDefault="00134983" w:rsidP="00134983">
      <w:pPr>
        <w:jc w:val="thaiDistribute"/>
        <w:rPr>
          <w:b/>
          <w:bCs/>
        </w:rPr>
      </w:pPr>
      <w:r w:rsidRPr="00134983">
        <w:rPr>
          <w:b/>
          <w:bCs/>
        </w:rPr>
        <w:t>Abstract</w:t>
      </w:r>
    </w:p>
    <w:p w14:paraId="5A1BE123" w14:textId="77777777" w:rsidR="00134983" w:rsidRPr="00134983" w:rsidRDefault="00134983" w:rsidP="00134983">
      <w:pPr>
        <w:jc w:val="thaiDistribute"/>
      </w:pPr>
      <w:r w:rsidRPr="00134983">
        <w:rPr>
          <w:b/>
          <w:bCs/>
        </w:rPr>
        <w:t>Background:</w:t>
      </w:r>
      <w:r w:rsidRPr="00134983">
        <w:t xml:space="preserve"> Comprehensive biodiversity assessment in hyperdiverse tropical ecosystems requires the integration of multiple molecular approaches, yet the relative contribution of different data types to the recovery of evolutionary history remains poorly quantified. Thailand, positioned at the confluence of major biogeographic regions in Southeast Asia, harbours exceptional beetle diversity, providing an ideal system for evaluating multi-tiered assessment strategies.</w:t>
      </w:r>
    </w:p>
    <w:p w14:paraId="7A98EEBA" w14:textId="77777777" w:rsidR="00134983" w:rsidRPr="00134983" w:rsidRDefault="00134983" w:rsidP="00134983">
      <w:pPr>
        <w:jc w:val="thaiDistribute"/>
      </w:pPr>
      <w:r w:rsidRPr="00134983">
        <w:rPr>
          <w:b/>
          <w:bCs/>
        </w:rPr>
        <w:t>Methods:</w:t>
      </w:r>
      <w:r w:rsidRPr="00134983">
        <w:t xml:space="preserve"> This study analysed a phylogenetic dataset of 13,660 beetle specimens, comprising 1,533 specimens from central Thailand and 12,127 global representatives. A hierarchical molecular framework was implemented, combining mitochondrial metagenomics (MMG) to establish a phylogenetic backbone, individual DNA barcoding (BCD) for specimen identification, and metabarcoding (MBC) for bulk community characterisation. All amplicon-based analyses utilised a standardised primer set to ensure methodological consistency.</w:t>
      </w:r>
    </w:p>
    <w:p w14:paraId="580B5D30" w14:textId="77777777" w:rsidR="00134983" w:rsidRPr="00134983" w:rsidRDefault="00134983" w:rsidP="00134983">
      <w:pPr>
        <w:jc w:val="thaiDistribute"/>
      </w:pPr>
      <w:r w:rsidRPr="00134983">
        <w:rPr>
          <w:b/>
          <w:bCs/>
        </w:rPr>
        <w:t>Results:</w:t>
      </w:r>
      <w:r w:rsidRPr="00134983">
        <w:t xml:space="preserve"> The integrated approach detected 65 beetle families, substantially exceeding the recovery of any single method (MMG: 36; BCD: 48; MBC: 57 families). Notably, metabarcoding identified 11 families exclusively, including ecologically significant groups such as Lampyridae and </w:t>
      </w:r>
      <w:proofErr w:type="spellStart"/>
      <w:r w:rsidRPr="00134983">
        <w:t>Eucnemidae</w:t>
      </w:r>
      <w:proofErr w:type="spellEnd"/>
      <w:r w:rsidRPr="00134983">
        <w:t>. Quantitative analysis of Faith’s Phylogenetic Diversity (PD) demonstrated that relying solely on the mitogenomic backbone yielded a basal PD of 54.60. The sequential integration of DNA barcoding and metabarcoding data increased the recovered evolutionary history to 141.76 (+159.6%) and 251.00 (+360.0%), respectively. Furthermore, fair phylogenetic comparison restricted to mitogenomic data revealed that Thai beetle assemblages exhibit significantly shorter mean branch lengths (Mean BL = 0.045) than global datasets (Mean BL = 0.127; p &lt; 0.0001), indicating a community structure driven by phylogenetic clustering.</w:t>
      </w:r>
    </w:p>
    <w:p w14:paraId="4702F1CC" w14:textId="77777777" w:rsidR="00134983" w:rsidRPr="00134983" w:rsidRDefault="00134983" w:rsidP="00134983">
      <w:pPr>
        <w:jc w:val="thaiDistribute"/>
      </w:pPr>
      <w:r w:rsidRPr="00134983">
        <w:rPr>
          <w:b/>
          <w:bCs/>
        </w:rPr>
        <w:t>Conclusions:</w:t>
      </w:r>
      <w:r w:rsidRPr="00134983">
        <w:t xml:space="preserve"> These findings demonstrate that while mitogenomes provide a necessary evolutionary context, high-throughput amplicon sequencing is indispensable for capturing the full breadth of tropical biodiversity. The distinctive phylogenetic signature of Thai beetles highlights the region's unique evolutionary heritage, underscoring the necessity of integrated backbone-and-bulk molecular frameworks for effective conservation monitoring in Southeast Asia.</w:t>
      </w:r>
    </w:p>
    <w:p w14:paraId="57030682" w14:textId="77777777" w:rsidR="00134983" w:rsidRPr="00134983" w:rsidRDefault="00134983" w:rsidP="00134983">
      <w:pPr>
        <w:jc w:val="thaiDistribute"/>
      </w:pPr>
      <w:r w:rsidRPr="00134983">
        <w:rPr>
          <w:b/>
          <w:bCs/>
        </w:rPr>
        <w:t>Keywords:</w:t>
      </w:r>
      <w:r w:rsidRPr="00134983">
        <w:t xml:space="preserve"> Coleoptera, mitochondrial metagenomics, metabarcoding, phylogenetic diversity, Southeast Asia, biodiversity assessment.</w:t>
      </w:r>
    </w:p>
    <w:p w14:paraId="2A1D9C8B" w14:textId="326085FD" w:rsidR="00134983" w:rsidRPr="00134983" w:rsidRDefault="00134983" w:rsidP="00134983">
      <w:pPr>
        <w:jc w:val="thaiDistribute"/>
      </w:pPr>
    </w:p>
    <w:p w14:paraId="4D0B48E0" w14:textId="77777777" w:rsidR="00134983" w:rsidRPr="00134983" w:rsidRDefault="00134983" w:rsidP="00134983">
      <w:pPr>
        <w:jc w:val="thaiDistribute"/>
      </w:pPr>
      <w:r w:rsidRPr="00134983">
        <w:rPr>
          <w:b/>
          <w:bCs/>
        </w:rPr>
        <w:lastRenderedPageBreak/>
        <w:t>1. Introduction</w:t>
      </w:r>
    </w:p>
    <w:p w14:paraId="44F7A50C" w14:textId="77777777" w:rsidR="00134983" w:rsidRPr="00134983" w:rsidRDefault="00134983" w:rsidP="00134983">
      <w:pPr>
        <w:jc w:val="thaiDistribute"/>
      </w:pPr>
      <w:r w:rsidRPr="00134983">
        <w:t>Coleoptera (beetles) constitute the most speciose order in the animal kingdom, representing approximately 25% of all described animal species. In tropical rainforests, they act as critical bioindicators and drivers of ecosystem functioning, ranging from nutrient cycling to pollination. However, comprehensive biodiversity assessment in these hyperdiverse ecosystems remains a formidable challenge. Traditional morphological approaches are frequently impeded by the sheer magnitude of species richness, the prevalence of cryptic species, and the taxonomic impediment caused by a scarcity of regional expertise. Consequently, molecular-based approaches have become indispensable tools for modern biodiversity monitoring.</w:t>
      </w:r>
    </w:p>
    <w:p w14:paraId="6B8397DF" w14:textId="77777777" w:rsidR="00134983" w:rsidRPr="00134983" w:rsidRDefault="00134983" w:rsidP="00134983">
      <w:pPr>
        <w:jc w:val="thaiDistribute"/>
      </w:pPr>
      <w:r w:rsidRPr="00134983">
        <w:t>Currently, molecular assessment relies on three distinct strategies, each offering a critical trade-off between phylogenetic resolution and sampling coverage. Mitochondrial metagenomics (MMG) generates complete mitogenomes (~15,000 bp), providing a robust evolutionary backbone for phylogenetics but is often constrained by cost to smaller sample sizes. Conversely, DNA metabarcoding (MBC) enables the high-throughput characterisation of bulk environmental samples, capturing vast hidden diversity, yet typically relies on short fragments (~400 bp) that offer limited phylogenetic depth. DNA barcoding (BCD) serves as the essential bridge, linking individual physical specimens to molecular reference databases. Despite the widespread utility of these methods individually, few studies have systematically integrated them to quantify precisely how much evolutionary history is missed when relying on a single approach in data-deficient regions.</w:t>
      </w:r>
    </w:p>
    <w:p w14:paraId="32663009" w14:textId="77777777" w:rsidR="00134983" w:rsidRPr="00134983" w:rsidRDefault="00134983" w:rsidP="00134983">
      <w:pPr>
        <w:jc w:val="thaiDistribute"/>
      </w:pPr>
      <w:r w:rsidRPr="00134983">
        <w:t>Thailand occupies a critical biogeographical position at the confluence of the Indochinese, Sundaic, and Indian subcontinental faunal regions. This biogeographical crossroads has facilitated the evolution of complex beetle assemblages characterised by high beta diversity and distinct evolutionary histories. However, the evolutionary dynamics of these communities remain poorly understood compared to the better-studied Neotropics or Malay Archipelago. Specifically, it remains unclear whether local assemblages are structured by recent diversification events—resulting in phylogenetic clustering—or by the coexistence of ancient lineages, and how these patterns contribute to the global beetle tree of life.</w:t>
      </w:r>
    </w:p>
    <w:p w14:paraId="5E99B94A" w14:textId="0CF3C48D" w:rsidR="00134983" w:rsidRDefault="00134983" w:rsidP="00134983">
      <w:pPr>
        <w:jc w:val="thaiDistribute"/>
      </w:pPr>
      <w:r w:rsidRPr="00134983">
        <w:t>To address these knowledge gaps, this study employs a hierarchical phylogenomic framework to characterise beetle diversity in central Thailand. We integrate mitogenomics, DNA barcoding, and metabarcoding to address three primary objectives: (1) to quantify the additive contribution of each molecular method to the recovery of Faith’s Phylogenetic Diversity (PD); (2) to establish a rigorous, data-controlled comparison of evolutionary branch lengths between Thai and global beetle lineages; and (3) to elucidate the community assembly processes driving the unique phylogenetic signatures observed in Southeast Asian forests. By overcoming the limitations of single-</w:t>
      </w:r>
      <w:r w:rsidRPr="00134983">
        <w:lastRenderedPageBreak/>
        <w:t>method assessments, this study provides a comprehensive baseline for monitoring tropical biodiversity in a changing world.</w:t>
      </w:r>
    </w:p>
    <w:p w14:paraId="5BDD02DE" w14:textId="77777777" w:rsidR="00134983" w:rsidRPr="00134983" w:rsidRDefault="00134983" w:rsidP="00134983">
      <w:pPr>
        <w:jc w:val="thaiDistribute"/>
      </w:pPr>
    </w:p>
    <w:p w14:paraId="4A66408C" w14:textId="77777777" w:rsidR="00134983" w:rsidRPr="00134983" w:rsidRDefault="00134983" w:rsidP="00134983">
      <w:pPr>
        <w:jc w:val="thaiDistribute"/>
      </w:pPr>
      <w:r w:rsidRPr="00134983">
        <w:rPr>
          <w:b/>
          <w:bCs/>
        </w:rPr>
        <w:t>2. Materials and Methods</w:t>
      </w:r>
    </w:p>
    <w:p w14:paraId="4FC70D94" w14:textId="77777777" w:rsidR="00134983" w:rsidRPr="00134983" w:rsidRDefault="00134983" w:rsidP="00134983">
      <w:pPr>
        <w:jc w:val="thaiDistribute"/>
        <w:rPr>
          <w:b/>
          <w:bCs/>
        </w:rPr>
      </w:pPr>
      <w:r w:rsidRPr="00134983">
        <w:rPr>
          <w:b/>
          <w:bCs/>
        </w:rPr>
        <w:t>2.1 Field Sampling and Specimen Processing</w:t>
      </w:r>
    </w:p>
    <w:p w14:paraId="2260D4FD" w14:textId="77777777" w:rsidR="00134983" w:rsidRPr="00134983" w:rsidRDefault="00134983" w:rsidP="00134983">
      <w:pPr>
        <w:jc w:val="thaiDistribute"/>
      </w:pPr>
      <w:r w:rsidRPr="00134983">
        <w:t>Fieldwork was conducted in Khao Yai National Park (KYNP) and Sakaerat Environmental Research Station (SERS) during November–December 2020. Beetle specimens were collected using a standardised multi-trap protocol comprising Malaise traps, flight interception traps (FIT), pitfall traps, light traps, and pan traps. Upon collection, samples were preserved in 95% ethanol and transported to the laboratory at -20 degrees Celsius.</w:t>
      </w:r>
    </w:p>
    <w:p w14:paraId="77D7A8CD" w14:textId="77777777" w:rsidR="00134983" w:rsidRPr="00134983" w:rsidRDefault="00134983" w:rsidP="00134983">
      <w:pPr>
        <w:jc w:val="thaiDistribute"/>
      </w:pPr>
      <w:r w:rsidRPr="00134983">
        <w:t>In the laboratory, specimens were sorted and arrayed individually into 96-well microplates. High-resolution dorsal images were captured for every specimen to create a comprehensive digital voucher repository prior to any molecular processing. This step ensured that morphological data were preserved and could be retrospectively linked to molecular operational taxonomic units (OTUs).</w:t>
      </w:r>
    </w:p>
    <w:p w14:paraId="2773B7D6" w14:textId="77777777" w:rsidR="00134983" w:rsidRPr="00134983" w:rsidRDefault="00134983" w:rsidP="00134983">
      <w:pPr>
        <w:jc w:val="thaiDistribute"/>
        <w:rPr>
          <w:b/>
          <w:bCs/>
        </w:rPr>
      </w:pPr>
      <w:r w:rsidRPr="00134983">
        <w:rPr>
          <w:b/>
          <w:bCs/>
        </w:rPr>
        <w:t>2.2 Morphospecies Selection and Individual DNA Barcoding</w:t>
      </w:r>
    </w:p>
    <w:p w14:paraId="1D604DDB" w14:textId="77777777" w:rsidR="00134983" w:rsidRPr="00134983" w:rsidRDefault="00134983" w:rsidP="00134983">
      <w:pPr>
        <w:jc w:val="thaiDistribute"/>
      </w:pPr>
      <w:r w:rsidRPr="00134983">
        <w:t>To establish a high-quality reference library, representative specimens for each morphologically distinct taxon (morphospecies) were selected from the microplates. Genomic DNA was extracted from these voucher specimens using the DNeasy 96 Blood &amp; Tissue Kit (QIAGEN), employing a non-destructive protocol to maintain the physical integrity of the specimens.</w:t>
      </w:r>
    </w:p>
    <w:p w14:paraId="12979E7B" w14:textId="77777777" w:rsidR="00134983" w:rsidRPr="00134983" w:rsidRDefault="00134983" w:rsidP="00134983">
      <w:pPr>
        <w:jc w:val="thaiDistribute"/>
      </w:pPr>
      <w:r w:rsidRPr="00134983">
        <w:t xml:space="preserve">For species-level identification, PCR amplification targeted a 418-bp fragment of the cytochrome c oxidase subunit I (COI) gene region. To ensure methodological consistency and sequence compatibility, the same primer set was employed for both individual barcoding and bulk metabarcoding. The forward primer </w:t>
      </w:r>
      <w:proofErr w:type="spellStart"/>
      <w:r w:rsidRPr="00134983">
        <w:t>mlCOIintF</w:t>
      </w:r>
      <w:proofErr w:type="spellEnd"/>
      <w:r w:rsidRPr="00134983">
        <w:t xml:space="preserve"> (5′-GGWACWGGWTGAACWGTWTAYCCYCC-3′) and the reverse primer jgHCO2198 (5′-TAIACYTCIGGRTGICCRAARAAYCA-3′) were used.</w:t>
      </w:r>
    </w:p>
    <w:p w14:paraId="5DA798F1" w14:textId="77777777" w:rsidR="00134983" w:rsidRPr="00134983" w:rsidRDefault="00134983" w:rsidP="00134983">
      <w:pPr>
        <w:jc w:val="thaiDistribute"/>
      </w:pPr>
      <w:r w:rsidRPr="00134983">
        <w:t>For individual barcoding, these primers were modified with unique nucleotide indices (tags) to enable the multiplexing of individual specimens on the Illumina platform. The resulting reads were processed to generate high-fidelity reference barcodes (Amplicon Sequence Variants; ASVs) that served as the primary taxonomic identifiers.</w:t>
      </w:r>
    </w:p>
    <w:p w14:paraId="01A3419A" w14:textId="77777777" w:rsidR="00134983" w:rsidRPr="00134983" w:rsidRDefault="00134983" w:rsidP="00134983">
      <w:pPr>
        <w:jc w:val="thaiDistribute"/>
        <w:rPr>
          <w:b/>
          <w:bCs/>
        </w:rPr>
      </w:pPr>
      <w:r w:rsidRPr="00134983">
        <w:rPr>
          <w:b/>
          <w:bCs/>
        </w:rPr>
        <w:t>2.3 Mitochondrial Metagenomics (MMG)</w:t>
      </w:r>
    </w:p>
    <w:p w14:paraId="6F186192" w14:textId="77777777" w:rsidR="00134983" w:rsidRPr="00134983" w:rsidRDefault="00134983" w:rsidP="00134983">
      <w:pPr>
        <w:jc w:val="thaiDistribute"/>
      </w:pPr>
      <w:r w:rsidRPr="00134983">
        <w:t xml:space="preserve">To generate a robust phylogenetic backbone, the same DNA extracts from the barcoded morphospecies (Section 2.2) were subjected to shotgun sequencing. Sequencing libraries were prepared and sequenced on the Illumina platform to generate </w:t>
      </w:r>
      <w:proofErr w:type="gramStart"/>
      <w:r w:rsidRPr="00134983">
        <w:t>paired-end</w:t>
      </w:r>
      <w:proofErr w:type="gramEnd"/>
      <w:r w:rsidRPr="00134983">
        <w:t xml:space="preserve"> reads. The resulting data were assembled into complete or near-complete mitogenomes </w:t>
      </w:r>
      <w:r w:rsidRPr="00134983">
        <w:lastRenderedPageBreak/>
        <w:t>(~15,000 bp) using a baiting-assembly pipeline, utilizing the corresponding COI barcode sequences as seeds for assembly.</w:t>
      </w:r>
    </w:p>
    <w:p w14:paraId="156419D3" w14:textId="77777777" w:rsidR="00134983" w:rsidRPr="00134983" w:rsidRDefault="00134983" w:rsidP="00134983">
      <w:pPr>
        <w:jc w:val="thaiDistribute"/>
        <w:rPr>
          <w:b/>
          <w:bCs/>
        </w:rPr>
      </w:pPr>
      <w:r w:rsidRPr="00134983">
        <w:rPr>
          <w:b/>
          <w:bCs/>
        </w:rPr>
        <w:t>2.4 Bulk Metabarcoding</w:t>
      </w:r>
    </w:p>
    <w:p w14:paraId="3C3F755D" w14:textId="77777777" w:rsidR="00134983" w:rsidRPr="00134983" w:rsidRDefault="00134983" w:rsidP="00134983">
      <w:pPr>
        <w:jc w:val="thaiDistribute"/>
      </w:pPr>
      <w:r w:rsidRPr="00134983">
        <w:t>Following the removal of morphospecies representatives, the remaining specimens in the microplates were processed as bulk community samples. Tissue lysis was performed on the pooled specimens to generate a bulk lysate for DNA extraction.</w:t>
      </w:r>
    </w:p>
    <w:p w14:paraId="69865616" w14:textId="3C197453" w:rsidR="00134983" w:rsidRPr="00134983" w:rsidRDefault="00134983" w:rsidP="00134983">
      <w:pPr>
        <w:jc w:val="thaiDistribute"/>
      </w:pPr>
      <w:r w:rsidRPr="00134983">
        <w:t xml:space="preserve">The metabarcoding analysis targeted the same 418-bp COI fragment using the </w:t>
      </w:r>
      <w:proofErr w:type="spellStart"/>
      <w:r w:rsidRPr="00134983">
        <w:t>mlCOIintF</w:t>
      </w:r>
      <w:proofErr w:type="spellEnd"/>
      <w:r w:rsidRPr="00134983">
        <w:t>/jgHCO2198 primer set. In this workflow, sample-specific indices were attached to the primers to distinguish between bulk samples. Amplicons were sequenced on the Illumina MiSeq platform. Raw reads were processed using VSEARCH v2.15 for quality filtering, chimera removal, and clustering. Operational Taxonomic Units (OTUs) were defined at a 9</w:t>
      </w:r>
      <w:r w:rsidR="00A0043A">
        <w:rPr>
          <w:lang w:val="en-US"/>
        </w:rPr>
        <w:t>8</w:t>
      </w:r>
      <w:r w:rsidRPr="00134983">
        <w:t>% similarity threshold, a standard cutoff for species-level delimitation in Coleoptera.</w:t>
      </w:r>
    </w:p>
    <w:p w14:paraId="61A17A02" w14:textId="77777777" w:rsidR="00134983" w:rsidRPr="00134983" w:rsidRDefault="00134983" w:rsidP="00134983">
      <w:pPr>
        <w:jc w:val="thaiDistribute"/>
        <w:rPr>
          <w:b/>
          <w:bCs/>
        </w:rPr>
      </w:pPr>
      <w:r w:rsidRPr="00134983">
        <w:rPr>
          <w:b/>
          <w:bCs/>
        </w:rPr>
        <w:t>2.5 Bioinformatics and Data Integration</w:t>
      </w:r>
    </w:p>
    <w:p w14:paraId="0AD28DC6" w14:textId="77777777" w:rsidR="00134983" w:rsidRPr="00134983" w:rsidRDefault="00134983" w:rsidP="00134983">
      <w:pPr>
        <w:jc w:val="thaiDistribute"/>
      </w:pPr>
      <w:r w:rsidRPr="00134983">
        <w:t>A hierarchical integration framework was developed to link genomic data back to physical specimens:</w:t>
      </w:r>
    </w:p>
    <w:p w14:paraId="4A959FC0" w14:textId="77777777" w:rsidR="00134983" w:rsidRPr="00134983" w:rsidRDefault="00134983" w:rsidP="00134983">
      <w:pPr>
        <w:numPr>
          <w:ilvl w:val="0"/>
          <w:numId w:val="1"/>
        </w:numPr>
        <w:jc w:val="thaiDistribute"/>
      </w:pPr>
      <w:r w:rsidRPr="00134983">
        <w:t>Annotation: Assembled mitogenomes (MMG) were annotated for 13 protein-coding genes.</w:t>
      </w:r>
    </w:p>
    <w:p w14:paraId="691E52C7" w14:textId="77777777" w:rsidR="00134983" w:rsidRPr="00134983" w:rsidRDefault="00134983" w:rsidP="00134983">
      <w:pPr>
        <w:numPr>
          <w:ilvl w:val="0"/>
          <w:numId w:val="1"/>
        </w:numPr>
        <w:jc w:val="thaiDistribute"/>
      </w:pPr>
      <w:r w:rsidRPr="00134983">
        <w:t>Linkage: The annotated mitogenomes were matched against the reference DNA barcodes (generated in Section 2.2) based on sequence identity (&gt; 98%).</w:t>
      </w:r>
    </w:p>
    <w:p w14:paraId="4B5A87D1" w14:textId="77777777" w:rsidR="00134983" w:rsidRPr="00134983" w:rsidRDefault="00134983" w:rsidP="00134983">
      <w:pPr>
        <w:numPr>
          <w:ilvl w:val="0"/>
          <w:numId w:val="1"/>
        </w:numPr>
        <w:jc w:val="thaiDistribute"/>
      </w:pPr>
      <w:r w:rsidRPr="00134983">
        <w:t>Verification: Since the DNA barcodes were derived from the imaged voucher specimens, this matching process definitively linked the anonymous mitogenomes back to the specific physical specimens and their morphological vouchers.</w:t>
      </w:r>
    </w:p>
    <w:p w14:paraId="6B192980" w14:textId="77777777" w:rsidR="00134983" w:rsidRPr="00134983" w:rsidRDefault="00134983" w:rsidP="00134983">
      <w:pPr>
        <w:jc w:val="thaiDistribute"/>
        <w:rPr>
          <w:b/>
          <w:bCs/>
        </w:rPr>
      </w:pPr>
      <w:r w:rsidRPr="00134983">
        <w:rPr>
          <w:b/>
          <w:bCs/>
        </w:rPr>
        <w:t>2.6 Phylogenetic Analysis</w:t>
      </w:r>
    </w:p>
    <w:p w14:paraId="3F5A05C4" w14:textId="77777777" w:rsidR="00134983" w:rsidRPr="00134983" w:rsidRDefault="00134983" w:rsidP="00134983">
      <w:pPr>
        <w:jc w:val="thaiDistribute"/>
      </w:pPr>
      <w:r w:rsidRPr="00134983">
        <w:t>Phylogenetic reconstruction was performed using the authenticated MMG supermatrix inferred using FastTree with the GTR+GAMMA model. To quantify the contribution of each data type, Faith’s Phylogenetic Diversity (PD) was calculated hierarchically: starting with the linked MMG backbone, followed by the addition of unlinked DNA barcodes, and finally the integration of unique metabarcoding OTUs.</w:t>
      </w:r>
    </w:p>
    <w:p w14:paraId="7B9C0A30" w14:textId="77777777" w:rsidR="00134983" w:rsidRPr="00134983" w:rsidRDefault="00134983" w:rsidP="00134983">
      <w:pPr>
        <w:jc w:val="thaiDistribute"/>
        <w:rPr>
          <w:b/>
          <w:bCs/>
        </w:rPr>
      </w:pPr>
      <w:r w:rsidRPr="00134983">
        <w:rPr>
          <w:b/>
          <w:bCs/>
        </w:rPr>
        <w:t>2.7 Statistical Analysis</w:t>
      </w:r>
    </w:p>
    <w:p w14:paraId="2C3FD969" w14:textId="77777777" w:rsidR="00134983" w:rsidRPr="00134983" w:rsidRDefault="00134983" w:rsidP="00134983">
      <w:pPr>
        <w:jc w:val="thaiDistribute"/>
      </w:pPr>
      <w:r w:rsidRPr="00134983">
        <w:t xml:space="preserve">Phylogenetic metrics (PD, MPD, MNTD) and null model randomisations (999 iterations) were calculated using the picante R package v1.8.2. Beta diversity decomposition was performed using </w:t>
      </w:r>
      <w:proofErr w:type="spellStart"/>
      <w:r w:rsidRPr="00134983">
        <w:t>beta.part</w:t>
      </w:r>
      <w:proofErr w:type="spellEnd"/>
      <w:r w:rsidRPr="00134983">
        <w:t xml:space="preserve"> v1.5.4. Rarefaction analysis and branch length comparisons were conducted using custom scripts in R v4.1.0, utilizing the ape and vegan packages. </w:t>
      </w:r>
      <w:r w:rsidRPr="00134983">
        <w:lastRenderedPageBreak/>
        <w:t>Statistical significance was set at alpha = 0.05, with p-values adjusted for multiple comparisons using the Benjamini-Hochberg correction.</w:t>
      </w:r>
    </w:p>
    <w:p w14:paraId="2884624B" w14:textId="48C3F81B" w:rsidR="00134983" w:rsidRPr="00134983" w:rsidRDefault="00134983" w:rsidP="00134983">
      <w:pPr>
        <w:jc w:val="thaiDistribute"/>
      </w:pPr>
    </w:p>
    <w:p w14:paraId="79BBA638" w14:textId="77777777" w:rsidR="00134983" w:rsidRPr="00134983" w:rsidRDefault="00134983" w:rsidP="00134983">
      <w:pPr>
        <w:jc w:val="thaiDistribute"/>
      </w:pPr>
      <w:r w:rsidRPr="00134983">
        <w:rPr>
          <w:b/>
          <w:bCs/>
        </w:rPr>
        <w:t>3. Results</w:t>
      </w:r>
    </w:p>
    <w:p w14:paraId="2EE49D6B" w14:textId="77777777" w:rsidR="00134983" w:rsidRPr="00134983" w:rsidRDefault="00134983" w:rsidP="00134983">
      <w:pPr>
        <w:jc w:val="thaiDistribute"/>
        <w:rPr>
          <w:b/>
          <w:bCs/>
        </w:rPr>
      </w:pPr>
      <w:r w:rsidRPr="00134983">
        <w:rPr>
          <w:b/>
          <w:bCs/>
        </w:rPr>
        <w:t>3.1 Dataset Composition and Taxonomic Coverage</w:t>
      </w:r>
    </w:p>
    <w:p w14:paraId="1377DB14" w14:textId="77777777" w:rsidR="00134983" w:rsidRPr="00134983" w:rsidRDefault="00134983" w:rsidP="00134983">
      <w:pPr>
        <w:jc w:val="thaiDistribute"/>
      </w:pPr>
      <w:r w:rsidRPr="00134983">
        <w:t>The integrated workflow generated a total of 13,660 terminal taxa, comprising 1,533 specimens from Thailand (11.2%) and 12,127 specimens from the global context dataset (88.8%). The Thai dataset exhibited a heterogeneous composition of data types, consisting of 209 mitogenomes (MMG), 430 DNA barcodes (BCD), and 894 metabarcoding OTUs (MBC).</w:t>
      </w:r>
    </w:p>
    <w:p w14:paraId="781C537F" w14:textId="77777777" w:rsidR="00134983" w:rsidRDefault="00134983" w:rsidP="00134983">
      <w:pPr>
        <w:jc w:val="thaiDistribute"/>
      </w:pPr>
      <w:r w:rsidRPr="00134983">
        <w:t xml:space="preserve">Taxonomic assignment identified 65 beetle families within the Thai dataset. The detection efficacy varied substantially across methods: mitogenomics recovered 36 families, DNA barcoding recovered 48 families, and metabarcoding recovered 57 families. Notably, 11 families were detected exclusively through metabarcoding, including ecologically significant groups such as Lampyridae, </w:t>
      </w:r>
      <w:proofErr w:type="spellStart"/>
      <w:r w:rsidRPr="00134983">
        <w:t>Eucnemidae</w:t>
      </w:r>
      <w:proofErr w:type="spellEnd"/>
      <w:r w:rsidRPr="00134983">
        <w:t>, and Ptinidae. This distinct family-level recovery highlights the taxonomic complementarity of the sampling and sequencing strategies.</w:t>
      </w:r>
    </w:p>
    <w:p w14:paraId="62984126" w14:textId="77777777" w:rsidR="00134983" w:rsidRPr="006F0D24" w:rsidRDefault="00134983" w:rsidP="00134983">
      <w:pPr>
        <w:rPr>
          <w:b/>
          <w:bCs/>
        </w:rPr>
      </w:pPr>
      <w:r w:rsidRPr="006F0D24">
        <w:rPr>
          <w:b/>
          <w:bCs/>
        </w:rPr>
        <w:t>Table 1. Dataset composition and taxonomic recovery by molecular method.</w:t>
      </w:r>
    </w:p>
    <w:tbl>
      <w:tblPr>
        <w:tblStyle w:val="PlainTable4"/>
        <w:tblW w:w="9026" w:type="dxa"/>
        <w:tblLook w:val="04A0" w:firstRow="1" w:lastRow="0" w:firstColumn="1" w:lastColumn="0" w:noHBand="0" w:noVBand="1"/>
      </w:tblPr>
      <w:tblGrid>
        <w:gridCol w:w="1138"/>
        <w:gridCol w:w="2032"/>
        <w:gridCol w:w="1137"/>
        <w:gridCol w:w="1137"/>
        <w:gridCol w:w="1137"/>
        <w:gridCol w:w="2445"/>
      </w:tblGrid>
      <w:tr w:rsidR="00134983" w:rsidRPr="006F0D24" w14:paraId="2D2BB138"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38" w:type="dxa"/>
            <w:shd w:val="clear" w:color="auto" w:fill="auto"/>
            <w:noWrap/>
            <w:hideMark/>
          </w:tcPr>
          <w:p w14:paraId="06082AD2" w14:textId="77777777" w:rsidR="00134983" w:rsidRPr="006F0D24" w:rsidRDefault="00134983">
            <w:pPr>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Method </w:t>
            </w:r>
          </w:p>
        </w:tc>
        <w:tc>
          <w:tcPr>
            <w:tcW w:w="2032" w:type="dxa"/>
            <w:shd w:val="clear" w:color="auto" w:fill="auto"/>
            <w:noWrap/>
            <w:hideMark/>
          </w:tcPr>
          <w:p w14:paraId="025F6FDE" w14:textId="77777777" w:rsidR="00134983" w:rsidRPr="006F0D24" w:rsidRDefault="0013498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Data Type </w:t>
            </w:r>
          </w:p>
        </w:tc>
        <w:tc>
          <w:tcPr>
            <w:tcW w:w="1137" w:type="dxa"/>
            <w:shd w:val="clear" w:color="auto" w:fill="auto"/>
            <w:noWrap/>
            <w:hideMark/>
          </w:tcPr>
          <w:p w14:paraId="22534642" w14:textId="77777777" w:rsidR="00134983" w:rsidRPr="006F0D24" w:rsidRDefault="0013498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No. of Taxa </w:t>
            </w:r>
          </w:p>
        </w:tc>
        <w:tc>
          <w:tcPr>
            <w:tcW w:w="1137" w:type="dxa"/>
            <w:shd w:val="clear" w:color="auto" w:fill="auto"/>
            <w:noWrap/>
            <w:hideMark/>
          </w:tcPr>
          <w:p w14:paraId="6FBB04B4" w14:textId="77777777" w:rsidR="00134983" w:rsidRPr="006F0D24" w:rsidRDefault="0013498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Families Detected </w:t>
            </w:r>
          </w:p>
        </w:tc>
        <w:tc>
          <w:tcPr>
            <w:tcW w:w="1137" w:type="dxa"/>
            <w:shd w:val="clear" w:color="auto" w:fill="auto"/>
            <w:noWrap/>
            <w:hideMark/>
          </w:tcPr>
          <w:p w14:paraId="74B05D1B" w14:textId="77777777" w:rsidR="00134983" w:rsidRPr="006F0D24" w:rsidRDefault="0013498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Unique Families </w:t>
            </w:r>
          </w:p>
        </w:tc>
        <w:tc>
          <w:tcPr>
            <w:tcW w:w="2445" w:type="dxa"/>
            <w:shd w:val="clear" w:color="auto" w:fill="auto"/>
            <w:noWrap/>
            <w:hideMark/>
          </w:tcPr>
          <w:p w14:paraId="2CF0CE6B" w14:textId="77777777" w:rsidR="00134983" w:rsidRPr="006F0D24" w:rsidRDefault="0013498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Primary Role </w:t>
            </w:r>
          </w:p>
        </w:tc>
      </w:tr>
      <w:tr w:rsidR="00134983" w:rsidRPr="006F0D24" w14:paraId="34A32FF6"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38" w:type="dxa"/>
            <w:shd w:val="clear" w:color="auto" w:fill="auto"/>
            <w:noWrap/>
            <w:hideMark/>
          </w:tcPr>
          <w:p w14:paraId="003A7CBA" w14:textId="77777777" w:rsidR="00134983" w:rsidRPr="006F0D24" w:rsidRDefault="00134983">
            <w:pPr>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MMG </w:t>
            </w:r>
          </w:p>
        </w:tc>
        <w:tc>
          <w:tcPr>
            <w:tcW w:w="2032" w:type="dxa"/>
            <w:shd w:val="clear" w:color="auto" w:fill="auto"/>
            <w:noWrap/>
            <w:hideMark/>
          </w:tcPr>
          <w:p w14:paraId="5ECF94B4" w14:textId="77777777" w:rsidR="00134983" w:rsidRPr="006F0D24" w:rsidRDefault="00134983">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Mitogenome (~15kb) </w:t>
            </w:r>
          </w:p>
        </w:tc>
        <w:tc>
          <w:tcPr>
            <w:tcW w:w="1137" w:type="dxa"/>
            <w:shd w:val="clear" w:color="auto" w:fill="auto"/>
            <w:noWrap/>
            <w:hideMark/>
          </w:tcPr>
          <w:p w14:paraId="5C88B2E1" w14:textId="77777777" w:rsidR="00134983" w:rsidRPr="006F0D24" w:rsidRDefault="0013498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209</w:t>
            </w:r>
          </w:p>
        </w:tc>
        <w:tc>
          <w:tcPr>
            <w:tcW w:w="1137" w:type="dxa"/>
            <w:shd w:val="clear" w:color="auto" w:fill="auto"/>
            <w:noWrap/>
            <w:hideMark/>
          </w:tcPr>
          <w:p w14:paraId="034342C6" w14:textId="77777777" w:rsidR="00134983" w:rsidRPr="006F0D24" w:rsidRDefault="0013498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36</w:t>
            </w:r>
          </w:p>
        </w:tc>
        <w:tc>
          <w:tcPr>
            <w:tcW w:w="1137" w:type="dxa"/>
            <w:shd w:val="clear" w:color="auto" w:fill="auto"/>
            <w:noWrap/>
            <w:hideMark/>
          </w:tcPr>
          <w:p w14:paraId="46656206" w14:textId="77777777" w:rsidR="00134983" w:rsidRPr="006F0D24" w:rsidRDefault="0013498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2</w:t>
            </w:r>
          </w:p>
        </w:tc>
        <w:tc>
          <w:tcPr>
            <w:tcW w:w="2445" w:type="dxa"/>
            <w:shd w:val="clear" w:color="auto" w:fill="auto"/>
            <w:noWrap/>
            <w:hideMark/>
          </w:tcPr>
          <w:p w14:paraId="3A6E4D95" w14:textId="77777777" w:rsidR="00134983" w:rsidRPr="006F0D24" w:rsidRDefault="00134983">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Phylogenetic Backbone </w:t>
            </w:r>
          </w:p>
        </w:tc>
      </w:tr>
      <w:tr w:rsidR="00134983" w:rsidRPr="006F0D24" w14:paraId="6E55ADC2" w14:textId="77777777">
        <w:trPr>
          <w:trHeight w:val="320"/>
        </w:trPr>
        <w:tc>
          <w:tcPr>
            <w:cnfStyle w:val="001000000000" w:firstRow="0" w:lastRow="0" w:firstColumn="1" w:lastColumn="0" w:oddVBand="0" w:evenVBand="0" w:oddHBand="0" w:evenHBand="0" w:firstRowFirstColumn="0" w:firstRowLastColumn="0" w:lastRowFirstColumn="0" w:lastRowLastColumn="0"/>
            <w:tcW w:w="1138" w:type="dxa"/>
            <w:shd w:val="clear" w:color="auto" w:fill="auto"/>
            <w:noWrap/>
            <w:hideMark/>
          </w:tcPr>
          <w:p w14:paraId="7373BA3E" w14:textId="77777777" w:rsidR="00134983" w:rsidRPr="006F0D24" w:rsidRDefault="00134983">
            <w:pPr>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BCD </w:t>
            </w:r>
          </w:p>
        </w:tc>
        <w:tc>
          <w:tcPr>
            <w:tcW w:w="2032" w:type="dxa"/>
            <w:shd w:val="clear" w:color="auto" w:fill="auto"/>
            <w:noWrap/>
            <w:hideMark/>
          </w:tcPr>
          <w:p w14:paraId="39BCE079" w14:textId="23EF7550" w:rsidR="00134983" w:rsidRPr="006F0D24" w:rsidRDefault="0013498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w:t>
            </w:r>
            <w:proofErr w:type="gramStart"/>
            <w:r w:rsidRPr="006F0D24">
              <w:rPr>
                <w:rFonts w:ascii="Aptos Narrow" w:eastAsia="Times New Roman" w:hAnsi="Aptos Narrow" w:cs="Times New Roman"/>
                <w:color w:val="000000"/>
                <w:kern w:val="0"/>
                <w:sz w:val="21"/>
                <w:szCs w:val="21"/>
                <w:lang w:eastAsia="en-GB"/>
                <w14:ligatures w14:val="none"/>
              </w:rPr>
              <w:t>Single-barcode</w:t>
            </w:r>
            <w:proofErr w:type="gramEnd"/>
            <w:r w:rsidRPr="006F0D24">
              <w:rPr>
                <w:rFonts w:ascii="Aptos Narrow" w:eastAsia="Times New Roman" w:hAnsi="Aptos Narrow" w:cs="Times New Roman"/>
                <w:color w:val="000000"/>
                <w:kern w:val="0"/>
                <w:sz w:val="21"/>
                <w:szCs w:val="21"/>
                <w:lang w:eastAsia="en-GB"/>
                <w14:ligatures w14:val="none"/>
              </w:rPr>
              <w:t xml:space="preserve"> (</w:t>
            </w:r>
            <w:r w:rsidR="00692DE3">
              <w:rPr>
                <w:rFonts w:ascii="Aptos Narrow" w:eastAsia="Times New Roman" w:hAnsi="Aptos Narrow" w:cs="Times New Roman"/>
                <w:color w:val="000000"/>
                <w:kern w:val="0"/>
                <w:sz w:val="21"/>
                <w:szCs w:val="21"/>
                <w:lang w:eastAsia="en-GB"/>
                <w14:ligatures w14:val="none"/>
              </w:rPr>
              <w:t>418</w:t>
            </w:r>
            <w:r w:rsidRPr="006F0D24">
              <w:rPr>
                <w:rFonts w:ascii="Aptos Narrow" w:eastAsia="Times New Roman" w:hAnsi="Aptos Narrow" w:cs="Times New Roman"/>
                <w:color w:val="000000"/>
                <w:kern w:val="0"/>
                <w:sz w:val="21"/>
                <w:szCs w:val="21"/>
                <w:lang w:eastAsia="en-GB"/>
                <w14:ligatures w14:val="none"/>
              </w:rPr>
              <w:t xml:space="preserve">bp) </w:t>
            </w:r>
          </w:p>
        </w:tc>
        <w:tc>
          <w:tcPr>
            <w:tcW w:w="1137" w:type="dxa"/>
            <w:shd w:val="clear" w:color="auto" w:fill="auto"/>
            <w:noWrap/>
            <w:hideMark/>
          </w:tcPr>
          <w:p w14:paraId="1DFC56DA" w14:textId="77777777" w:rsidR="00134983" w:rsidRPr="006F0D24" w:rsidRDefault="0013498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430</w:t>
            </w:r>
          </w:p>
        </w:tc>
        <w:tc>
          <w:tcPr>
            <w:tcW w:w="1137" w:type="dxa"/>
            <w:shd w:val="clear" w:color="auto" w:fill="auto"/>
            <w:noWrap/>
            <w:hideMark/>
          </w:tcPr>
          <w:p w14:paraId="749CBB50" w14:textId="77777777" w:rsidR="00134983" w:rsidRPr="006F0D24" w:rsidRDefault="0013498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48</w:t>
            </w:r>
          </w:p>
        </w:tc>
        <w:tc>
          <w:tcPr>
            <w:tcW w:w="1137" w:type="dxa"/>
            <w:shd w:val="clear" w:color="auto" w:fill="auto"/>
            <w:noWrap/>
            <w:hideMark/>
          </w:tcPr>
          <w:p w14:paraId="3BCAEF43" w14:textId="77777777" w:rsidR="00134983" w:rsidRPr="006F0D24" w:rsidRDefault="0013498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4</w:t>
            </w:r>
          </w:p>
        </w:tc>
        <w:tc>
          <w:tcPr>
            <w:tcW w:w="2445" w:type="dxa"/>
            <w:shd w:val="clear" w:color="auto" w:fill="auto"/>
            <w:noWrap/>
            <w:hideMark/>
          </w:tcPr>
          <w:p w14:paraId="7349B946" w14:textId="77777777" w:rsidR="00134983" w:rsidRPr="006F0D24" w:rsidRDefault="0013498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Species Identification </w:t>
            </w:r>
          </w:p>
        </w:tc>
      </w:tr>
      <w:tr w:rsidR="00134983" w:rsidRPr="006F0D24" w14:paraId="43C9977E"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38" w:type="dxa"/>
            <w:shd w:val="clear" w:color="auto" w:fill="auto"/>
            <w:noWrap/>
            <w:hideMark/>
          </w:tcPr>
          <w:p w14:paraId="67F7EAED" w14:textId="77777777" w:rsidR="00134983" w:rsidRPr="006F0D24" w:rsidRDefault="00134983">
            <w:pPr>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MBC </w:t>
            </w:r>
          </w:p>
        </w:tc>
        <w:tc>
          <w:tcPr>
            <w:tcW w:w="2032" w:type="dxa"/>
            <w:shd w:val="clear" w:color="auto" w:fill="auto"/>
            <w:noWrap/>
            <w:hideMark/>
          </w:tcPr>
          <w:p w14:paraId="2CFC8541" w14:textId="77777777" w:rsidR="00134983" w:rsidRPr="006F0D24" w:rsidRDefault="00134983">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Metabarcoding (418bp) </w:t>
            </w:r>
          </w:p>
        </w:tc>
        <w:tc>
          <w:tcPr>
            <w:tcW w:w="1137" w:type="dxa"/>
            <w:shd w:val="clear" w:color="auto" w:fill="auto"/>
            <w:noWrap/>
            <w:hideMark/>
          </w:tcPr>
          <w:p w14:paraId="6E90CB74" w14:textId="77777777" w:rsidR="00134983" w:rsidRPr="006F0D24" w:rsidRDefault="0013498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894</w:t>
            </w:r>
          </w:p>
        </w:tc>
        <w:tc>
          <w:tcPr>
            <w:tcW w:w="1137" w:type="dxa"/>
            <w:shd w:val="clear" w:color="auto" w:fill="auto"/>
            <w:noWrap/>
            <w:hideMark/>
          </w:tcPr>
          <w:p w14:paraId="43DA0DDD" w14:textId="77777777" w:rsidR="00134983" w:rsidRPr="006F0D24" w:rsidRDefault="0013498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57</w:t>
            </w:r>
          </w:p>
        </w:tc>
        <w:tc>
          <w:tcPr>
            <w:tcW w:w="1137" w:type="dxa"/>
            <w:shd w:val="clear" w:color="auto" w:fill="auto"/>
            <w:noWrap/>
            <w:hideMark/>
          </w:tcPr>
          <w:p w14:paraId="1F52A058" w14:textId="77777777" w:rsidR="00134983" w:rsidRPr="006F0D24" w:rsidRDefault="0013498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11</w:t>
            </w:r>
          </w:p>
        </w:tc>
        <w:tc>
          <w:tcPr>
            <w:tcW w:w="2445" w:type="dxa"/>
            <w:shd w:val="clear" w:color="auto" w:fill="auto"/>
            <w:noWrap/>
            <w:hideMark/>
          </w:tcPr>
          <w:p w14:paraId="3FDE0744" w14:textId="77777777" w:rsidR="00134983" w:rsidRPr="006F0D24" w:rsidRDefault="00134983">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Hidden Diversity Discovery </w:t>
            </w:r>
          </w:p>
        </w:tc>
      </w:tr>
      <w:tr w:rsidR="00134983" w:rsidRPr="006F0D24" w14:paraId="46B6E6E2" w14:textId="77777777">
        <w:trPr>
          <w:trHeight w:val="320"/>
        </w:trPr>
        <w:tc>
          <w:tcPr>
            <w:cnfStyle w:val="001000000000" w:firstRow="0" w:lastRow="0" w:firstColumn="1" w:lastColumn="0" w:oddVBand="0" w:evenVBand="0" w:oddHBand="0" w:evenHBand="0" w:firstRowFirstColumn="0" w:firstRowLastColumn="0" w:lastRowFirstColumn="0" w:lastRowLastColumn="0"/>
            <w:tcW w:w="1138" w:type="dxa"/>
            <w:shd w:val="clear" w:color="auto" w:fill="auto"/>
            <w:noWrap/>
            <w:hideMark/>
          </w:tcPr>
          <w:p w14:paraId="27C583CF" w14:textId="77777777" w:rsidR="00134983" w:rsidRPr="006F0D24" w:rsidRDefault="00134983">
            <w:pPr>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Total </w:t>
            </w:r>
          </w:p>
        </w:tc>
        <w:tc>
          <w:tcPr>
            <w:tcW w:w="2032" w:type="dxa"/>
            <w:shd w:val="clear" w:color="auto" w:fill="auto"/>
            <w:noWrap/>
            <w:hideMark/>
          </w:tcPr>
          <w:p w14:paraId="5F5E572B" w14:textId="77777777" w:rsidR="00134983" w:rsidRPr="006F0D24" w:rsidRDefault="0013498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Integrated </w:t>
            </w:r>
          </w:p>
        </w:tc>
        <w:tc>
          <w:tcPr>
            <w:tcW w:w="1137" w:type="dxa"/>
            <w:shd w:val="clear" w:color="auto" w:fill="auto"/>
            <w:noWrap/>
            <w:hideMark/>
          </w:tcPr>
          <w:p w14:paraId="4142E496" w14:textId="77777777" w:rsidR="00134983" w:rsidRPr="006F0D24" w:rsidRDefault="0013498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1,533</w:t>
            </w:r>
          </w:p>
        </w:tc>
        <w:tc>
          <w:tcPr>
            <w:tcW w:w="1137" w:type="dxa"/>
            <w:shd w:val="clear" w:color="auto" w:fill="auto"/>
            <w:noWrap/>
            <w:hideMark/>
          </w:tcPr>
          <w:p w14:paraId="3E4831C6" w14:textId="77777777" w:rsidR="00134983" w:rsidRPr="006F0D24" w:rsidRDefault="0013498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65</w:t>
            </w:r>
          </w:p>
        </w:tc>
        <w:tc>
          <w:tcPr>
            <w:tcW w:w="1137" w:type="dxa"/>
            <w:shd w:val="clear" w:color="auto" w:fill="auto"/>
            <w:noWrap/>
            <w:hideMark/>
          </w:tcPr>
          <w:p w14:paraId="72AA4641" w14:textId="77777777" w:rsidR="00134983" w:rsidRPr="006F0D24" w:rsidRDefault="0013498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 </w:t>
            </w:r>
          </w:p>
        </w:tc>
        <w:tc>
          <w:tcPr>
            <w:tcW w:w="2445" w:type="dxa"/>
            <w:shd w:val="clear" w:color="auto" w:fill="auto"/>
            <w:noWrap/>
            <w:hideMark/>
          </w:tcPr>
          <w:p w14:paraId="095616D7" w14:textId="77777777" w:rsidR="00134983" w:rsidRPr="006F0D24" w:rsidRDefault="0013498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1"/>
                <w:szCs w:val="21"/>
                <w:lang w:eastAsia="en-GB"/>
                <w14:ligatures w14:val="none"/>
              </w:rPr>
            </w:pPr>
            <w:r w:rsidRPr="006F0D24">
              <w:rPr>
                <w:rFonts w:ascii="Aptos Narrow" w:eastAsia="Times New Roman" w:hAnsi="Aptos Narrow" w:cs="Times New Roman"/>
                <w:color w:val="000000"/>
                <w:kern w:val="0"/>
                <w:sz w:val="21"/>
                <w:szCs w:val="21"/>
                <w:lang w:eastAsia="en-GB"/>
                <w14:ligatures w14:val="none"/>
              </w:rPr>
              <w:t xml:space="preserve"> Comprehensive Assessment </w:t>
            </w:r>
          </w:p>
        </w:tc>
      </w:tr>
    </w:tbl>
    <w:p w14:paraId="2EA3F26E" w14:textId="77777777" w:rsidR="00134983" w:rsidRPr="00134983" w:rsidRDefault="00134983" w:rsidP="00134983">
      <w:pPr>
        <w:jc w:val="thaiDistribute"/>
      </w:pPr>
    </w:p>
    <w:p w14:paraId="71BC290B" w14:textId="77777777" w:rsidR="00134983" w:rsidRPr="00134983" w:rsidRDefault="00134983" w:rsidP="00134983">
      <w:pPr>
        <w:jc w:val="thaiDistribute"/>
        <w:rPr>
          <w:b/>
          <w:bCs/>
        </w:rPr>
      </w:pPr>
      <w:r w:rsidRPr="00134983">
        <w:rPr>
          <w:b/>
          <w:bCs/>
        </w:rPr>
        <w:t>3.2 Quantifying Hidden Evolutionary Diversity</w:t>
      </w:r>
    </w:p>
    <w:p w14:paraId="5A7F7937" w14:textId="77777777" w:rsidR="00134983" w:rsidRPr="00134983" w:rsidRDefault="00134983" w:rsidP="00134983">
      <w:pPr>
        <w:jc w:val="thaiDistribute"/>
      </w:pPr>
      <w:r w:rsidRPr="00134983">
        <w:t>To assess the additive value of each data type, Phylogenetic Diversity (PD) was calculated hierarchically. The mitogenomic backbone (MMG), representing the standard phylogenomic dataset, recovered a basal PD of 54.60. The integration of specimen-based DNA barcodes (BCD) significantly expanded the recovered evolutionary history to 141.76, representing a 159.6% increase over the baseline.</w:t>
      </w:r>
    </w:p>
    <w:p w14:paraId="675A144F" w14:textId="77777777" w:rsidR="00134983" w:rsidRPr="00134983" w:rsidRDefault="00134983" w:rsidP="00134983">
      <w:pPr>
        <w:jc w:val="thaiDistribute"/>
      </w:pPr>
      <w:r w:rsidRPr="00134983">
        <w:t xml:space="preserve">Most critically, the inclusion of metabarcoding data (MBC) resulted in a further substantial expansion, elevating the total PD to 251.00. This corresponds to a cumulative 360% increase in recovered phylogenetic diversity compared to the mitogenomic backbone alone. This stepwise increase demonstrates that while </w:t>
      </w:r>
      <w:r w:rsidRPr="00134983">
        <w:lastRenderedPageBreak/>
        <w:t xml:space="preserve">mitogenomes provide robust deep-node resolution, </w:t>
      </w:r>
      <w:proofErr w:type="gramStart"/>
      <w:r w:rsidRPr="00134983">
        <w:t>the vast majority of</w:t>
      </w:r>
      <w:proofErr w:type="gramEnd"/>
      <w:r w:rsidRPr="00134983">
        <w:t xml:space="preserve"> evolutionary diversity in tropical beetle communities resides in lineages captured primarily through high-throughput amplicon sequencing.</w:t>
      </w:r>
    </w:p>
    <w:p w14:paraId="05CA1908" w14:textId="77777777" w:rsidR="00134983" w:rsidRPr="00134983" w:rsidRDefault="00134983" w:rsidP="00134983">
      <w:pPr>
        <w:jc w:val="thaiDistribute"/>
        <w:rPr>
          <w:b/>
          <w:bCs/>
        </w:rPr>
      </w:pPr>
      <w:r w:rsidRPr="00134983">
        <w:rPr>
          <w:b/>
          <w:bCs/>
        </w:rPr>
        <w:t>3.3 Global Phylogenetic Context and Branch Length Patterns</w:t>
      </w:r>
    </w:p>
    <w:p w14:paraId="352F04D3" w14:textId="77777777" w:rsidR="00134983" w:rsidRPr="00134983" w:rsidRDefault="00134983" w:rsidP="00134983">
      <w:pPr>
        <w:jc w:val="thaiDistribute"/>
      </w:pPr>
      <w:r w:rsidRPr="00134983">
        <w:t>To ensure a rigorous cross-regional comparison, analysis was restricted to the mitogenomic dataset. Thai beetle assemblages exhibited significantly shorter mean branch lengths (Mean BL = 0.0447) compared to assemblages from Malaysia (Mean BL = 0.1275) and the Neotropics (Mean BL = 0.1105).</w:t>
      </w:r>
    </w:p>
    <w:p w14:paraId="67D8DFFA" w14:textId="77777777" w:rsidR="00134983" w:rsidRPr="00134983" w:rsidRDefault="00134983" w:rsidP="00134983">
      <w:pPr>
        <w:jc w:val="thaiDistribute"/>
      </w:pPr>
      <w:r w:rsidRPr="00134983">
        <w:t>Rarefaction analysis confirmed that this pattern was not an artifact of sample size. In 1,000 random iterations of subsampling 209 taxa from the Malaysian dataset, the rarefied mean branch length was 0.1273 (95% CI: 0.1160–0.1386). No rarefied sample exhibited a mean branch length equal to or lower than the observed Thai mean (p &lt; 0.0001). This clustering of short branches suggests that the sampled Thai communities are composed of relatively young or closely related lineages.</w:t>
      </w:r>
    </w:p>
    <w:p w14:paraId="0615650C" w14:textId="77777777" w:rsidR="00134983" w:rsidRPr="00134983" w:rsidRDefault="00134983" w:rsidP="00134983">
      <w:pPr>
        <w:jc w:val="thaiDistribute"/>
        <w:rPr>
          <w:b/>
          <w:bCs/>
        </w:rPr>
      </w:pPr>
      <w:r w:rsidRPr="00134983">
        <w:rPr>
          <w:b/>
          <w:bCs/>
        </w:rPr>
        <w:t>3.4 Methodological Concordance</w:t>
      </w:r>
    </w:p>
    <w:p w14:paraId="7DD22E0F" w14:textId="39D006D8" w:rsidR="00134983" w:rsidRPr="00134983" w:rsidRDefault="00134983" w:rsidP="00134983">
      <w:pPr>
        <w:jc w:val="thaiDistribute"/>
      </w:pPr>
      <w:r w:rsidRPr="00134983">
        <w:t>Cross-validation between data types revealed high concordance. All 187 mitogenomes with corresponding barcodes showed &gt; 9</w:t>
      </w:r>
      <w:r w:rsidR="00A0043A">
        <w:t>8</w:t>
      </w:r>
      <w:r w:rsidRPr="00134983">
        <w:t>% sequence similarity (Mean similarity = 99.80%), confirming the accuracy of the ASV authentication pipeline. However, 67.9% of DNA barcodes lacked a corresponding mitogenome, and 89.4% of metabarcoding OTUs were unique to the bulk dataset, underscoring the limited overlap and high necessity of integrating all three data streams for a complete inventory.</w:t>
      </w:r>
    </w:p>
    <w:p w14:paraId="033DF834" w14:textId="4BF5C94E" w:rsidR="00134983" w:rsidRPr="00134983" w:rsidRDefault="00134983" w:rsidP="00134983">
      <w:pPr>
        <w:jc w:val="thaiDistribute"/>
      </w:pPr>
    </w:p>
    <w:p w14:paraId="7B679504" w14:textId="77777777" w:rsidR="00134983" w:rsidRPr="00134983" w:rsidRDefault="00134983" w:rsidP="00134983">
      <w:pPr>
        <w:jc w:val="thaiDistribute"/>
      </w:pPr>
      <w:r w:rsidRPr="00134983">
        <w:rPr>
          <w:b/>
          <w:bCs/>
        </w:rPr>
        <w:t>4. Discussion</w:t>
      </w:r>
    </w:p>
    <w:p w14:paraId="4FCCA826" w14:textId="77777777" w:rsidR="00134983" w:rsidRPr="00134983" w:rsidRDefault="00134983" w:rsidP="00134983">
      <w:pPr>
        <w:jc w:val="thaiDistribute"/>
        <w:rPr>
          <w:b/>
          <w:bCs/>
        </w:rPr>
      </w:pPr>
      <w:r w:rsidRPr="00134983">
        <w:rPr>
          <w:b/>
          <w:bCs/>
        </w:rPr>
        <w:t>4.1 Unveiling Hidden Diversity: The Power of Integration</w:t>
      </w:r>
    </w:p>
    <w:p w14:paraId="795BA792" w14:textId="77777777" w:rsidR="00134983" w:rsidRPr="00134983" w:rsidRDefault="00134983" w:rsidP="00134983">
      <w:pPr>
        <w:jc w:val="thaiDistribute"/>
      </w:pPr>
      <w:r w:rsidRPr="00134983">
        <w:t xml:space="preserve">Our results provide empirical evidence that traditional single-method assessments vastly underestimate tropical biodiversity. While mitochondrial metagenomics (MMG) provided a robust phylogenetic backbone with high node support, it recovered only 21.7% of the total phylogenetic diversity (PD) captured by the integrated approach. The stepwise increase in PD—by 159.6% with the addition of DNA barcodes and a cumulative 360% with metabarcoding—demonstrates that </w:t>
      </w:r>
      <w:proofErr w:type="gramStart"/>
      <w:r w:rsidRPr="00134983">
        <w:t>the majority of</w:t>
      </w:r>
      <w:proofErr w:type="gramEnd"/>
      <w:r w:rsidRPr="00134983">
        <w:t xml:space="preserve"> evolutionary history in Thai beetle assemblages is held within hidden lineages.</w:t>
      </w:r>
    </w:p>
    <w:p w14:paraId="4C389036" w14:textId="77777777" w:rsidR="00134983" w:rsidRPr="00134983" w:rsidRDefault="00134983" w:rsidP="00134983">
      <w:pPr>
        <w:jc w:val="thaiDistribute"/>
      </w:pPr>
      <w:r w:rsidRPr="00134983">
        <w:t>These lineages, detected primarily through metabarcoding, likely represent cryptic, rare, or small-bodied taxa that evade standard specimen-based processing. This finding challenges the sufficiency of using mitogenomes alone as a proxy for total biodiversity and argues for a multi-tiered strategy where MMG provides the depth (evolutionary resolution) and metabarcoding provides the breadth (coverage).</w:t>
      </w:r>
    </w:p>
    <w:p w14:paraId="31015158" w14:textId="77777777" w:rsidR="00134983" w:rsidRPr="00134983" w:rsidRDefault="00134983" w:rsidP="00134983">
      <w:pPr>
        <w:jc w:val="thaiDistribute"/>
        <w:rPr>
          <w:b/>
          <w:bCs/>
        </w:rPr>
      </w:pPr>
      <w:r w:rsidRPr="00134983">
        <w:rPr>
          <w:b/>
          <w:bCs/>
        </w:rPr>
        <w:lastRenderedPageBreak/>
        <w:t>4.2 Distinct Evolutionary Signatures of Thai Beetles</w:t>
      </w:r>
    </w:p>
    <w:p w14:paraId="1A9A5BC3" w14:textId="77777777" w:rsidR="00134983" w:rsidRPr="00134983" w:rsidRDefault="00134983" w:rsidP="00134983">
      <w:pPr>
        <w:jc w:val="thaiDistribute"/>
      </w:pPr>
      <w:r w:rsidRPr="00134983">
        <w:t>The phylogenetic structure of Thai beetle assemblages differs significantly from other tropical regions. The observation of significantly shorter mean branch lengths (p &lt; 0.0001) compared to Global datasets suggests that Thai forests are dominated by relatively young or closely related species clusters.</w:t>
      </w:r>
    </w:p>
    <w:p w14:paraId="2EBF038F" w14:textId="77777777" w:rsidR="00134983" w:rsidRPr="00134983" w:rsidRDefault="00134983" w:rsidP="00134983">
      <w:pPr>
        <w:jc w:val="thaiDistribute"/>
      </w:pPr>
      <w:r w:rsidRPr="00134983">
        <w:t>Two non-mutually exclusive hypotheses may explain this pattern. First, the Recent Diversification Hypothesis suggests that these lineages have undergone rapid radiation, possibly driven by Pleistocene climatic fluctuations that created refugia in mainland Southeast Asia. Second, the Environmental Filtering Hypothesis implies that strong local environmental constraints in KYNP and SERS select for phylogenetically conserved traits, resulting in communities composed of closely related taxa (phylogenetic clustering) rather than a random assemblage of ancient lineages.</w:t>
      </w:r>
    </w:p>
    <w:p w14:paraId="70F855DE" w14:textId="77777777" w:rsidR="00134983" w:rsidRPr="00134983" w:rsidRDefault="00134983" w:rsidP="00134983">
      <w:pPr>
        <w:jc w:val="thaiDistribute"/>
        <w:rPr>
          <w:b/>
          <w:bCs/>
        </w:rPr>
      </w:pPr>
      <w:r w:rsidRPr="00134983">
        <w:rPr>
          <w:b/>
          <w:bCs/>
        </w:rPr>
        <w:t>4.3 Study Limitations</w:t>
      </w:r>
    </w:p>
    <w:p w14:paraId="02032C73" w14:textId="22DAFEE9" w:rsidR="00134983" w:rsidRPr="00134983" w:rsidRDefault="00134983" w:rsidP="00134983">
      <w:pPr>
        <w:jc w:val="thaiDistribute"/>
      </w:pPr>
      <w:r w:rsidRPr="00134983">
        <w:t xml:space="preserve">While this integrated framework provides a comprehensive diversity assessment, several limitations must be acknowledged. First, the recovery of mitogenomes exhibited taxonomic bias; families such as Curculionidae and Staphylinidae showed lower recovery rates compared to Coccinellidae, likely due to variability in DNA quality or primer binding efficiency for long-range PCR/baiting. Second, although the </w:t>
      </w:r>
      <w:proofErr w:type="spellStart"/>
      <w:r w:rsidRPr="00134983">
        <w:t>mlCOIintF</w:t>
      </w:r>
      <w:proofErr w:type="spellEnd"/>
      <w:r w:rsidRPr="00134983">
        <w:t>/jgHCO2198 primers are highly degenerate, primer mismatch may still result in the non-detection of specific taxa in metabarcoding datasets, potentially underestimating the hidden diversity in certain clades. Finally, while OTU clustering at 9</w:t>
      </w:r>
      <w:r w:rsidR="00A0043A">
        <w:t>8</w:t>
      </w:r>
      <w:r w:rsidRPr="00134983">
        <w:t>% is standard, it may collapse closely related sister species or split intraspecific haplotypes, necessitating future refinement with amplicon sequence variant (ASV) approaches as reference databases expand.</w:t>
      </w:r>
    </w:p>
    <w:p w14:paraId="4ECCE290" w14:textId="2F388583" w:rsidR="00134983" w:rsidRPr="00134983" w:rsidRDefault="00134983" w:rsidP="00134983">
      <w:pPr>
        <w:jc w:val="thaiDistribute"/>
      </w:pPr>
    </w:p>
    <w:p w14:paraId="251C7D4B" w14:textId="77777777" w:rsidR="00134983" w:rsidRPr="00134983" w:rsidRDefault="00134983" w:rsidP="00134983">
      <w:pPr>
        <w:jc w:val="thaiDistribute"/>
      </w:pPr>
      <w:r w:rsidRPr="00134983">
        <w:rPr>
          <w:b/>
          <w:bCs/>
        </w:rPr>
        <w:t>5. Conclusions</w:t>
      </w:r>
    </w:p>
    <w:p w14:paraId="50FF5B98" w14:textId="77777777" w:rsidR="00134983" w:rsidRPr="00134983" w:rsidRDefault="00134983" w:rsidP="00134983">
      <w:pPr>
        <w:jc w:val="thaiDistribute"/>
      </w:pPr>
      <w:r w:rsidRPr="00134983">
        <w:t xml:space="preserve">This study establishes a new benchmark for biodiversity assessment in Southeast Asian forests. By integrating mitochondrial metagenomics, DNA barcoding, and metabarcoding, we successfully characterised the beetle diversity of central Thailand with unprecedented resolution. The discovery that over 70% of recoverable phylogenetic diversity is accessible only through high-throughput sequencing has profound implications for conservation: reliance on traditional metrics may lead to a significant underestimation of the evolutionary potential of these ecosystems. Furthermore, the distinct phylogenetic clustering observed in Thai beetles suggests that these forests harbour unique, recently radiated lineages that may be particularly sensitive to rapid environmental change. We propose this Backbone-and-Bulk framework as a standard </w:t>
      </w:r>
      <w:r w:rsidRPr="00134983">
        <w:lastRenderedPageBreak/>
        <w:t>protocol for monitoring tropical biodiversity, ensuring that conservation priorities are informed by both taxonomic richness and evolutionary distinctiveness.</w:t>
      </w:r>
    </w:p>
    <w:p w14:paraId="6F69BCA5" w14:textId="2666B3B4" w:rsidR="00134983" w:rsidRPr="00134983" w:rsidRDefault="00134983" w:rsidP="00134983">
      <w:pPr>
        <w:jc w:val="thaiDistribute"/>
        <w:rPr>
          <w:cs/>
          <w:lang w:val="en-US"/>
        </w:rPr>
      </w:pPr>
    </w:p>
    <w:p w14:paraId="4676EB65" w14:textId="77777777" w:rsidR="00134983" w:rsidRPr="00134983" w:rsidRDefault="00134983" w:rsidP="00134983">
      <w:pPr>
        <w:jc w:val="thaiDistribute"/>
      </w:pPr>
      <w:r w:rsidRPr="00134983">
        <w:rPr>
          <w:b/>
          <w:bCs/>
        </w:rPr>
        <w:t>References</w:t>
      </w:r>
    </w:p>
    <w:p w14:paraId="5B315948" w14:textId="77777777" w:rsidR="00134983" w:rsidRPr="00134983" w:rsidRDefault="00134983" w:rsidP="00134983">
      <w:pPr>
        <w:numPr>
          <w:ilvl w:val="0"/>
          <w:numId w:val="2"/>
        </w:numPr>
        <w:jc w:val="thaiDistribute"/>
      </w:pPr>
      <w:r w:rsidRPr="00134983">
        <w:t>Basset, Y., et al. (2012). Arthropod diversity in a tropical forest. Science, 338(6113), 1481-1484.</w:t>
      </w:r>
    </w:p>
    <w:p w14:paraId="0F3B05F6" w14:textId="77777777" w:rsidR="00134983" w:rsidRPr="00134983" w:rsidRDefault="00134983" w:rsidP="00134983">
      <w:pPr>
        <w:numPr>
          <w:ilvl w:val="0"/>
          <w:numId w:val="2"/>
        </w:numPr>
        <w:jc w:val="thaiDistribute"/>
      </w:pPr>
      <w:r w:rsidRPr="00134983">
        <w:t xml:space="preserve">Crampton-Platt, A., et al. (2016). Mitochondrial metagenomics: letting the genes out of the bottle. </w:t>
      </w:r>
      <w:proofErr w:type="spellStart"/>
      <w:r w:rsidRPr="00134983">
        <w:t>GigaScience</w:t>
      </w:r>
      <w:proofErr w:type="spellEnd"/>
      <w:r w:rsidRPr="00134983">
        <w:t>, 5(1), 15.</w:t>
      </w:r>
    </w:p>
    <w:p w14:paraId="666069EF" w14:textId="77777777" w:rsidR="00134983" w:rsidRPr="00134983" w:rsidRDefault="00134983" w:rsidP="00134983">
      <w:pPr>
        <w:numPr>
          <w:ilvl w:val="0"/>
          <w:numId w:val="2"/>
        </w:numPr>
        <w:jc w:val="thaiDistribute"/>
      </w:pPr>
      <w:r w:rsidRPr="00134983">
        <w:t>Faith, D.P. (1992). Conservation evaluation and phylogenetic diversity. Biological Conservation, 61(1), 1-10.</w:t>
      </w:r>
    </w:p>
    <w:p w14:paraId="1BCCDF2D" w14:textId="77777777" w:rsidR="00134983" w:rsidRPr="00134983" w:rsidRDefault="00134983" w:rsidP="00134983">
      <w:pPr>
        <w:numPr>
          <w:ilvl w:val="0"/>
          <w:numId w:val="2"/>
        </w:numPr>
        <w:jc w:val="thaiDistribute"/>
      </w:pPr>
      <w:r w:rsidRPr="00134983">
        <w:t>Leprieur, F., et al. (2012). Quantifying phylogenetic beta diversity: distinguishing between ‘true’ turnover of lineages and differences in phylogenetic diversity. Global Ecology and Biogeography, 21(3), 343-353.</w:t>
      </w:r>
    </w:p>
    <w:p w14:paraId="1D9A83A9" w14:textId="77777777" w:rsidR="00134983" w:rsidRPr="00134983" w:rsidRDefault="00134983" w:rsidP="00134983">
      <w:pPr>
        <w:numPr>
          <w:ilvl w:val="0"/>
          <w:numId w:val="2"/>
        </w:numPr>
        <w:jc w:val="thaiDistribute"/>
      </w:pPr>
      <w:r w:rsidRPr="00134983">
        <w:t>Riedel, A., et al. (2013). Cryptic diversity in tropical forests: the case of the weevil genus Trigonopterus in New Guinea. Frontiers in Zoology, 10, 15.</w:t>
      </w:r>
    </w:p>
    <w:p w14:paraId="4BB9BAB8" w14:textId="77777777" w:rsidR="00134983" w:rsidRPr="00134983" w:rsidRDefault="00134983" w:rsidP="00134983">
      <w:pPr>
        <w:numPr>
          <w:ilvl w:val="0"/>
          <w:numId w:val="2"/>
        </w:numPr>
        <w:jc w:val="thaiDistribute"/>
      </w:pPr>
      <w:r w:rsidRPr="00134983">
        <w:t>Stork, N.E., et al. (2015). New approaches narrow global species estimates for beetles. Insect Conservation and Diversity, 8, 207-221.</w:t>
      </w:r>
    </w:p>
    <w:p w14:paraId="2F3CF3E5" w14:textId="77777777" w:rsidR="00134983" w:rsidRPr="00134983" w:rsidRDefault="00134983" w:rsidP="00134983">
      <w:pPr>
        <w:numPr>
          <w:ilvl w:val="0"/>
          <w:numId w:val="2"/>
        </w:numPr>
        <w:jc w:val="thaiDistribute"/>
      </w:pPr>
      <w:r w:rsidRPr="00134983">
        <w:t>Webb, C.O., et al. (2002). Phylogenies and community ecology. Annual Review of Ecology and Systematics, 33, 475-505.</w:t>
      </w:r>
    </w:p>
    <w:p w14:paraId="745C77E5" w14:textId="77777777" w:rsidR="00B3649E" w:rsidRPr="00134983" w:rsidRDefault="00B3649E" w:rsidP="00134983">
      <w:pPr>
        <w:jc w:val="thaiDistribute"/>
      </w:pPr>
    </w:p>
    <w:sectPr w:rsidR="00B3649E" w:rsidRPr="0013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40C28"/>
    <w:multiLevelType w:val="multilevel"/>
    <w:tmpl w:val="0E90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F46712"/>
    <w:multiLevelType w:val="multilevel"/>
    <w:tmpl w:val="E5FA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988174">
    <w:abstractNumId w:val="1"/>
  </w:num>
  <w:num w:numId="2" w16cid:durableId="170636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83"/>
    <w:rsid w:val="0001587F"/>
    <w:rsid w:val="00045A32"/>
    <w:rsid w:val="0005076D"/>
    <w:rsid w:val="00066833"/>
    <w:rsid w:val="0009346F"/>
    <w:rsid w:val="000B34F8"/>
    <w:rsid w:val="000B3F1E"/>
    <w:rsid w:val="000F0389"/>
    <w:rsid w:val="00112872"/>
    <w:rsid w:val="001170E6"/>
    <w:rsid w:val="00122CCA"/>
    <w:rsid w:val="0012596F"/>
    <w:rsid w:val="00134983"/>
    <w:rsid w:val="00163B18"/>
    <w:rsid w:val="00182B14"/>
    <w:rsid w:val="001A4A23"/>
    <w:rsid w:val="001C355B"/>
    <w:rsid w:val="001D7229"/>
    <w:rsid w:val="001E200E"/>
    <w:rsid w:val="001F1384"/>
    <w:rsid w:val="002209E0"/>
    <w:rsid w:val="0025416E"/>
    <w:rsid w:val="00275A49"/>
    <w:rsid w:val="00294422"/>
    <w:rsid w:val="002B5279"/>
    <w:rsid w:val="002C5135"/>
    <w:rsid w:val="002F3CB4"/>
    <w:rsid w:val="00311515"/>
    <w:rsid w:val="0031332E"/>
    <w:rsid w:val="00321BA9"/>
    <w:rsid w:val="003A32B2"/>
    <w:rsid w:val="00447EAA"/>
    <w:rsid w:val="00467AB0"/>
    <w:rsid w:val="00473DBB"/>
    <w:rsid w:val="004E67F9"/>
    <w:rsid w:val="00506E4E"/>
    <w:rsid w:val="00542DC5"/>
    <w:rsid w:val="00546398"/>
    <w:rsid w:val="00563CC8"/>
    <w:rsid w:val="00577B6D"/>
    <w:rsid w:val="005A2A16"/>
    <w:rsid w:val="005A3F50"/>
    <w:rsid w:val="00626C59"/>
    <w:rsid w:val="0063585F"/>
    <w:rsid w:val="006768EE"/>
    <w:rsid w:val="00690548"/>
    <w:rsid w:val="006911E3"/>
    <w:rsid w:val="00692DE3"/>
    <w:rsid w:val="006C036B"/>
    <w:rsid w:val="006C2439"/>
    <w:rsid w:val="00714F32"/>
    <w:rsid w:val="007269A0"/>
    <w:rsid w:val="00755344"/>
    <w:rsid w:val="00760673"/>
    <w:rsid w:val="007A221A"/>
    <w:rsid w:val="007B5FFF"/>
    <w:rsid w:val="007C6B05"/>
    <w:rsid w:val="007D046B"/>
    <w:rsid w:val="007E01AD"/>
    <w:rsid w:val="007E743E"/>
    <w:rsid w:val="0080276B"/>
    <w:rsid w:val="00827357"/>
    <w:rsid w:val="0088021B"/>
    <w:rsid w:val="00896276"/>
    <w:rsid w:val="008A3BF9"/>
    <w:rsid w:val="008F753F"/>
    <w:rsid w:val="00932EF9"/>
    <w:rsid w:val="009348CD"/>
    <w:rsid w:val="009511E8"/>
    <w:rsid w:val="00955414"/>
    <w:rsid w:val="009E7D66"/>
    <w:rsid w:val="00A0043A"/>
    <w:rsid w:val="00A4307A"/>
    <w:rsid w:val="00A45005"/>
    <w:rsid w:val="00A450B3"/>
    <w:rsid w:val="00AB38D9"/>
    <w:rsid w:val="00AC662B"/>
    <w:rsid w:val="00AD50FB"/>
    <w:rsid w:val="00B3649E"/>
    <w:rsid w:val="00BA00F4"/>
    <w:rsid w:val="00BA34A1"/>
    <w:rsid w:val="00C15FE4"/>
    <w:rsid w:val="00C24259"/>
    <w:rsid w:val="00C268BC"/>
    <w:rsid w:val="00C31F28"/>
    <w:rsid w:val="00C44182"/>
    <w:rsid w:val="00C53963"/>
    <w:rsid w:val="00CC0528"/>
    <w:rsid w:val="00CD42B0"/>
    <w:rsid w:val="00D07FCD"/>
    <w:rsid w:val="00D46CA2"/>
    <w:rsid w:val="00D47F0D"/>
    <w:rsid w:val="00D82A77"/>
    <w:rsid w:val="00D87718"/>
    <w:rsid w:val="00D92E33"/>
    <w:rsid w:val="00DB5F1C"/>
    <w:rsid w:val="00DC1A8B"/>
    <w:rsid w:val="00DD101B"/>
    <w:rsid w:val="00DD1B42"/>
    <w:rsid w:val="00DD5EBA"/>
    <w:rsid w:val="00DF1807"/>
    <w:rsid w:val="00E169BD"/>
    <w:rsid w:val="00E408FE"/>
    <w:rsid w:val="00E41AEB"/>
    <w:rsid w:val="00ED2992"/>
    <w:rsid w:val="00F3057C"/>
    <w:rsid w:val="00F34C16"/>
    <w:rsid w:val="00F46951"/>
    <w:rsid w:val="00F55A63"/>
    <w:rsid w:val="00F6590A"/>
    <w:rsid w:val="00F746A4"/>
    <w:rsid w:val="00F7751F"/>
    <w:rsid w:val="00FA50FD"/>
    <w:rsid w:val="00FD752D"/>
    <w:rsid w:val="00FE221A"/>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660D"/>
  <w15:chartTrackingRefBased/>
  <w15:docId w15:val="{23472AB5-9653-7C4C-8121-7F9B05D2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1349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349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349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34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98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3498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3498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34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983"/>
    <w:rPr>
      <w:rFonts w:eastAsiaTheme="majorEastAsia" w:cstheme="majorBidi"/>
      <w:color w:val="272727" w:themeColor="text1" w:themeTint="D8"/>
    </w:rPr>
  </w:style>
  <w:style w:type="paragraph" w:styleId="Title">
    <w:name w:val="Title"/>
    <w:basedOn w:val="Normal"/>
    <w:next w:val="Normal"/>
    <w:link w:val="TitleChar"/>
    <w:uiPriority w:val="10"/>
    <w:qFormat/>
    <w:rsid w:val="001349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498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49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498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4983"/>
    <w:pPr>
      <w:spacing w:before="160"/>
      <w:jc w:val="center"/>
    </w:pPr>
    <w:rPr>
      <w:i/>
      <w:iCs/>
      <w:color w:val="404040" w:themeColor="text1" w:themeTint="BF"/>
    </w:rPr>
  </w:style>
  <w:style w:type="character" w:customStyle="1" w:styleId="QuoteChar">
    <w:name w:val="Quote Char"/>
    <w:basedOn w:val="DefaultParagraphFont"/>
    <w:link w:val="Quote"/>
    <w:uiPriority w:val="29"/>
    <w:rsid w:val="00134983"/>
    <w:rPr>
      <w:rFonts w:cs="Angsana New"/>
      <w:i/>
      <w:iCs/>
      <w:color w:val="404040" w:themeColor="text1" w:themeTint="BF"/>
    </w:rPr>
  </w:style>
  <w:style w:type="paragraph" w:styleId="ListParagraph">
    <w:name w:val="List Paragraph"/>
    <w:basedOn w:val="Normal"/>
    <w:uiPriority w:val="34"/>
    <w:qFormat/>
    <w:rsid w:val="00134983"/>
    <w:pPr>
      <w:ind w:left="720"/>
      <w:contextualSpacing/>
    </w:pPr>
  </w:style>
  <w:style w:type="character" w:styleId="IntenseEmphasis">
    <w:name w:val="Intense Emphasis"/>
    <w:basedOn w:val="DefaultParagraphFont"/>
    <w:uiPriority w:val="21"/>
    <w:qFormat/>
    <w:rsid w:val="00134983"/>
    <w:rPr>
      <w:i/>
      <w:iCs/>
      <w:color w:val="0F4761" w:themeColor="accent1" w:themeShade="BF"/>
    </w:rPr>
  </w:style>
  <w:style w:type="paragraph" w:styleId="IntenseQuote">
    <w:name w:val="Intense Quote"/>
    <w:basedOn w:val="Normal"/>
    <w:next w:val="Normal"/>
    <w:link w:val="IntenseQuoteChar"/>
    <w:uiPriority w:val="30"/>
    <w:qFormat/>
    <w:rsid w:val="00134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983"/>
    <w:rPr>
      <w:rFonts w:cs="Angsana New"/>
      <w:i/>
      <w:iCs/>
      <w:color w:val="0F4761" w:themeColor="accent1" w:themeShade="BF"/>
    </w:rPr>
  </w:style>
  <w:style w:type="character" w:styleId="IntenseReference">
    <w:name w:val="Intense Reference"/>
    <w:basedOn w:val="DefaultParagraphFont"/>
    <w:uiPriority w:val="32"/>
    <w:qFormat/>
    <w:rsid w:val="00134983"/>
    <w:rPr>
      <w:b/>
      <w:bCs/>
      <w:smallCaps/>
      <w:color w:val="0F4761" w:themeColor="accent1" w:themeShade="BF"/>
      <w:spacing w:val="5"/>
    </w:rPr>
  </w:style>
  <w:style w:type="table" w:styleId="PlainTable4">
    <w:name w:val="Plain Table 4"/>
    <w:basedOn w:val="TableNormal"/>
    <w:uiPriority w:val="44"/>
    <w:rsid w:val="001349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907220">
      <w:bodyDiv w:val="1"/>
      <w:marLeft w:val="0"/>
      <w:marRight w:val="0"/>
      <w:marTop w:val="0"/>
      <w:marBottom w:val="0"/>
      <w:divBdr>
        <w:top w:val="none" w:sz="0" w:space="0" w:color="auto"/>
        <w:left w:val="none" w:sz="0" w:space="0" w:color="auto"/>
        <w:bottom w:val="none" w:sz="0" w:space="0" w:color="auto"/>
        <w:right w:val="none" w:sz="0" w:space="0" w:color="auto"/>
      </w:divBdr>
    </w:div>
    <w:div w:id="207940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2853</Words>
  <Characters>16265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Sarawut &lt;Dew&gt; Ounjai</dc:creator>
  <cp:keywords/>
  <dc:description/>
  <cp:lastModifiedBy>Sarawut &lt;Dew&gt; Ounjai</cp:lastModifiedBy>
  <cp:revision>2</cp:revision>
  <dcterms:created xsi:type="dcterms:W3CDTF">2025-12-09T16:12:00Z</dcterms:created>
  <dcterms:modified xsi:type="dcterms:W3CDTF">2025-12-19T04:14:00Z</dcterms:modified>
</cp:coreProperties>
</file>