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KRIITTINEN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Palveluun tunnistautuminen VS Varaaminen ilman kirjautumista?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Tilan varaaminen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Varauksen peruutus/muokkaus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Kaikkien varausten säilöminen tietokantaan (myös peruutettujen)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Sähköposti-ilmoitus palvelun ylläpitäjälle ja käyttäjälle varauksista.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Responsiivisuus = näyttää hyvältä koneella ja mobiililaitteilla (?)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Tilojen/käyttäjien tietojen muokkaus(lisääminen, poisto kuuluu myös tähän)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HYVÄ OLLA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Roolit käyttäjille(esim. ylläpitäjä, asiakas, tilan yhteyshenkilö)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Hintatiedot varaukselle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Useampi varattava tila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Tilan/tilojen graafinen valintaikkuna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Vahvistussähköposti varauksen tehneelle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Forgot password -toiminto (jos kirjautuminen)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Tilavarausten selaaminen ilman kirjautumista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LISÄOMINAISUUDET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Graafinen näkymä ylläpitäjälle varatuista tiloista.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Graafinen chat-palvelu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Kuvien lisääminen esim. tilojen esittelyyn/tietoihin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Palautteen/ilmoituksen jättäminen tilan ylläpitäjälle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Tilojen arvostelu mahdollisuus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Mahdollisuus toistuvaan varaukseen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Google-tunnistautuminen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Facebook-tunnistautuminen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