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u w:val="single"/>
        </w:rPr>
      </w:pPr>
      <w:r w:rsidDel="00000000" w:rsidR="00000000" w:rsidRPr="00000000">
        <w:rPr>
          <w:b w:val="1"/>
          <w:bCs w:val="1"/>
          <w:sz w:val="28"/>
          <w:szCs w:val="28"/>
          <w:u w:val="single"/>
        </w:rPr>
        <w:drawing>
          <wp:inline distB="114300" distT="114300" distL="114300" distR="114300">
            <wp:extent cx="1347788" cy="13477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7788" cy="13477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b w:val="1"/>
          <w:bCs w:val="1"/>
          <w:sz w:val="28"/>
          <w:szCs w:val="28"/>
          <w:u w:val="single"/>
        </w:rPr>
      </w:pPr>
      <w:r w:rsidDel="00000000" w:rsidR="00000000" w:rsidRPr="00000000">
        <w:rPr>
          <w:b w:val="1"/>
          <w:bCs w:val="1"/>
          <w:sz w:val="28"/>
          <w:szCs w:val="28"/>
          <w:u w:val="single"/>
          <w:rtl w:val="0"/>
        </w:rPr>
        <w:t xml:space="preserve">Labelling Example For Packaged Products in Ontario</w:t>
      </w:r>
    </w:p>
    <w:p w:rsidR="00000000" w:rsidDel="00000000" w:rsidP="00000000" w:rsidRDefault="00000000" w:rsidRPr="00000000" w14:paraId="00000003">
      <w:pPr>
        <w:spacing w:after="240" w:before="240" w:lineRule="auto"/>
        <w:rPr/>
      </w:pPr>
      <w:r w:rsidDel="00000000" w:rsidR="00000000" w:rsidRPr="00000000">
        <w:rPr>
          <w:rtl w:val="0"/>
        </w:rPr>
        <w:t xml:space="preserve">In Canada, food labelling is primarily governed by the </w:t>
      </w:r>
      <w:r w:rsidDel="00000000" w:rsidR="00000000" w:rsidRPr="00000000">
        <w:rPr>
          <w:b w:val="1"/>
          <w:bCs w:val="1"/>
          <w:rtl w:val="0"/>
        </w:rPr>
        <w:t xml:space="preserve">Food and Drugs Act (FDA)</w:t>
      </w:r>
      <w:r w:rsidDel="00000000" w:rsidR="00000000" w:rsidRPr="00000000">
        <w:rPr>
          <w:rtl w:val="0"/>
        </w:rPr>
        <w:t xml:space="preserve"> and the </w:t>
      </w:r>
      <w:r w:rsidDel="00000000" w:rsidR="00000000" w:rsidRPr="00000000">
        <w:rPr>
          <w:b w:val="1"/>
          <w:bCs w:val="1"/>
          <w:rtl w:val="0"/>
        </w:rPr>
        <w:t xml:space="preserve">Safe Food for Canadians Act (SFCA)</w:t>
      </w:r>
      <w:r w:rsidDel="00000000" w:rsidR="00000000" w:rsidRPr="00000000">
        <w:rPr>
          <w:rtl w:val="0"/>
        </w:rPr>
        <w:t xml:space="preserve">, along with their respective regulations (the Food and Drug Regulations [FDR] and Safe Food for Canadians Regulations [SFCR]). The CFIA oversees these rules, and they apply to all prepackaged foods, including energy bars and chews, whether sold within Ontario (intraprovincially) or beyond. Ontario itself doesn’t impose additional provincial labelling laws for prepackaged foods beyond federal requirements, but municipal health units might enforce compliance with federal standards if the products are sold locally. Since the producer has already reviewed CFIA requirements but is seeking more detailed guidance, I’ll break this down into key components with specifics relevant to energy bars and chews, offering practical insights.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z4iy3x2l048x" w:id="0"/>
      <w:bookmarkEnd w:id="0"/>
      <w:r w:rsidDel="00000000" w:rsidR="00000000" w:rsidRPr="00000000">
        <w:rPr>
          <w:b w:val="1"/>
          <w:bCs w:val="1"/>
          <w:color w:val="000000"/>
          <w:sz w:val="26"/>
          <w:szCs w:val="26"/>
          <w:rtl w:val="0"/>
        </w:rPr>
        <w:t xml:space="preserve">Core Labelling Requirements (Ex. Energy Bars and Chews)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Common Name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The label must clearly state what the product is, e.g., “Energy Bar” or “Energy Chew.” This should reflect the product’s true nature. For example, if it’s a fruit-flavored chew, you might specify “Fruit Energy Chew” to avoid confusion with candy or other snacks.</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Must be on the principal display panel (the main part of the package consumers see) and legible.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Net Quantity</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Declare the weight (e.g., “100 g” for a bar) or count (e.g., “10 chews”) in metric units (grams, kilograms, or count). For chews, if sold individually in a pack, you could list both the total weight and the number of pieces (e.g., “150 g (10 chews)”).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Use bilingual symbols like “g” or “kg” (acceptable in both English and French). If written out (e.g., “grams”), it must be in both languages unless exempt (e.g., local sales in a unilingual area).</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Name and Principal Place of Business</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Include the producer’s name and address (e.g., “Made by XYZ Co-op, 123 Maple St, Toronto, ON, Canada”). If imported, it could say “Imported by” followed by the Canadian distributor’s details.</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This can go anywhere on the label except solely on the bottom, with a minimum type height of 1.6 mm (or 0.8 mm if the principal display surface is very small, ≤10 cm²).</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List of Ingredients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List all ingredients in descending order by weight (e.g., “Oats, Honey, Almonds, Dried Cranberries, Whey Protein, Salt”). For energy bars and chews, include any added vitamins, caffeine, or functional ingredients (e.g., “Caffeine,” “Vitamin B12”).</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Allergens (e.g., nuts, dairy) must be highlighted—either in bold in the list or in a separate “Contains: Milk, Almonds” statement.</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Must be bilingual (English and French) unless sold only locally in Ontario and exempt under bilingual labelling rules.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Nutrition Facts Table (NFT)</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Mandatory for most prepackaged foods like energy bars and chews. It must show:</w:t>
      </w:r>
    </w:p>
    <w:p w:rsidR="00000000" w:rsidDel="00000000" w:rsidP="00000000" w:rsidRDefault="00000000" w:rsidRPr="00000000" w14:paraId="00000014">
      <w:pPr>
        <w:numPr>
          <w:ilvl w:val="2"/>
          <w:numId w:val="2"/>
        </w:numPr>
        <w:spacing w:after="0" w:afterAutospacing="0" w:before="0" w:beforeAutospacing="0" w:lineRule="auto"/>
        <w:ind w:left="2160" w:hanging="360"/>
      </w:pPr>
      <w:r w:rsidDel="00000000" w:rsidR="00000000" w:rsidRPr="00000000">
        <w:rPr>
          <w:rtl w:val="0"/>
        </w:rPr>
        <w:t xml:space="preserve">Serving size (e.g., “1 bar (50 g)” or “2 chews (30 g)”).</w:t>
      </w:r>
    </w:p>
    <w:p w:rsidR="00000000" w:rsidDel="00000000" w:rsidP="00000000" w:rsidRDefault="00000000" w:rsidRPr="00000000" w14:paraId="00000015">
      <w:pPr>
        <w:numPr>
          <w:ilvl w:val="2"/>
          <w:numId w:val="2"/>
        </w:numPr>
        <w:spacing w:after="0" w:afterAutospacing="0" w:before="0" w:beforeAutospacing="0" w:lineRule="auto"/>
        <w:ind w:left="2160" w:hanging="360"/>
      </w:pPr>
      <w:r w:rsidDel="00000000" w:rsidR="00000000" w:rsidRPr="00000000">
        <w:rPr>
          <w:rtl w:val="0"/>
        </w:rPr>
        <w:t xml:space="preserve">Calories and 13 core nutrients (e.g., fat, saturated fat, carbohydrates, sugars, protein, sodium, etc.) per serving.</w:t>
      </w:r>
    </w:p>
    <w:p w:rsidR="00000000" w:rsidDel="00000000" w:rsidP="00000000" w:rsidRDefault="00000000" w:rsidRPr="00000000" w14:paraId="00000016">
      <w:pPr>
        <w:numPr>
          <w:ilvl w:val="2"/>
          <w:numId w:val="2"/>
        </w:numPr>
        <w:spacing w:after="0" w:afterAutospacing="0" w:before="0" w:beforeAutospacing="0" w:lineRule="auto"/>
        <w:ind w:left="2160" w:hanging="360"/>
      </w:pPr>
      <w:r w:rsidDel="00000000" w:rsidR="00000000" w:rsidRPr="00000000">
        <w:rPr>
          <w:rtl w:val="0"/>
        </w:rPr>
        <w:t xml:space="preserve">Percent Daily Values (% DV) for most nutrients.</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Format depends on package size—standard, simplified, or small-package versions exist. For small packages (&lt;100 cm² available display surface), a toll-free number or address for nutrition info might suffice if space is tight.</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Energy bars with high sugars, saturated fat, or sodium might require a </w:t>
      </w:r>
      <w:r w:rsidDel="00000000" w:rsidR="00000000" w:rsidRPr="00000000">
        <w:rPr>
          <w:b w:val="1"/>
          <w:bCs w:val="1"/>
          <w:rtl w:val="0"/>
        </w:rPr>
        <w:t xml:space="preserve">front-of-package (FOP) nutrition symbol</w:t>
      </w:r>
      <w:r w:rsidDel="00000000" w:rsidR="00000000" w:rsidRPr="00000000">
        <w:rPr>
          <w:rtl w:val="0"/>
        </w:rPr>
        <w:t xml:space="preserve"> (e.g., “High in Sugars”) unless exempt (e.g., as a meal replacement—see below).</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Best Before Date</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Required if the product’s durable life is 90 days or less (e.g., “Best Before / Meilleur Avant 25-06-15” for June 15, 2025). For energy bars and chews, which often have longer shelf lives due to preservatives or drying, this might not apply—but if included voluntarily, use the correct format.</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Can go anywhere on the label; if on the bottom, indicate its location elsewhere (e.g., “See bottom”).</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Storage Instructions</w:t>
      </w:r>
    </w:p>
    <w:p w:rsidR="00000000" w:rsidDel="00000000" w:rsidP="00000000" w:rsidRDefault="00000000" w:rsidRPr="00000000" w14:paraId="0000001D">
      <w:pPr>
        <w:numPr>
          <w:ilvl w:val="1"/>
          <w:numId w:val="2"/>
        </w:numPr>
        <w:spacing w:after="240" w:before="0" w:beforeAutospacing="0" w:lineRule="auto"/>
        <w:ind w:left="1440" w:hanging="360"/>
      </w:pPr>
      <w:r w:rsidDel="00000000" w:rsidR="00000000" w:rsidRPr="00000000">
        <w:rPr>
          <w:rtl w:val="0"/>
        </w:rPr>
        <w:t xml:space="preserve">If specific conditions are needed (e.g., “Store in a cool, dry place”), include them, especially if mishandling affects safety or quality.</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472z4ulu8vjv" w:id="1"/>
      <w:bookmarkEnd w:id="1"/>
      <w:r w:rsidDel="00000000" w:rsidR="00000000" w:rsidRPr="00000000">
        <w:rPr>
          <w:b w:val="1"/>
          <w:bCs w:val="1"/>
          <w:color w:val="000000"/>
          <w:sz w:val="26"/>
          <w:szCs w:val="26"/>
          <w:rtl w:val="0"/>
        </w:rPr>
        <w:t xml:space="preserve">Specific Considerations for Energy Bars and Chews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Caffeinated Energy Products</w:t>
      </w:r>
      <w:r w:rsidDel="00000000" w:rsidR="00000000" w:rsidRPr="00000000">
        <w:rPr>
          <w:rtl w:val="0"/>
        </w:rPr>
        <w:t xml:space="preserve">: If your energy bars or chews contain caffeine (common in this category), they might be classified as </w:t>
      </w:r>
      <w:r w:rsidDel="00000000" w:rsidR="00000000" w:rsidRPr="00000000">
        <w:rPr>
          <w:b w:val="1"/>
          <w:bCs w:val="1"/>
          <w:rtl w:val="0"/>
        </w:rPr>
        <w:t xml:space="preserve">supplemented foods</w:t>
      </w:r>
      <w:r w:rsidDel="00000000" w:rsidR="00000000" w:rsidRPr="00000000">
        <w:rPr>
          <w:rtl w:val="0"/>
        </w:rPr>
        <w:t xml:space="preserve"> under the SFCR. These require:</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Supplemented Food Facts table</w:t>
      </w:r>
      <w:r w:rsidDel="00000000" w:rsidR="00000000" w:rsidRPr="00000000">
        <w:rPr>
          <w:rtl w:val="0"/>
        </w:rPr>
        <w:t xml:space="preserve"> (similar to the NFT but tailored for supplements like caffeine).</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Cautionary statements if caffeine exceeds 180 mg per serving (e.g., “Not recommended for children or pregnant women”).</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Check CFIA’s guidance on caffeinated energy drinks for parallels, as these rules are evolving.</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Meal Replacement or Special Dietary Use</w:t>
      </w:r>
      <w:r w:rsidDel="00000000" w:rsidR="00000000" w:rsidRPr="00000000">
        <w:rPr>
          <w:rtl w:val="0"/>
        </w:rPr>
        <w:t xml:space="preserve">: If marketed as a meal replacement (e.g., balanced nutrients for a meal) or for special diets (e.g., gluten-free, low-carb), additional rules apply:</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Specific nutrient thresholds (e.g., minimum protein, vitamins) under FDR Division 24.</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No FOP nutrition symbol, even if high in sugars or sodium.</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Claims like “gluten-free” must be substantiated (e.g., &lt;20 ppm gluten).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Claims</w:t>
      </w:r>
      <w:r w:rsidDel="00000000" w:rsidR="00000000" w:rsidRPr="00000000">
        <w:rPr>
          <w:rtl w:val="0"/>
        </w:rPr>
        <w:t xml:space="preserve">: Energy bars often carry claims like “high protein” or “source of energy.” These must meet CFIA criteria:</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 protein”: ≥10 g protein per serving.</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“Source of energy”: Must provide calories (not just caffeine buzz).</w:t>
      </w:r>
    </w:p>
    <w:p w:rsidR="00000000" w:rsidDel="00000000" w:rsidP="00000000" w:rsidRDefault="00000000" w:rsidRPr="00000000" w14:paraId="0000002A">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All claims need evidence and can’t mislead (e.g., “low fat” requires ≤3 g fat per serving and reference amount).</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ny62cdwtcc59" w:id="2"/>
      <w:bookmarkEnd w:id="2"/>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Start with the CFIA’s Industry Labelling Tool at inspection.canada.ca for step-by-step guidance, and use the Labelling Requirements Checklist to double-check.</w:t>
      </w:r>
      <w:r w:rsidDel="00000000" w:rsidR="00000000" w:rsidRPr="00000000">
        <w:rPr>
          <w:rtl w:val="0"/>
        </w:rPr>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b w:val="1"/>
          <w:bCs w:val="1"/>
          <w:rtl w:val="0"/>
        </w:rPr>
        <w:t xml:space="preserve">CFIA Industry Labelling Tool</w:t>
      </w:r>
      <w:r w:rsidDel="00000000" w:rsidR="00000000" w:rsidRPr="00000000">
        <w:rPr>
          <w:rtl w:val="0"/>
        </w:rPr>
        <w:t xml:space="preserve">: This is the go-to resource (replacing the old Guide to Food Labelling and Advertising). It’s detailed, searchable, and covers energy bars/chews under “Prepackaged Foods” and “Nutrition Labelling.” Look at sections on NFTs, allergens, and supplemented foods.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Labelling Checklist</w:t>
      </w:r>
      <w:r w:rsidDel="00000000" w:rsidR="00000000" w:rsidRPr="00000000">
        <w:rPr>
          <w:rtl w:val="0"/>
        </w:rPr>
        <w:t xml:space="preserve">: The CFIA’s “Food Labelling Requirements Checklist” (updated as of January 2025) is a self-assessment tool. It’s practical for ensuring compliance and includes questions like:</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rtl w:val="0"/>
        </w:rPr>
        <w:t xml:space="preserve">Is the NFT in the right format and type size?</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Are allergens declared?</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Is the net quantity in metric units?</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Suggest they mock up a label and compare it to similar products (e.g., CLIF Energy Bars or GU Energy Chews) to see how others handle caffeine or protein claims.</w:t>
      </w:r>
    </w:p>
    <w:p w:rsidR="00000000" w:rsidDel="00000000" w:rsidP="00000000" w:rsidRDefault="00000000" w:rsidRPr="00000000" w14:paraId="00000033">
      <w:pPr>
        <w:spacing w:after="240" w:before="240" w:lineRule="auto"/>
        <w:ind w:left="0" w:firstLine="0"/>
        <w:rPr>
          <w:b w:val="1"/>
          <w:bCs w:val="1"/>
        </w:rPr>
      </w:pPr>
      <w:r w:rsidDel="00000000" w:rsidR="00000000" w:rsidRPr="00000000">
        <w:rPr>
          <w:rtl w:val="0"/>
        </w:rPr>
        <w:t xml:space="preserve">CFIA offers webinars and fact sheets (check inspection.canada.ca under “Food Labelling for Industry”). Local Ontario food safety consultants or co-op networks might also offer workshops.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