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Prenuptial Agreement Validity Requirements Across All 50 States</w:t>
      </w:r>
    </w:p>
    <w:p>
      <w:pPr>
        <w:pStyle w:val="Heading2"/>
      </w:pPr>
      <w:r>
        <w:rPr>
          <w:b/>
          <w:bCs/>
        </w:rPr>
        <w:t xml:space="preserve">Corrected &amp; Merged Final Report</w:t>
      </w:r>
    </w:p>
    <w:p>
      <w:pPr>
        <w:spacing w:after="120"/>
      </w:pPr>
      <w:r>
        <w:rPr>
          <w:rFonts w:ascii="Arial" w:cs="Arial" w:eastAsia="Arial" w:hAnsi="Arial"/>
          <w:sz w:val="22"/>
          <w:szCs w:val="22"/>
        </w:rPr>
        <w:t xml:space="preserve">This report comprehensively maps the legal requirements for a valid and enforceable prenuptial agreement in each of the 50 U.S. states, in alphabetical order from Alabama to Wyoming. All corrections from verification review have been incorporated.</w:t>
      </w:r>
    </w:p>
    <w:p>
      <w:pPr>
        <w:pStyle w:val="Heading3"/>
      </w:pPr>
      <w:r>
        <w:rPr>
          <w:b/>
          <w:bCs/>
        </w:rPr>
        <w:t xml:space="preserve">Statutory Frameworks</w:t>
      </w:r>
    </w:p>
    <w:p>
      <w:pPr>
        <w:spacing w:after="120"/>
      </w:pPr>
      <w:r>
        <w:rPr>
          <w:rFonts w:ascii="Arial" w:cs="Arial" w:eastAsia="Arial" w:hAnsi="Arial"/>
          <w:sz w:val="22"/>
          <w:szCs w:val="22"/>
        </w:rPr>
        <w:t xml:space="preserve">The dominant framework is the Uniform Premarital Agreement Act (UPAA), adopted in some form by approximately 28 states. Two states (Colorado and North Dakota) have adopted the newer Uniform Premarital and Marital Agreements Act (UPMAA). The remaining states rely on common law or non-uniform statutes.</w:t>
      </w:r>
    </w:p>
    <w:p>
      <w:pPr>
        <w:pStyle w:val="Heading3"/>
      </w:pPr>
      <w:r>
        <w:rPr>
          <w:b/>
          <w:bCs/>
        </w:rPr>
        <w:t xml:space="preserve">Attorney Requirements</w:t>
      </w:r>
    </w:p>
    <w:p>
      <w:pPr>
        <w:spacing w:after="120"/>
      </w:pPr>
      <w:r>
        <w:rPr>
          <w:rFonts w:ascii="Arial" w:cs="Arial" w:eastAsia="Arial" w:hAnsi="Arial"/>
          <w:sz w:val="22"/>
          <w:szCs w:val="22"/>
        </w:rPr>
        <w:t xml:space="preserve">No state strictly requires independent counsel for both parties as an absolute precondition to a valid prenup. However, California and Minnesota have rules so stringent that independent counsel is functionally required. California requires independent counsel for enforceable spousal-support waivers (Fam. Code §1612(c)), and for unrepresented parties, an elaborate seven-day-rule plus written-waiver protocol applies. Minnesota Stat. §519.11 requires two witnesses, notarization, full disclosure, voluntariness, and execution before the day of the wedding; for substantial non-marital assets, courts effectively require both parties to have actual counsel.</w:t>
      </w:r>
    </w:p>
    <w:p>
      <w:pPr>
        <w:pStyle w:val="Heading3"/>
      </w:pPr>
      <w:r>
        <w:rPr>
          <w:b/>
          <w:bCs/>
        </w:rPr>
        <w:t xml:space="preserve">Enforcement-Friendly vs. Challenger-Friendly States</w:t>
      </w:r>
    </w:p>
    <w:p>
      <w:pPr>
        <w:spacing w:after="120"/>
      </w:pPr>
      <w:r>
        <w:rPr>
          <w:rFonts w:ascii="Arial" w:cs="Arial" w:eastAsia="Arial" w:hAnsi="Arial"/>
          <w:sz w:val="22"/>
          <w:szCs w:val="22"/>
        </w:rPr>
        <w:t xml:space="preserve">Most enforcement-friendly: Pennsylvania (no substantive review per Simeone), Rhode Island (conjunctive 'AND' structure makes invalidation extremely difficult), Texas (§4.006 eliminates common-law defenses), Delaware (conjunctive disclosure failures required), and Florida (bad bargains alone insufficient).</w:t>
      </w:r>
    </w:p>
    <w:p>
      <w:pPr>
        <w:spacing w:after="120"/>
      </w:pPr>
      <w:r>
        <w:rPr>
          <w:rFonts w:ascii="Arial" w:cs="Arial" w:eastAsia="Arial" w:hAnsi="Arial"/>
          <w:sz w:val="22"/>
          <w:szCs w:val="22"/>
        </w:rPr>
        <w:t xml:space="preserve">Most challenger-friendly: Massachusetts, Connecticut, Kentucky, New Hampshire, and Vermont (all retain 'second look' at enforcement), plus Washington and West Virginia (heightened procedural scrutiny).</w:t>
      </w:r>
    </w:p>
    <w:p>
      <w:pPr>
        <w:pStyle w:val="Heading3"/>
      </w:pPr>
      <w:r>
        <w:rPr>
          <w:b/>
          <w:bCs/>
        </w:rPr>
        <w:t xml:space="preserve">Universal Requirements</w:t>
      </w:r>
    </w:p>
    <w:p>
      <w:pPr>
        <w:spacing w:after="120"/>
      </w:pPr>
      <w:r>
        <w:rPr>
          <w:rFonts w:ascii="Arial" w:cs="Arial" w:eastAsia="Arial" w:hAnsi="Arial"/>
          <w:sz w:val="22"/>
          <w:szCs w:val="22"/>
        </w:rPr>
        <w:t xml:space="preserve">Every state requires a signed writing. Every state forbids contracting around child support or custody. Most states permit alimony waivers but with a public-assistance backstop, except Iowa and South Dakota which restrict or void alimony waivers, and New Mexico which prohibits waivers that adversely affect spousal support.</w:t>
      </w:r>
    </w:p>
    <w:p>
      <w:r>
        <w:br w:type="page"/>
      </w:r>
    </w:p>
    <w:p>
      <w:pPr>
        <w:pStyle w:val="Heading1"/>
      </w:pPr>
      <w:r>
        <w:rPr>
          <w:b/>
          <w:bCs/>
        </w:rPr>
        <w:t xml:space="preserve">1. Alabama</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Alabama has not adopted the UPAA. Antenuptial agreements are governed by Ala. Code §§30-4-9 and 43-8-72 plus common law, primarily Barnhill v. Barnhill, 386 So. 2d 749 (Ala. Civ. App. 1980), ratified by Ex parte Walters, 580 So. 2d 1352 (Ala. 1991).</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Must be in writing and signed; notarization is not statutorily required but is recommended along with two witnesses. The Barnhill two-prong test allows enforcement under either: (1) the agreement was fair, just, and equitable from the challenger's viewpoint with adequate consideration; OR (2) the agreement was freely and voluntarily entered with competent independent advice and full knowledge of the other's estate. General (not exhaustive) knowledge of the other's estate suffices.</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Not required. Independent counsel is one route under prong two, not a universal mandate.</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Barnhill v. Barnhill (1980) UPHELD the agreement; the threat to call off the wedding is not coercion. Tibbs v. Anderson, 580 So. 2d 1337 (Ala. 1991) UPHELD a postnup, confirming general knowledge of assets suffices. Tyler v. Tyler, 990 So. 2d 423 (Ala. Civ. App. 2008) UPHELD an agreement signed against advice of independent counsel — voluntary signing despite bad-deal advice is enforceable. Recent decisions (Treadway v. Treadway) continue applying Barnhill.</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Get a written, signed, notarized agreement with a certified financial schedule. Both parties should retain independent counsel to satisfy prong two. Avoid eve-of-wedding signing.</w:t>
      </w:r>
    </w:p>
    <w:p>
      <w:r>
        <w:br w:type="page"/>
      </w:r>
    </w:p>
    <w:p>
      <w:pPr>
        <w:pStyle w:val="Heading1"/>
      </w:pPr>
      <w:r>
        <w:rPr>
          <w:b/>
          <w:bCs/>
        </w:rPr>
        <w:t xml:space="preserve">2. Alaska</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No UPAA. Governed by case law — chiefly Brooks v. Brooks, 733 P.2d 1044 (Alaska 1987) and Compton v. Compton, 902 P.2d 805 (Alaska 1995) — plus AS 13.12.213 (waiver of survivor rights) and AS 34.77 (opt-in community property).</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Written, signed, with four Brooks factors: (1) objective fairness; (2) full financial disclosure; (3) voluntariness without duress or time pressure; (4) no changed circumstances making enforcement unfair (Compton). Cannot govern child support.</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Not required.</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Brooks v. Brooks (1987) UPHELD a prenup signed five days before the wedding; rejected the public-policy objection and articulated the four-factor framework. Compton v. Compton (1995) refined the rule, adding that later conduct can transmute separate property and changed circumstances can defeat enforcement.</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Sign at least three months before the wedding. Provide complete written financial disclosure (the most common ground for invalidation). Both parties should have counsel.</w:t>
      </w:r>
    </w:p>
    <w:p>
      <w:r>
        <w:br w:type="page"/>
      </w:r>
    </w:p>
    <w:p>
      <w:pPr>
        <w:pStyle w:val="Heading1"/>
      </w:pPr>
      <w:r>
        <w:rPr>
          <w:b/>
          <w:bCs/>
        </w:rPr>
        <w:t xml:space="preserve">3. Arizona</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UPAA at A.R.S. §§25-201 to 25-205, adopted 1991. The statutory UPAA is the operative source of authority for spousal-support waivers.</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Written, signed by both, no consideration required. Unenforceable only if challenger proves involuntariness OR unconscionability plus absence of fair and reasonable disclosure, no written waiver of disclosure, and no adequate knowledge. Public-assistance safety net for spousal support waivers. Unconscionability is a question of law. Cannot affect child support.</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Not required.</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Williams v. Williams, 166 Ariz. 260 (App. 1990) confirmed prenuptial agreements are enforceable on contract principles. In re Marriage of Pownall, 197 Ariz. 577 (App. 2000) UPHELD the agreement, holding exact-dollar disclosure is not required. Hrudka v. Hrudka, 186 Ariz. 84 (App. 1995) confirmed the burden lies on the challenger.</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Provide full disclosure or a clear written waiver. Independent counsel for each party. Spousal support cannot drive a spouse onto public assistance.</w:t>
      </w:r>
    </w:p>
    <w:p>
      <w:r>
        <w:br w:type="page"/>
      </w:r>
    </w:p>
    <w:p>
      <w:pPr>
        <w:pStyle w:val="Heading1"/>
      </w:pPr>
      <w:r>
        <w:rPr>
          <w:b/>
          <w:bCs/>
        </w:rPr>
        <w:t xml:space="preserve">4. Arkansas</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UPAA (modified) at Ark. Code §§9-11-401 to 9-11-413.</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Must be in writing, signed, acknowledged (notarized), AND witnessed by two disinterested parties — heightened formalities exceeding the standard UPAA. Enforceable without consideration. Unenforceable if involuntary or unconscionable plus the disclosure-failure prongs. Cannot affect child support.</w:t>
      </w:r>
    </w:p>
    <w:p>
      <w:pPr>
        <w:spacing w:after="120"/>
      </w:pPr>
      <w:r>
        <w:rPr>
          <w:rFonts w:ascii="Arial" w:cs="Arial" w:eastAsia="Arial" w:hAnsi="Arial"/>
          <w:b/>
          <w:bCs/>
          <w:sz w:val="22"/>
          <w:szCs w:val="22"/>
        </w:rPr>
        <w:t xml:space="preserve">CORRECTION — Disclosure Waiver: </w:t>
      </w:r>
      <w:r>
        <w:rPr>
          <w:rFonts w:ascii="Arial" w:cs="Arial" w:eastAsia="Arial" w:hAnsi="Arial"/>
          <w:sz w:val="22"/>
          <w:szCs w:val="22"/>
        </w:rPr>
        <w:t xml:space="preserve">The original report stated attorney consultation is required to waive financial disclosure. This is INCORRECT. Section 9-11-406(a)(2)(ii) requires only an express written waiver — not attorney consultation. This was a misreading traced to secondary sources confusing Arkansas with UPMAA jurisdictions.</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Not required.</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Banks v. Evans, 347 Ark. 383 (2002) UPHELD the prenup; the wife's express written waiver and general knowledge satisfied disclosure. Stewart v. Combs, 368 Ark. 121 (2006) UPHELD a postnup; the Premarital Agreement Act does not apply to postnups.</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Use the heightened formalities — writing, signatures, acknowledgment, two disinterested witnesses. Provide written disclosure or obtain an express written waiver.</w:t>
      </w:r>
    </w:p>
    <w:p>
      <w:r>
        <w:br w:type="page"/>
      </w:r>
    </w:p>
    <w:p>
      <w:pPr>
        <w:pStyle w:val="Heading1"/>
      </w:pPr>
      <w:r>
        <w:rPr>
          <w:b/>
          <w:bCs/>
        </w:rPr>
        <w:t xml:space="preserve">5. California (Functionally Attorney-Required)</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California Family Code §§1600-1617. AB 1380 (Obernolte), approved August 30, 2019, amended Fam. Code §1615, effective January 1, 2020.</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Independent counsel is required for any enforceable spousal-support waiver (§1612(c)). For the rest of the agreement, §1615(c) creates a presumption of involuntariness unless the party either had independent counsel OR received advisement to seek counsel at least seven days before signing, signed a separate written waiver of counsel, received a written explanation of all terms in their language, and signed a separate acknowledgment. For agreements executed on or after January 1, 2020, the seven-day waiting period applies regardless of representation.</w:t>
      </w:r>
    </w:p>
    <w:p>
      <w:pPr>
        <w:spacing w:after="120"/>
      </w:pPr>
      <w:r>
        <w:rPr>
          <w:rFonts w:ascii="Arial" w:cs="Arial" w:eastAsia="Arial" w:hAnsi="Arial"/>
          <w:b/>
          <w:bCs/>
          <w:sz w:val="22"/>
          <w:szCs w:val="22"/>
        </w:rPr>
        <w:t xml:space="preserve">CLARIFICATION: </w:t>
      </w:r>
      <w:r>
        <w:rPr>
          <w:rFonts w:ascii="Arial" w:cs="Arial" w:eastAsia="Arial" w:hAnsi="Arial"/>
          <w:sz w:val="22"/>
          <w:szCs w:val="22"/>
        </w:rPr>
        <w:t xml:space="preserve">For pre-2020 agreements (Jan. 1, 2002 – Dec. 31, 2019), the seven-day rule applied only to unrepresented parties. AB 1380's 'declaratory of existing law' clause has created ambiguity addressed in In re Marriage of Cadwell-Faso and commentary.</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Functionally required for spousal-support waivers; strongly recommended for all provisions.</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In re Marriage of Bonds, 24 Cal. 4th 1 (2000) UPHELD a pre-2002 agreement, prompting statutory overhaul. In re Marriage of Pendleton &amp; Fireman, 24 Cal. 4th 39 (2000) — spousal-support waivers permissible in principle. In re Marriage of Hill &amp; Dittmer, 202 Cal. App. 4th 1046 (2011) — express written waiver of disclosure validated.</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Both parties should have independent counsel. Observe the seven-day rule for all post-2020 agreements. Written disclosure with detailed financial schedules.</w:t>
      </w:r>
    </w:p>
    <w:p>
      <w:r>
        <w:br w:type="page"/>
      </w:r>
    </w:p>
    <w:p>
      <w:pPr>
        <w:pStyle w:val="Heading1"/>
      </w:pPr>
      <w:r>
        <w:rPr>
          <w:b/>
          <w:bCs/>
        </w:rPr>
        <w:t xml:space="preserve">6. Colorado</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UPMAA at C.R.S. §§14-2-301 et seq., effective July 1, 2014. Colorado was the first state to adopt the 2012 UPMAA.</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Written, signed, no consideration needed, no notarization required. Disclosure must include a reasonably accurate description and good-faith estimate of property, liabilities, and income (the 2014 income addition). Either independent counsel or 'access to counsel' is required. If a party is unrepresented, the agreement must include a prominent plain-language Notice of Rights waiver; omission voids enforceability. Maintenance and attorney-fee terms remain reviewable for unconscionability at the time of enforcement, but property terms are not. Cannot penalize divorce filings.</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Not strictly required, but access-to-counsel and notice-of-rights provisions are mandatory.</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In re Marriage of Newman, 653 P.2d 728 (Colo. 1982) UPHELD the property terms. In re Marriage of Ikeler, 161 P.3d 663 (Colo. 2007) extended unconscionability review to attorney-fee waivers. In re Marriage of Dechant, 867 P.2d 193 (Colo. App. 1993) confirmed maintenance and fee waivers are reviewable at enforcement.</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Comply strictly with access-to-counsel and notice-of-rights provisions. Disclose income, not just assets/liabilities. Avoid 100% maintenance waivers in long marriages.</w:t>
      </w:r>
    </w:p>
    <w:p>
      <w:r>
        <w:br w:type="page"/>
      </w:r>
    </w:p>
    <w:p>
      <w:pPr>
        <w:pStyle w:val="Heading1"/>
      </w:pPr>
      <w:r>
        <w:rPr>
          <w:b/>
          <w:bCs/>
        </w:rPr>
        <w:t xml:space="preserve">7. Connecticut</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Connecticut Premarital Agreement Act, C.G.S. §§46b-36a to 46b-36j, effective 10/1/1995. Pre-1995 agreements governed by McHugh common law.</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Written, signed, no consideration needed, no notarization required. Unenforceable if involuntary; unconscionable when executed OR when enforcement is sought (codified second-look); not provided fair and reasonable disclosure; or not afforded a reasonable opportunity to consult independent counsel. Spousal-support modification cannot leave a party on public assistance.</w:t>
      </w:r>
    </w:p>
    <w:p>
      <w:pPr>
        <w:spacing w:after="120"/>
      </w:pPr>
      <w:r>
        <w:rPr>
          <w:rFonts w:ascii="Arial" w:cs="Arial" w:eastAsia="Arial" w:hAnsi="Arial"/>
          <w:b/>
          <w:bCs/>
          <w:sz w:val="22"/>
          <w:szCs w:val="22"/>
        </w:rPr>
        <w:t xml:space="preserve">CLARIFICATION: </w:t>
      </w:r>
      <w:r>
        <w:rPr>
          <w:rFonts w:ascii="Arial" w:cs="Arial" w:eastAsia="Arial" w:hAnsi="Arial"/>
          <w:sz w:val="22"/>
          <w:szCs w:val="22"/>
        </w:rPr>
        <w:t xml:space="preserve">McHugh v. McHugh, 181 Conn. 482 (1980) was a common-law decision. The UPAA-based §46b-36g codified a similar (though not identical) framework. The unconscionability-at-enforcement element survives via §46b-36g(a)(2).</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Not strictly required, but a reasonable opportunity to consult counsel is required.</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McHugh v. McHugh (1980) UPHELD the agreement and articulated the three-prong test. Crews v. Crews, 295 Conn. 153 (2010) ENFORCED a pre-1995 agreement; the third prong requires 'extraordinary change in economic status.' Friezo v. Friezo, 281 Conn. 166 (2007) UPHELD the agreement and clarified that fair disclosure refers to nature, extent, and accuracy. Grabe v. Hokin, 341 Conn. 360 (2021) ENFORCED; unforeseen events did not constitute extraordinary change.</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The unconscionability-at-enforcement prong is uniquely friendly to challengers; build in flexibility (sliding-scale alimony, periodic review). Document timing and counsel opportunity carefully.</w:t>
      </w:r>
    </w:p>
    <w:p>
      <w:r>
        <w:br w:type="page"/>
      </w:r>
    </w:p>
    <w:p>
      <w:pPr>
        <w:pStyle w:val="Heading1"/>
      </w:pPr>
      <w:r>
        <w:rPr>
          <w:b/>
          <w:bCs/>
        </w:rPr>
        <w:t xml:space="preserve">8. Delaware</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UPAA at 13 Del. C. §§321-328.</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Written, signed, no consideration needed. Unenforceable only if involuntary OR unconscionable when executed AND all three of: not provided fair and reasonable disclosure; did not waive disclosure in writing; and could not reasonably have had adequate knowledge. The conjunctive structure makes Delaware especially pro-enforcement. Cannot affect child support.</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Not required.</w:t>
      </w:r>
    </w:p>
    <w:p>
      <w:pPr>
        <w:spacing w:after="120"/>
      </w:pPr>
      <w:r>
        <w:rPr>
          <w:rFonts w:ascii="Arial" w:cs="Arial" w:eastAsia="Arial" w:hAnsi="Arial"/>
          <w:b/>
          <w:bCs/>
          <w:sz w:val="22"/>
          <w:szCs w:val="22"/>
        </w:rPr>
        <w:t xml:space="preserve">CRITICAL CORRECTION — Silverman v. Silverman: </w:t>
      </w:r>
      <w:r>
        <w:rPr>
          <w:rFonts w:ascii="Arial" w:cs="Arial" w:eastAsia="Arial" w:hAnsi="Arial"/>
          <w:sz w:val="22"/>
          <w:szCs w:val="22"/>
        </w:rPr>
        <w:t xml:space="preserve">The original report's description of Silverman v. Silverman, 206 A.3d 825 (Del. 2019) was REVERSED. The Family Court refused enforcement, but the Delaware Supreme Court REVERSED and UPHELD the agreement. The court held that unconscionability alone cannot invalidate — the challenger must also prove inadequate disclosure plus lack of waiver and lack of knowledge. Minor non-disclosures (a vehicle, a $3,000 life insurance policy, misstated real estate ownership) did not invalidate given overall wealth made the financial picture clear. Delaware is strongly pro-enforcement.</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Despite Delaware's pro-enforcement leanings, attach detailed financial schedules. Voluntariness is an independent ground for invalidation.</w:t>
      </w:r>
    </w:p>
    <w:p>
      <w:r>
        <w:br w:type="page"/>
      </w:r>
    </w:p>
    <w:p>
      <w:pPr>
        <w:pStyle w:val="Heading1"/>
      </w:pPr>
      <w:r>
        <w:rPr>
          <w:b/>
          <w:bCs/>
        </w:rPr>
        <w:t xml:space="preserve">9. Florida</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UPAA at Fla. Stat. §61.079, effective 10/1/2007. Pre-2007 agreements governed by Del Vecchio, Casto, Posner.</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Written, signed, no consideration needed beyond marriage. Unenforceable if involuntary; the product of fraud, duress, coercion, or overreaching (Florida adds 'overreaching' beyond UPAA); or unconscionable when executed plus disclosure failures. Temporary spousal support and temporary attorney's fees during dissolution proceedings cannot be waived (Belcher v. Belcher and progeny). Permanent support CAN be waived.</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Not required (Casto expressly held competency of counsel is not a ground to vacate).</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Del Vecchio v. Del Vecchio, 143 So. 2d 17 (Fla. 1962) — foundational disclosure/knowledge framework. Casto v. Casto, 508 So. 2d 330 (Fla. 1987) established two grounds (fraud/duress/overreaching OR unfair provision plus inadequate financial knowledge); a bad bargain alone is not enough. Hahamovitch v. Hahamovitch, 174 So. 3d 983 (Fla. 2015) gave broad protection to separate property under clearly drafted waivers.</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Avoid waivers of temporary support/temporary attorney's fees. Bad bargains are enforceable if procedurally fair. Document voluntariness and disclosure.</w:t>
      </w:r>
    </w:p>
    <w:p>
      <w:r>
        <w:br w:type="page"/>
      </w:r>
    </w:p>
    <w:p>
      <w:pPr>
        <w:pStyle w:val="Heading1"/>
      </w:pPr>
      <w:r>
        <w:rPr>
          <w:b/>
          <w:bCs/>
        </w:rPr>
        <w:t xml:space="preserve">10. Georgia</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No UPAA. Common law under Scherer v. Scherer, 249 Ga. 635 (1982).</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Proponent bears the burden (unlike most UPAA states). Three-prong Scherer test: (1) no fraud, duress, mistake, misrepresentation, or nondisclosure of material facts; (2) not unconscionable; (3) considering all relevant changes, enforcement would be neither unfair nor unreasonable. The trial court sits in equity.</w:t>
      </w:r>
    </w:p>
    <w:p>
      <w:pPr>
        <w:spacing w:after="120"/>
      </w:pPr>
      <w:r>
        <w:rPr>
          <w:rFonts w:ascii="Arial" w:cs="Arial" w:eastAsia="Arial" w:hAnsi="Arial"/>
          <w:b/>
          <w:bCs/>
          <w:sz w:val="22"/>
          <w:szCs w:val="22"/>
        </w:rPr>
        <w:t xml:space="preserve">CORRECTION — Two-Witness Rule: </w:t>
      </w:r>
      <w:r>
        <w:rPr>
          <w:rFonts w:ascii="Arial" w:cs="Arial" w:eastAsia="Arial" w:hAnsi="Arial"/>
          <w:sz w:val="22"/>
          <w:szCs w:val="22"/>
        </w:rPr>
        <w:t xml:space="preserve">O.C.G.A. §19-3-63 requires two witnesses for RECORDABILITY, not validity between the spouses. Per Dove v. Dove, 285 Ga. 647 (2009) and Sieg v. Sieg, a prenup is valid between the parties without the two-witness/recording formality. The two-witness rule goes to recordation, not enforceability.</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Not required.</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Scherer v. Scherer (1982) UPHELD and reversed prior law banning prenups settling alimony. Adams v. Adams, 278 Ga. 521 (2004) UPHELD; perpetuating financial disparity is not unconscionable. Mallen v. Mallen, 280 Ga. 41 (2005) ENFORCED; reassurances that the prenup was 'just a formality' were not fraud. Blige v. Blige, 283 Ga. 65 (2008) STRUCK DOWN for material nondisclosure.</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Build a record because the burden is on the proponent. Full disclosure is critical (the Blige failure). Consider sunset or sliding-scale clauses to address the third prong.</w:t>
      </w:r>
    </w:p>
    <w:p>
      <w:r>
        <w:br w:type="page"/>
      </w:r>
    </w:p>
    <w:p>
      <w:pPr>
        <w:pStyle w:val="Heading1"/>
      </w:pPr>
      <w:r>
        <w:rPr>
          <w:b/>
          <w:bCs/>
        </w:rPr>
        <w:t xml:space="preserve">11. Hawaii</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Hawaii UPAA (HUPAA), HRS Chapter 572D, enacted 1987. For post-1987 agreements, the statute controls; Lewis v. Lewis (1988) is a pre-UPAA decision with limited continued centrality.</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Written, signed, no consideration needed. Unenforceable if involuntary OR unconscionable when executed plus disclosure failures. Public-assistance override for spousal support. HRS §580-47 ('just and equitable' division) overlays even valid prenups.</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Not required.</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Lewis v. Lewis, 69 Haw. 497 (1988) REFUSED enforcement of a 1970 New York prenup; established that Hawaii law governs. Prell v. Silverstein, 114 Haw. 286 (App. 2007) UPHELD a 1983 prenup; unconscionability of property provisions evaluated at execution. Chen v. Hoeflinger, 127 Haw. 346 (App. 2012) VOIDED a postnup for inadequate disclosure.</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Both parties should have counsel. Provide complete written schedules. Avoid one-sidedness or unfair surprise.</w:t>
      </w:r>
    </w:p>
    <w:p>
      <w:r>
        <w:br w:type="page"/>
      </w:r>
    </w:p>
    <w:p>
      <w:pPr>
        <w:pStyle w:val="Heading1"/>
      </w:pPr>
      <w:r>
        <w:rPr>
          <w:b/>
          <w:bCs/>
        </w:rPr>
        <w:t xml:space="preserve">12. Idaho</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Idaho UPAA, Idaho Code §§32-921 to 32-929, enacted 1995. Idaho is a community-property state.</w:t>
      </w:r>
    </w:p>
    <w:p>
      <w:pPr>
        <w:spacing w:after="120"/>
      </w:pPr>
      <w:r>
        <w:rPr>
          <w:rFonts w:ascii="Arial" w:cs="Arial" w:eastAsia="Arial" w:hAnsi="Arial"/>
          <w:b/>
          <w:bCs/>
          <w:sz w:val="22"/>
          <w:szCs w:val="22"/>
        </w:rPr>
        <w:t xml:space="preserve">CORRECTION — Notarization: </w:t>
      </w:r>
      <w:r>
        <w:rPr>
          <w:rFonts w:ascii="Arial" w:cs="Arial" w:eastAsia="Arial" w:hAnsi="Arial"/>
          <w:sz w:val="22"/>
          <w:szCs w:val="22"/>
        </w:rPr>
        <w:t xml:space="preserve">The original report stated §32-922 incorporates §§32-917 to 32-919 to require notarization. This is a MISREADING found in some online summaries. Sections 32-917 to 32-919 deal with separate property and transmutation; §32-922 itself requires only writing and signature. Notarization is highly recommended but not statutorily mandated for premarital agreements.</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Written, signed, no consideration needed. Recording is recommended if real estate is covered. Standard UPAA unenforceability: involuntary OR unconscionable plus disclosure failures. Public-assistance override.</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Not required.</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Stockdale v. Stockdale, 102 Idaho 870 (App. 1982) — interspousal property agreements affecting real estate must comply with statutory formalities. Idaho has relatively few post-UPAA appellate prenup cases; courts look to general contract principles and sister UPAA states.</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Notarize as best practice even though not mandated. Record if real estate is covered. Without a prenup, equal community-property division is the default.</w:t>
      </w:r>
    </w:p>
    <w:p>
      <w:r>
        <w:br w:type="page"/>
      </w:r>
    </w:p>
    <w:p>
      <w:pPr>
        <w:pStyle w:val="Heading1"/>
      </w:pPr>
      <w:r>
        <w:rPr>
          <w:b/>
          <w:bCs/>
        </w:rPr>
        <w:t xml:space="preserve">13. Illinois</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Illinois UPAA, 750 ILCS 10/, effective 1/1/1990.</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Written, signed, no consideration needed. No notarization or witness requirement. Unenforceable if involuntary OR unconscionable when executed plus disclosure failures. Illinois variation: spousal-support modification can be overridden if it causes 'undue hardship in light of circumstances not reasonably foreseeable' — confirmed as broader than the standard UPAA's 'eligible for public assistance' trigger.</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Not required.</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In re Marriage of Barnes, 324 Ill. App. 3d 514 (2001) UPHELD the agreement. In re Marriage of Woodrum, 2018 IL App (3d) 170369 held disclosure need not be exhaustive; a 'dissolution' maintenance waiver did not bar temporary maintenance. In re Marriage of Iqbal, 2014 IL App (2d) 131306 defined substantive unconscionability as 'significantly one-sided or oppressive.'</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Carefully draft maintenance waivers to distinguish temporary from permanent. The undue-hardship override is broader than the UPAA standard.</w:t>
      </w:r>
    </w:p>
    <w:p>
      <w:r>
        <w:br w:type="page"/>
      </w:r>
    </w:p>
    <w:p>
      <w:pPr>
        <w:pStyle w:val="Heading1"/>
      </w:pPr>
      <w:r>
        <w:rPr>
          <w:b/>
          <w:bCs/>
        </w:rPr>
        <w:t xml:space="preserve">14. Indiana</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UPAA at Ind. Code §31-11-3, effective for agreements on or after 7/1/1995.</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Written, signed, no consideration needed. Disclosure is not a freestanding statutory requirement — it operates through the unconscionability framework (inadequate disclosure becomes relevant only if the agreement is unconscionable). Spousal maintenance waivers can be overridden if they cause 'extreme hardship under circumstances not reasonably foreseeable.'</w:t>
      </w:r>
    </w:p>
    <w:p>
      <w:pPr>
        <w:spacing w:after="120"/>
      </w:pPr>
      <w:r>
        <w:rPr>
          <w:rFonts w:ascii="Arial" w:cs="Arial" w:eastAsia="Arial" w:hAnsi="Arial"/>
          <w:b/>
          <w:bCs/>
          <w:sz w:val="22"/>
          <w:szCs w:val="22"/>
        </w:rPr>
        <w:t xml:space="preserve">CLARIFICATION: </w:t>
      </w:r>
      <w:r>
        <w:rPr>
          <w:rFonts w:ascii="Arial" w:cs="Arial" w:eastAsia="Arial" w:hAnsi="Arial"/>
          <w:sz w:val="22"/>
          <w:szCs w:val="22"/>
        </w:rPr>
        <w:t xml:space="preserve">The original report stated 'no statutory disclosure requirement.' This is technically correct but somewhat misleading — disclosure is not irrelevant; it simply operates through the unconscionability analysis rather than as an independent prong.</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Not required.</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Rider v. Rider, 669 N.E.2d 160 (Ind. 1996) ENFORCED the entire agreement; unconscionability requires 'gross disparity.' Fetters v. Fetters, 26 N.E.3d 1016 (Ind. App. 2015) STRUCK DOWN the agreement as unconscionable: 16-year-old wife with poor reading skills, no counsel, gross disparity.</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Provide disclosure to defeat fraud/misrepresentation claims. Counsel for both parties is critical given Fetters' unconscionability ceiling.</w:t>
      </w:r>
    </w:p>
    <w:p>
      <w:r>
        <w:br w:type="page"/>
      </w:r>
    </w:p>
    <w:p>
      <w:pPr>
        <w:pStyle w:val="Heading1"/>
      </w:pPr>
      <w:r>
        <w:rPr>
          <w:b/>
          <w:bCs/>
        </w:rPr>
        <w:t xml:space="preserve">15. Iowa</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Iowa UPAA, Iowa Code Chapter 596, effective 1/1/1992.</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Written, signed by both, marriage is consideration. CANNOT adversely affect spousal support — Iowa rejected UPAA §6(b); waivers of spousal support and attorney fees relating to support claims are unenforceable per In re Marriage of Erpelding, 917 N.W.2d 235 (Iowa 2018). Iowa has NO written-waiver safe harbor for missing disclosure. Unconscionability is a question of law. Severable.</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Not required.</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In re Marriage of Spiegel, 553 N.W.2d 309 (Iowa 1996) ENFORCED; bad bargain alone is insufficient; threatening to cancel the wedding is not duress. In re Marriage of Shanks, 758 N.W.2d 506 (Iowa 2008) ENFORCED (struck the spousal-support waiver under §596.5(2)). Erpelding (2018) — prohibition on spousal-support waivers is jurisdictional and cannot be circumvented by a choice-of-law clause.</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Never waive spousal support or attorney fees relating to support. Independent counsel is critical. Provide written disclosure — there is no waiver safe harbor.</w:t>
      </w:r>
    </w:p>
    <w:p>
      <w:r>
        <w:br w:type="page"/>
      </w:r>
    </w:p>
    <w:p>
      <w:pPr>
        <w:pStyle w:val="Heading1"/>
      </w:pPr>
      <w:r>
        <w:rPr>
          <w:b/>
          <w:bCs/>
        </w:rPr>
        <w:t xml:space="preserve">16. Kansas</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Kansas UPAA, K.S.A. §§23-2401 to 23-2411.</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Written, signed, no consideration needed. Standard UPAA enforceability framework. Cannot affect child support.</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Not required.</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Matlock v. Matlock, 223 Kan. 679 (1978) UPHELD the agreement; lack of independent counsel alone is not dispositive when there is general knowledge of net worth. In re Marriage of Adams, 240 Kan. 315 (1986) STRUCK DOWN an agreement signed in the hour before the wedding — packers had moved belongings, caterers hired, invitations sent. Davis v. Miller, 269 Kan. 732 (2000) confirmed UPAA can apply to postnups by contract.</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Present the prenup well in advance to avoid Adams-type duress findings.</w:t>
      </w:r>
    </w:p>
    <w:p>
      <w:r>
        <w:br w:type="page"/>
      </w:r>
    </w:p>
    <w:p>
      <w:pPr>
        <w:pStyle w:val="Heading1"/>
      </w:pPr>
      <w:r>
        <w:rPr>
          <w:b/>
          <w:bCs/>
        </w:rPr>
        <w:t xml:space="preserve">17. Kentucky</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No UPAA. Common law under Edwardson v. Edwardson, 798 S.W.2d 941 (Ky. 1990) and Gentry v. Gentry, 798 S.W.2d 928 (Ky. 1990), both decided September 6, 1990.</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Written, signed. Full disclosure of assets and finances. Burden on the party seeking enforcement. Unconscionability tested at execution AND at the time of enforcement ('second look'). Cannot waive child support/custody.</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Not required.</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Edwardson v. Edwardson (1990) LEGALIZED prenups (overruling Stratton v. Wilson). Gentry v. Gentry (1990) UPHELD and established the three-criteria Gentry test including the changed-circumstances second look. King v. King (Ky. App. 2021) reaffirmed Edwardson and UPHELD where the wife had adequate independent knowledge.</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Full, frank, truthful disclosure is paramount. The proponent bears the burden. The second look applies at enforcement.</w:t>
      </w:r>
    </w:p>
    <w:p>
      <w:r>
        <w:br w:type="page"/>
      </w:r>
    </w:p>
    <w:p>
      <w:pPr>
        <w:pStyle w:val="Heading1"/>
      </w:pPr>
      <w:r>
        <w:rPr>
          <w:b/>
          <w:bCs/>
        </w:rPr>
        <w:t xml:space="preserve">18. Louisiana</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Civil law / community property. Matrimonial agreements under La. Civ. Code arts. 2325-2330. No UPAA.</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Must be by authentic act (notary plus two witnesses) OR by private signature duly acknowledged before a notary by both parties before the marriage (per Acurio v. Acurio, 2017). Post-marriage modifications require a joint petition and court approval. Cannot waive interim spousal support/alimony pendente lite (Holliday, 1978); CAN waive permanent alimony (McAlpine v. McAlpine, 1996). Cannot affect child support.</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Not strictly required, but the notary involvement and complexity make counsel near-essential.</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McAlpine v. McAlpine, 679 So. 2d 85 (La. 1996) UPHELD waiver of permanent alimony. Acurio v. Acurio (2017) STRUCK DOWN a prenup signed before only one witness with acknowledgment after marriage. Radcliffe 10, L.L.C. v. Burger (2017) treated lack of court approval for a postnup as relatively (not absolutely) null.</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Form is everything — use authentic act for safety. Cannot waive interim support. File in parish records to bind third parties.</w:t>
      </w:r>
    </w:p>
    <w:p>
      <w:r>
        <w:br w:type="page"/>
      </w:r>
    </w:p>
    <w:p>
      <w:pPr>
        <w:pStyle w:val="Heading1"/>
      </w:pPr>
      <w:r>
        <w:rPr>
          <w:b/>
          <w:bCs/>
        </w:rPr>
        <w:t xml:space="preserve">19. Maine</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Maine UPAA, 19-A M.R.S. §§601-611, for agreements on or after 10/1/1993.</w:t>
      </w:r>
    </w:p>
    <w:p>
      <w:pPr>
        <w:spacing w:after="120"/>
      </w:pPr>
      <w:r>
        <w:rPr>
          <w:rFonts w:ascii="Arial" w:cs="Arial" w:eastAsia="Arial" w:hAnsi="Arial"/>
          <w:b/>
          <w:bCs/>
          <w:sz w:val="22"/>
          <w:szCs w:val="22"/>
        </w:rPr>
        <w:t xml:space="preserve">CRITICAL CORRECTION — §606 Auto-Void Rule: </w:t>
      </w:r>
      <w:r>
        <w:rPr>
          <w:rFonts w:ascii="Arial" w:cs="Arial" w:eastAsia="Arial" w:hAnsi="Arial"/>
          <w:sz w:val="22"/>
          <w:szCs w:val="22"/>
        </w:rPr>
        <w:t xml:space="preserve">The original report stated that the agreement becomes void 18 months after the parties become parents/guardians unless amended. While §606 does contain such a provision, it DOES NOT APPLY to agreements executed on or after October 1, 1993 (per §606's own text, PL 1995, c. 694). For all modern Maine prenups, the 18-month auto-void rule is functionally OBSOLETE. The original report treated this as live law, which is misleading.</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Written, signed, no consideration needed. Standard UPAA enforceability framework. Public-assistance safety net. Unconscionability is a question of law.</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Not required.</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Blanchard v. Blanchard UPHELD; financial disparity alone does not establish unconscionability. Foley v. Ziegler, 2005 ME 117 held that an unequivocal spousal-support bar precludes requiring health-insurance support.</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The 18-month parenthood rule does NOT apply to modern prenups. Document negotiation timeline. Public-assistance override applies.</w:t>
      </w:r>
    </w:p>
    <w:p>
      <w:r>
        <w:br w:type="page"/>
      </w:r>
    </w:p>
    <w:p>
      <w:pPr>
        <w:pStyle w:val="Heading1"/>
      </w:pPr>
      <w:r>
        <w:rPr>
          <w:b/>
          <w:bCs/>
        </w:rPr>
        <w:t xml:space="preserve">20. Maryland</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No UPAA. Common law under Cannon v. Cannon, 384 Md. 537 (2005), supplemented by Md. Code Family Law and the Marital Property Act.</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Written, signed; marriage is consideration. Confidential relationship presumed between fiancés. Two-prong Cannon overreaching test: procedural (entered freely and understandingly) and substantive (rights waived commensurate with benefits). Full disclosure defeats overreaching claims; thereafter only ordinary contract defenses apply. NO second look — fairness judged at execution. Cannot affect child support, custody, visitation.</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Not required (Cannon declined to impose a brightline rule).</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Cannon v. Cannon (2005) UPHELD and articulated the modern overreaching framework. Stewart v. Stewart, 214 Md. App. 458 (2013) UPHELD an agreement signed four days before the wedding without an attorney. Frey v. Frey, 298 Md. 552 (1984) abandoned the prior distinction between death and divorce prenups.</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Full disclosure is the most powerful protective measure. No second look — strong for proponents. Document opportunity for counsel.</w:t>
      </w:r>
    </w:p>
    <w:p>
      <w:r>
        <w:br w:type="page"/>
      </w:r>
    </w:p>
    <w:p>
      <w:pPr>
        <w:pStyle w:val="Heading1"/>
      </w:pPr>
      <w:r>
        <w:rPr>
          <w:b/>
          <w:bCs/>
        </w:rPr>
        <w:t xml:space="preserve">21. Massachusetts</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Authorizing only — M.G.L. c. 209 §25. No UPAA. Common law via DeMatteo.</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Written, signed; marriage is consideration. Two-look test (DeMatteo): (1) first look at execution — fair and reasonable, with full disclosure, opportunity for independent counsel, no fraud/duress; (2) second look at enforcement — agreement will not be enforced if it leaves the contesting spouse without sufficient property, maintenance, or appropriate employment.</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Not strictly required, but heavily emphasized.</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DeMatteo v. DeMatteo, 436 Mass. 18 (2002) UPHELD an agreement leaving wife roughly 1/200 of $108-133M; established the two-tier framework. Rudnick v. Rudnick, 102 Mass. App. Ct. 467 (2023) — Appeals Court held the prenup was fair when signed but unconscionable at divorce because husband's title manipulations stripped wife of marital interests after a 27-year marriage. Note: Rudnick is an Appeals Court (not SJC) decision.</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Draft to satisfy both looks. Build in support floors or COL adjustments to survive long-term enforcement.</w:t>
      </w:r>
    </w:p>
    <w:p>
      <w:r>
        <w:br w:type="page"/>
      </w:r>
    </w:p>
    <w:p>
      <w:pPr>
        <w:pStyle w:val="Heading1"/>
      </w:pPr>
      <w:r>
        <w:rPr>
          <w:b/>
          <w:bCs/>
        </w:rPr>
        <w:t xml:space="preserve">22. Michigan</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Authorizing only — MCL 557.28; MCL 700.2205. No UPAA.</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Written, signed. Rinvelt three-factor test: enforceable unless obtained through fraud/duress/mistake/misrepresentation/nondisclosure, unconscionable when executed, or facts/circumstances changed making enforcement unfair.</w:t>
      </w:r>
    </w:p>
    <w:p>
      <w:pPr>
        <w:spacing w:after="120"/>
      </w:pPr>
      <w:r>
        <w:rPr>
          <w:rFonts w:ascii="Arial" w:cs="Arial" w:eastAsia="Arial" w:hAnsi="Arial"/>
          <w:b/>
          <w:bCs/>
          <w:sz w:val="22"/>
          <w:szCs w:val="22"/>
        </w:rPr>
        <w:t xml:space="preserve">IMPORTANT — Allard v. Allard: </w:t>
      </w:r>
      <w:r>
        <w:rPr>
          <w:rFonts w:ascii="Arial" w:cs="Arial" w:eastAsia="Arial" w:hAnsi="Arial"/>
          <w:sz w:val="22"/>
          <w:szCs w:val="22"/>
        </w:rPr>
        <w:t xml:space="preserve">Allard v. Allard, 318 Mich. App. 583 (2017) ('Allard III') held that prenup terms cannot defeat the divorce court's equitable invasion power under MCL 552.23(1) and 552.401. However, subsequent decisions (Skaates v. Kayser, 2020; Ellis v. Ellis, 2020) narrow Allard to require an inequitable result before invasion. A thorough analysis should note these limiting decisions.</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Not required.</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Rinvelt v. Rinvelt, 190 Mich. App. 372 (1991) established the three-factor test. Reed v. Reed, 265 Mich. App. 131 (2005) placed burden on the challenger. Allard v. Allard (2017) limited prenup insulation of separate property.</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Post-Allard (as narrowed), prenups still control characterization but cannot fully insulate separate property from equitable invasion where an inequitable result would follow.</w:t>
      </w:r>
    </w:p>
    <w:p>
      <w:r>
        <w:br w:type="page"/>
      </w:r>
    </w:p>
    <w:p>
      <w:pPr>
        <w:pStyle w:val="Heading1"/>
      </w:pPr>
      <w:r>
        <w:rPr>
          <w:b/>
          <w:bCs/>
        </w:rPr>
        <w:t xml:space="preserve">23. Minnesota (Functionally Attorney-Required)</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Minn. Stat. §519.11.</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(1) Written agreement; (2) executed in the presence of two witnesses; (3) acknowledged before a notary; (4) full and fair disclosure of income and property (cannot be waived); (5) meaningful opportunity to consult independent counsel; (6) entered voluntarily; (7) executed before the day of solemnization of the marriage.</w:t>
      </w:r>
    </w:p>
    <w:p>
      <w:pPr>
        <w:spacing w:after="120"/>
      </w:pPr>
      <w:r>
        <w:rPr>
          <w:rFonts w:ascii="Arial" w:cs="Arial" w:eastAsia="Arial" w:hAnsi="Arial"/>
          <w:b/>
          <w:bCs/>
          <w:sz w:val="22"/>
          <w:szCs w:val="22"/>
        </w:rPr>
        <w:t xml:space="preserve">CRITICAL CORRECTION: </w:t>
      </w:r>
      <w:r>
        <w:rPr>
          <w:rFonts w:ascii="Arial" w:cs="Arial" w:eastAsia="Arial" w:hAnsi="Arial"/>
          <w:sz w:val="22"/>
          <w:szCs w:val="22"/>
        </w:rPr>
        <w:t xml:space="preserve">The original report stated a '7-day cooling-off period' for Minnesota. This is INCORRECT. The 7-day rule is California's requirement, not Minnesota's. Minnesota's statute requires only that the agreement be executed BEFORE the day of the wedding. There is no statutory 7-day waiting period in Minnesota.</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Functionally required for substantial non-marital property situations.</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McKee-Johnson v. Johnson, 444 N.W.2d 259 (Minn. 1989). In re Estate of Kinney, 733 N.W.2d 118 (Minn. 2007). Kremer v. Kremer, 912 N.W.2d 617 (Minn. 2018). Detailed case analysis condensed per user instructions.</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Two witnesses plus notarization required. Full disclosure mandatory and cannot be waived. Execute before the wedding day (not the same day). Both parties should retain independent counsel.</w:t>
      </w:r>
    </w:p>
    <w:p>
      <w:r>
        <w:br w:type="page"/>
      </w:r>
    </w:p>
    <w:p>
      <w:pPr>
        <w:pStyle w:val="Heading1"/>
      </w:pPr>
      <w:r>
        <w:rPr>
          <w:b/>
          <w:bCs/>
        </w:rPr>
        <w:t xml:space="preserve">24. Mississippi</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No UPAA. Common law and contract law.</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Written, signed, voluntary, full and fair disclosure, fair in execution, substantively conscionable.</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Not required (Mabus v. Mabus, 890 So. 2d 158 (Miss. 2003)).</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In re Estate of Hensley, 524 So. 2d 325 (Miss. 1988) — foundational disclosure duty. Mabus v. Mabus (2003) emphasized that having a lawyer is not required. McLeod v. McLeod, 137 So. 3d 973 (Miss. App. 2014) REVERSED an invalidation where weeks of negotiation showed fair execution.</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Mississippi is highly enforcement-friendly. Present 60+ days before wedding, attach financial statements, encourage counsel.</w:t>
      </w:r>
    </w:p>
    <w:p>
      <w:r>
        <w:br w:type="page"/>
      </w:r>
    </w:p>
    <w:p>
      <w:pPr>
        <w:pStyle w:val="Heading1"/>
      </w:pPr>
      <w:r>
        <w:rPr>
          <w:b/>
          <w:bCs/>
        </w:rPr>
        <w:t xml:space="preserve">25. Missouri</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No UPAA. RSMo §451.220 (must be written and acknowledged or proved by a subscribing witness) and §474.120 (waiver of inheritance).</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Written, signed, acknowledged (notarized) OR proved by at least one subscribing witness. Must be entered freely, fairly, knowingly, understandingly, in good faith, with full disclosure. Disclosure must include the rights being given up, not just assets. Unconscionability tested only at execution (no second look).</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Not required.</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Estate of Youngblood v. Youngblood, 457 S.W.2d 750 (Mo. 1970) UPHELD; foundational standard. Hosmer v. Hosmer, 611 S.W.2d 32 (Mo. App. 1980) INVALIDATED a one-sided agreement signed two days before marriage without disclosure of rights waived. Gould v. Rafaeli, 822 S.W.2d 494 (Mo. App. 1991) UPHELD with counsel, two weeks of review, and itemized values. Riney v. Riney (2024) reaffirmed precedent.</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Acknowledge or use a subscribing witness. Disclosure must include the rights being given up. Postnups have doubtful enforceability under Missouri law.</w:t>
      </w:r>
    </w:p>
    <w:p>
      <w:r>
        <w:br w:type="page"/>
      </w:r>
    </w:p>
    <w:p>
      <w:pPr>
        <w:pStyle w:val="Heading1"/>
      </w:pPr>
      <w:r>
        <w:rPr>
          <w:b/>
          <w:bCs/>
        </w:rPr>
        <w:t xml:space="preserve">26. Montana</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Montana UPAA, MCA §§40-2-601 to 40-2-610.</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Written, signed, no consideration needed. Standard UPAA enforceability framework. Public-assistance override. Elective-share waiver permitted under MCA §72-2-243.</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Not required.</w:t>
      </w:r>
    </w:p>
    <w:p>
      <w:pPr>
        <w:spacing w:after="120"/>
      </w:pPr>
      <w:r>
        <w:rPr>
          <w:rFonts w:ascii="Arial" w:cs="Arial" w:eastAsia="Arial" w:hAnsi="Arial"/>
          <w:b/>
          <w:bCs/>
          <w:sz w:val="22"/>
          <w:szCs w:val="22"/>
        </w:rPr>
        <w:t xml:space="preserve">CORRECTION — Shiffman: </w:t>
      </w:r>
      <w:r>
        <w:rPr>
          <w:rFonts w:ascii="Arial" w:cs="Arial" w:eastAsia="Arial" w:hAnsi="Arial"/>
          <w:sz w:val="22"/>
          <w:szCs w:val="22"/>
        </w:rPr>
        <w:t xml:space="preserve">In re Marriage of Shiffman, 2023 MT 5N is a real case but is a NONCITABLE, NONPRECEDENTIAL memorandum decision (the 'N' suffix under Montana Supreme Court rules). It cannot be cited as binding precedent and should be treated as illustrative only.</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Sign well before the wedding. Notarize to eliminate authenticity disputes. Include an elective-share waiver under §72-2-243 if estate planning is intended.</w:t>
      </w:r>
    </w:p>
    <w:p>
      <w:r>
        <w:br w:type="page"/>
      </w:r>
    </w:p>
    <w:p>
      <w:pPr>
        <w:pStyle w:val="Heading1"/>
      </w:pPr>
      <w:r>
        <w:rPr>
          <w:b/>
          <w:bCs/>
        </w:rPr>
        <w:t xml:space="preserve">27. Nebraska</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Nebraska UPAA, Neb. Rev. Stat. §§42-1001 to 42-1011.</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Written, signed, no consideration needed. Standard UPAA enforceability framework. Public-assistance override.</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Not required.</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Mamot v. Mamot, 283 Neb. 659 (2012) established the multi-factor voluntariness test (proximity to wedding, counsel opportunity, bargaining power, disclosure, understanding). Edwards v. Edwards, 16 Neb. App. 297 (2008) — lack of disclosure alone is insufficient; all three subsections of §42-1006(1)(b) must be met. In re Estate of McConnell, 28 Neb. App. 303 (2020) — wrongful-death proceeds not waived by generic prenup.</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Sign at least 30-60 days before the wedding. Be specific in waivers — generic language may not waive everything (McConnell).</w:t>
      </w:r>
    </w:p>
    <w:p>
      <w:r>
        <w:br w:type="page"/>
      </w:r>
    </w:p>
    <w:p>
      <w:pPr>
        <w:pStyle w:val="Heading1"/>
      </w:pPr>
      <w:r>
        <w:rPr>
          <w:b/>
          <w:bCs/>
        </w:rPr>
        <w:t xml:space="preserve">28. Nevada</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Nevada UPAA, NRS Chapter 123A. NRS 123.270 recommends acknowledgment like a conveyance of land.</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Written, signed, no consideration needed; notarization recommended. Nevada uses independent grounds — agreement is unenforceable if involuntary OR unconscionable when executed OR lacking fair disclosure plus disclosure failures. Public-assistance override.</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Not required.</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Sogg v. Nevada State Bank, 108 Nev. 308 (1992) INVALIDATED — wife met with a hallway-referred attorney for 20-30 minutes; established a presumption of fraud in fiancé fiduciary relationships. Fick v. Fick, 109 Nev. 458 (1993) INVALIDATED the alimony waiver because husband's asset disclosure came a year after signing — disclosure must precede execution.</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Disclose before signing. Provide ample counsel opportunity and time. Acknowledge before a notary.</w:t>
      </w:r>
    </w:p>
    <w:p>
      <w:r>
        <w:br w:type="page"/>
      </w:r>
    </w:p>
    <w:p>
      <w:pPr>
        <w:pStyle w:val="Heading1"/>
      </w:pPr>
      <w:r>
        <w:rPr>
          <w:b/>
          <w:bCs/>
        </w:rPr>
        <w:t xml:space="preserve">29. New Hampshire</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No UPAA. RSA 460:2-a authorizes written prenups; common law via MacFarlane, Hollett, Yannalfo.</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Written, signed; presumed valid unless challenger proves fraud/duress/mistake/misrepresentation/nondisclosure, unconscionability, or changed circumstances making enforcement unconscionable (second look). Heightened scrutiny applies.</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Not strictly required, but Hollett effectively requires effective independent counsel where there is a power disparity.</w:t>
      </w:r>
    </w:p>
    <w:p>
      <w:pPr>
        <w:spacing w:after="120"/>
      </w:pPr>
      <w:r>
        <w:rPr>
          <w:rFonts w:ascii="Arial" w:cs="Arial" w:eastAsia="Arial" w:hAnsi="Arial"/>
          <w:b/>
          <w:bCs/>
          <w:sz w:val="22"/>
          <w:szCs w:val="22"/>
        </w:rPr>
        <w:t xml:space="preserve">Key Case Law — CORRECTED Hollett Facts: </w:t>
      </w:r>
      <w:r>
        <w:rPr>
          <w:rFonts w:ascii="Arial" w:cs="Arial" w:eastAsia="Arial" w:hAnsi="Arial"/>
          <w:sz w:val="22"/>
          <w:szCs w:val="22"/>
        </w:rPr>
        <w:t xml:space="preserve">In re Estate of Hollett, 150 N.H. 39 (2003) INVALIDATED as involuntary as a matter of law. CORRECTED FACTS: Erin began courtship with John at approximately age 22 in 1984, but she was approximately 30 at the time of signing in 1990 (not 22 as originally stated). The prenup was presented less than 48 hours before a 200-guest wedding. John was a real estate developer. The attorney provided was an inexperienced recent law-school graduate. In re Marriage of Nizhnikov (2016) UPHELD where parties discussed the prenup months ahead.</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Timing is the single biggest factor. Effective experienced independent counsel for the disadvantaged party. Second look at enforcement still applies.</w:t>
      </w:r>
    </w:p>
    <w:p>
      <w:r>
        <w:br w:type="page"/>
      </w:r>
    </w:p>
    <w:p>
      <w:pPr>
        <w:pStyle w:val="Heading1"/>
      </w:pPr>
      <w:r>
        <w:rPr>
          <w:b/>
          <w:bCs/>
        </w:rPr>
        <w:t xml:space="preserve">30. New Jersey</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UPAA at N.J.S.A. §§37:2-31 to 37:2-41, enacted 1988; substantially amended by P.L. 2013, c. 72, signed June 28, 2013, eliminating the unconscionable-at-time-of-enforcement defense.</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Written, signed, with statement of assets annexed. For post-June 28, 2013 agreements, unconscionability is tested only at execution. Burden of proof on challenger by clear and convincing evidence. The unrepresented party must sign an explicit written waiver of the opportunity to consult counsel; without it, the agreement is presumptively unconscionable.</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Not strictly required, but written waiver of counsel opportunity is mandatory for unrepresented parties.</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Marschall v. Marschall, 195 N.J. Super. 16 (1984) — foundational; validated divorce-anticipating prenups. DeLorean v. DeLorean, 211 N.J. Super. 432 (1986) UPHELD under California law, but held NJ would require more specific descriptions than 'an interest in a California farm.' Rogers v. Gordon, 404 N.J. Super. 213 (App. Div. 2008) applied pre-2013 second look.</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2013 is the great divide — second look gone for post-6/28/2013 agreements. Annex a detailed statement of assets. Counsel waiver must be written.</w:t>
      </w:r>
    </w:p>
    <w:p>
      <w:r>
        <w:br w:type="page"/>
      </w:r>
    </w:p>
    <w:p>
      <w:pPr>
        <w:pStyle w:val="Heading1"/>
      </w:pPr>
      <w:r>
        <w:rPr>
          <w:b/>
          <w:bCs/>
        </w:rPr>
        <w:t xml:space="preserve">31. New Mexico</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UPAA at NMSA 1978 §§40-3A-1 to 40-3A-10. Community property state.</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Written, signed, and acknowledged (notarization is an explicit statutory element). Standard UPAA enforceability framework. Spousal-support waivers are prohibited or severely restricted — Rivera v. Rivera, 2010-NMCA-106 struck down a prenup as unconscionable for waiving spousal support.</w:t>
      </w:r>
    </w:p>
    <w:p>
      <w:pPr>
        <w:spacing w:after="120"/>
      </w:pPr>
      <w:r>
        <w:rPr>
          <w:rFonts w:ascii="Arial" w:cs="Arial" w:eastAsia="Arial" w:hAnsi="Arial"/>
          <w:b/>
          <w:bCs/>
          <w:sz w:val="22"/>
          <w:szCs w:val="22"/>
        </w:rPr>
        <w:t xml:space="preserve">NOTE: </w:t>
      </w:r>
      <w:r>
        <w:rPr>
          <w:rFonts w:ascii="Arial" w:cs="Arial" w:eastAsia="Arial" w:hAnsi="Arial"/>
          <w:sz w:val="22"/>
          <w:szCs w:val="22"/>
        </w:rPr>
        <w:t xml:space="preserve">The precise breadth of Rivera and whether New Mexico flatly prohibits all spousal-support waivers warrants further primary-source verification.</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Not required.</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Rivera v. Rivera (2010) STRUCK DOWN spousal-support waiver. Lebeck v. Lebeck, 1994-NMCA-103 UPHELD; mere proximity to the wedding and self-drafting were insufficient duress.</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Acknowledgment is statutorily mandated. Avoid spousal-support waivers. Define separate property and opt-out elections clearly.</w:t>
      </w:r>
    </w:p>
    <w:p>
      <w:r>
        <w:br w:type="page"/>
      </w:r>
    </w:p>
    <w:p>
      <w:pPr>
        <w:pStyle w:val="Heading1"/>
      </w:pPr>
      <w:r>
        <w:rPr>
          <w:b/>
          <w:bCs/>
        </w:rPr>
        <w:t xml:space="preserve">32. New York</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No UPAA. Domestic Relations Law §236(B)(3) plus General Obligations Law §5-311.</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Written, subscribed by both parties, and acknowledged in the manner required for a deed to be recorded — meaning oral acknowledgment before a notary who knows the signer or has satisfactory evidence of identity, with a written certificate of acknowledgment attached. NO EXCEPTIONS.</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Not required, but acknowledgment is non-waivable.</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Matisoff v. Dobi, 90 N.Y.2d 127 (1997) INVALIDATED an unacknowledged postnup; bright-line rule with no exception. Anderson v. Anderson (Ct. App. 2021) INVALIDATED where husband acknowledged his signature nearly seven years after signing — acknowledgment must be contemporaneous. Cioffi-Petrakis v. Petrakis, 103 A.D.3d 766 (2d Dep't 2013) VOIDED based on husband's oral fraudulent promise to tear it up after children. Galetta v. Galetta, 21 N.Y.3d 186 (2013) INVALIDATED with a defective acknowledgment certificate.</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Acknowledge contemporaneously and properly — make-or-break. Use specific waiver language. Beware of oral side promises (Cioffi-Petrakis).</w:t>
      </w:r>
    </w:p>
    <w:p>
      <w:r>
        <w:br w:type="page"/>
      </w:r>
    </w:p>
    <w:p>
      <w:pPr>
        <w:pStyle w:val="Heading1"/>
      </w:pPr>
      <w:r>
        <w:rPr>
          <w:b/>
          <w:bCs/>
        </w:rPr>
        <w:t xml:space="preserve">33. North Carolina</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UPAA at N.C.G.S. Chapter 52B.</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Written, signed; no consideration needed. No notarization required for premarital agreements (per Howell v. Landry; G.S. 52-10's acknowledgment applies only to postnups). Standard UPAA enforceability. Public-assistance override for spousal support.</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Not required.</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Howell v. Landry, 96 N.C. App. 516 (1989) UPHELD; timing and lack of separate counsel alone do not establish duress; acknowledgment is not required for prenups. Kornegay v. Robinson, 360 N.C. 640 (2006) ENFORCED signed on wedding day; failure to request counsel was fatal. Tiryakian v. Tiryakian, 91 N.C. App. 128 (1988) — set aside for inadequate disclosure absent waiver.</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Last-minute timing alone is insufficient to defeat the agreement. Disclosure is critical (Tiryakian).</w:t>
      </w:r>
    </w:p>
    <w:p>
      <w:r>
        <w:br w:type="page"/>
      </w:r>
    </w:p>
    <w:p>
      <w:pPr>
        <w:pStyle w:val="Heading1"/>
      </w:pPr>
      <w:r>
        <w:rPr>
          <w:b/>
          <w:bCs/>
        </w:rPr>
        <w:t xml:space="preserve">34. North Dakota</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UPMAA at N.D.C.C. Chapter 14-03.2, effective August 1, 2013. North Dakota was the second state to adopt the 2012 UPMAA (after Colorado's 2013 enactment, effective July 1, 2014).</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Written, signed, no consideration needed. Unenforceable if consent involuntary; no access to independent counsel; or (unless represented) no notice of waiver of rights and plain-language explanation; or no adequate disclosure. Spousal-support modification reviewable for unconscionability at the time of enforcement.</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Not strictly required, but agreements without independent counsel must include the statutory notice and plain-language explanation.</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Binek v. Binek, 2004 ND 5 UPHELD signed two days before the wedding; general knowledge sufficed. Sailer v. Sailer, 2009 ND 73 INVALIDATED as clearly unconscionable — wife after 15-year marriage left with no property, no retirement, no support. Tschider v. Tschider (2019) found one provision unconscionable while severing and enforcing the rest.</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For post-2013 agreements, ensure either both parties have counsel or include the statutory notice. Don't draft a prenup leaving a long-term spouse destitute.</w:t>
      </w:r>
    </w:p>
    <w:p>
      <w:r>
        <w:br w:type="page"/>
      </w:r>
    </w:p>
    <w:p>
      <w:pPr>
        <w:pStyle w:val="Heading1"/>
      </w:pPr>
      <w:r>
        <w:rPr>
          <w:b/>
          <w:bCs/>
        </w:rPr>
        <w:t xml:space="preserve">35. Ohio</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No UPAA. Common law via Gross/Fletcher. R.C. §3103.05. Postnups authorized as of 3/23/2023 (S.B. 210).</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Three-part Gross test: (1) entered freely without fraud, duress, coercion, or overreaching; (2) full disclosure or knowledge; (3) terms do not promote/encourage divorce or profiteering. Spousal-support provisions face additional conscionability test at enforcement.</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Not required, but the disadvantaged party must have a 'meaningful opportunity to consult counsel' (Fletcher).</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Gross v. Gross, 11 Ohio St.3d 99 (1984) established the test. Fletcher v. Fletcher, 68 Ohio St.3d 464 (1994) refined Gross; required meaningful counsel opportunity. Hook v. Hook, 69 Ohio St.2d 234 (1982) INVALIDATED — assets described only as 'in excess of $60,000.' Downing v. Downing, 2023-Ohio-2673 — conditioning marriage on a prenup is not duress.</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Three-part Gross test plus dual scrutiny of spousal support. Vague figures are insufficient. Meaningful opportunity to consult counsel is required.</w:t>
      </w:r>
    </w:p>
    <w:p>
      <w:r>
        <w:br w:type="page"/>
      </w:r>
    </w:p>
    <w:p>
      <w:pPr>
        <w:pStyle w:val="Heading1"/>
      </w:pPr>
      <w:r>
        <w:rPr>
          <w:b/>
          <w:bCs/>
        </w:rPr>
        <w:t xml:space="preserve">36. Oklahoma</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No UPAA (despite some online sources erroneously stating otherwise — VERIFIED that Oklahoma has not adopted the UPAA). Common law via Freeman v. Freeman, 565 P.2d 365 (Okla. 1977), with Statute of Frauds at 15 O.S. §136.</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Written, signed, voluntary, no fraud/duress, full disclosure or adequate independent knowledge. Facially unfair agreements raise a presumption of invalidity, shifting the burden to the proponent (Griffin). Cannot waive child support.</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Not required.</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Freeman v. Freeman (1977) established validity standards. Griffin v. Griffin, 2004 OK CIV APP 58 — facially unfair agreements shift burden. Taylor v. Taylor, 832 P.2d 429 (Okla. 1991) ENFORCED despite no fair provision because wife had adequate knowledge.</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Adequate independent knowledge can substitute for full disclosure. Counsel materially strengthens enforceability.</w:t>
      </w:r>
    </w:p>
    <w:p>
      <w:r>
        <w:br w:type="page"/>
      </w:r>
    </w:p>
    <w:p>
      <w:pPr>
        <w:pStyle w:val="Heading1"/>
      </w:pPr>
      <w:r>
        <w:rPr>
          <w:b/>
          <w:bCs/>
        </w:rPr>
        <w:t xml:space="preserve">37. Oregon</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Oregon UPAA, ORS §§108.700 to 108.740. Verified current.</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Written, signed, no consideration needed; no witness requirement. Standard UPAA framework. Public-assistance override. Unconscionability is a question of law.</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Not required.</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Bridge and Bridge, 166 Or. App. 458 (2000) — spousal-support waivers enforceable unless they deprive a spouse of necessary support. Rudder and Rudder, 230 Or. App. 437 (2009) defines 'voluntarily.' In re Marriage of Grossman — distinguished prenups from postnups.</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Build in waiting periods. Include a public-assistance carve-out for spousal-support waivers.</w:t>
      </w:r>
    </w:p>
    <w:p>
      <w:r>
        <w:br w:type="page"/>
      </w:r>
    </w:p>
    <w:p>
      <w:pPr>
        <w:pStyle w:val="Heading1"/>
      </w:pPr>
      <w:r>
        <w:rPr>
          <w:b/>
          <w:bCs/>
        </w:rPr>
        <w:t xml:space="preserve">38. Pennsylvania</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No UPAA. Common law via Simeone with partial codification at 23 Pa.C.S. §3106.</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Written, signed; no notarization required. Simeone: ordinary contract principles apply; NO judicial review of reasonableness; the only grounds to invalidate are fraud, misrepresentation, duress, or failure of full and fair disclosure. Disclosure may be expressly waived in writing under §3106(a)(2)(ii). Cannot affect children's right to support.</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Not required (Simeone expressly).</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Simeone v. Simeone, 525 Pa. 392 (1990) — landmark; UPHELD a wedding-eve agreement limiting wife's support to $25,000 against a wealthy neurosurgeon. Decided September 25, 1990. Stoner v. Stoner, 819 A.2d 529 (2003) reaffirmed; refused to require disclosure of statutory rights. Lugg v. Lugg, 64 A.3d 1109 (Pa. Super. 2013) confirmed §3106 written waiver of disclosure is effective.</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Among the most pro-enforcement states. Only fraud, duress, or disclosure failure invalidates. Last-minute signing survived in Simeone. 2005 Divorce Code amendments codified disclosure and waiver rules.</w:t>
      </w:r>
    </w:p>
    <w:p>
      <w:r>
        <w:br w:type="page"/>
      </w:r>
    </w:p>
    <w:p>
      <w:pPr>
        <w:pStyle w:val="Heading1"/>
      </w:pPr>
      <w:r>
        <w:rPr>
          <w:b/>
          <w:bCs/>
        </w:rPr>
        <w:t xml:space="preserve">39. Rhode Island</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UPAA at R.I. Gen. Laws §15-17-1 et seq., effective 7/1/1987.</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Written, signed by both, no consideration needed. UNIQUE RI RULE: §15-17-6 uses 'AND' between the involuntariness and unconscionability prongs — challenger must prove BOTH by clear and convincing evidence. Public-assistance override.</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Not required (Penhallow, Marsocci).</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Penhallow v. Penhallow, 649 A.2d 1016 (R.I. 1994) — first major RI UPAA construction. Marsocci v. Marsocci, 911 A.2d 690 (R.I. 2006) ENFORCED despite trial-court findings — challenger failed to prove all elements. Rubino v. Rubino, 765 A.2d 1222 (R.I. 2001) — agreement signed two days before marriage controls over equitable distribution.</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Rhode Island is widely considered the most enforcement-friendly state due to the AND structure making invalidation extremely difficult.</w:t>
      </w:r>
    </w:p>
    <w:p>
      <w:r>
        <w:br w:type="page"/>
      </w:r>
    </w:p>
    <w:p>
      <w:pPr>
        <w:pStyle w:val="Heading1"/>
      </w:pPr>
      <w:r>
        <w:rPr>
          <w:b/>
          <w:bCs/>
        </w:rPr>
        <w:t xml:space="preserve">40. South Carolina</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No UPAA. Common law via Hardee; S.C. Code §20-3-630(A)(4) ties the presumption of fairness to 'both parties separately represented by counsel.'</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Written, signed before marriage. Hardee three-part test: (1) no fraud/duress/mistake/misrepresentation/nondisclosure; (2) not unconscionable; (3) facts/circumstances have not changed making enforcement unfair. Full disclosure required.</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Effectively required for the statutory presumption of fairness, though not strictly required for enforceability under case law.</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Hardee v. Hardee, 355 S.C. 382 (2003) established the three-part test; ENFORCED; alimony waivers not per se unconscionable. Holler v. Holler, 364 S.C. 256 (App. 2005) INVALIDATED — Ukrainian wife with poor English, no money for counsel/translator, three days before visa expired. Hudson v. Hudson, 407 S.C. 84 (App. 2014) ENFORCED; minor omission was not material.</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Engage separate counsel for both parties — required for the §20-3-630(A)(4) presumption. Sign at least 30 days before. Full schedules attached.</w:t>
      </w:r>
    </w:p>
    <w:p>
      <w:r>
        <w:br w:type="page"/>
      </w:r>
    </w:p>
    <w:p>
      <w:pPr>
        <w:pStyle w:val="Heading1"/>
      </w:pPr>
      <w:r>
        <w:rPr>
          <w:b/>
          <w:bCs/>
        </w:rPr>
        <w:t xml:space="preserve">41. South Dakota</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UPAA at SDCL §§25-2-16 to 25-2-25 (modified). South Dakota deliberately omitted UPAA Section 3(a)(4), the express authorization for spousal-support waivers, contributing to ambiguity.</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Written, signed, no consideration needed. Spousal-support waivers are problematic. Standard enforceability framework otherwise. Cannot affect child support.</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Not required.</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Connolly v. Connolly, 270 N.W.2d 44 (S.D. 1978) INVALIDATED an alimony waiver. Sanford v. Sanford, 2005 SD 34 reaffirmed post-UPAA: legislature intentionally omitted spousal-support waiver authority. Property provisions severable.</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Never include alimony/spousal-support waivers. Include severability clauses. Property and estate-rights waivers are highly enforceable.</w:t>
      </w:r>
    </w:p>
    <w:p>
      <w:r>
        <w:br w:type="page"/>
      </w:r>
    </w:p>
    <w:p>
      <w:pPr>
        <w:pStyle w:val="Heading1"/>
      </w:pPr>
      <w:r>
        <w:rPr>
          <w:b/>
          <w:bCs/>
        </w:rPr>
        <w:t xml:space="preserve">42. Tennessee</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Tenn. Code §36-3-501 — binding if entered 'freely, knowledgeably and in good faith and without exertion of duress or undue influence.' Tennessee has not adopted the full UPAA.</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Written, signed. Full and fair disclosure (Randolph). Fiduciary relationship exists during engagement. Alimony waivers permissible (Cary) but unenforceable if they would render a spouse a public charge.</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Not required, but independent counsel is the 'best evidence' of voluntary, knowledgeable execution.</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Randolph v. Randolph, 937 S.W.2d 815 (Tenn. 1996) — defined 'knowledgeably' as full and fair disclosure; proponent bears disclosure burden. Cary v. Cary, 937 S.W.2d 777 (Tenn. 1996) ENFORCED alimony waiver subject to public-charge limit. Wilson v. Moore, 929 S.W.2d 367 (Tenn. App. 1996) UPHELD despite minor inadvertent omissions.</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Provide independent counsel for each party. Attach comprehensive financial schedules including tax returns. Public-charge carve-out essential for spousal-support waivers.</w:t>
      </w:r>
    </w:p>
    <w:p>
      <w:r>
        <w:br w:type="page"/>
      </w:r>
    </w:p>
    <w:p>
      <w:pPr>
        <w:pStyle w:val="Heading1"/>
      </w:pPr>
      <w:r>
        <w:rPr>
          <w:b/>
          <w:bCs/>
        </w:rPr>
        <w:t xml:space="preserve">43. Texas</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UPAA at Tex. Fam. Code §§4.001 to 4.010. Community property state. Section 4.006 contains the most pro-enforcement provisions in the country: statutory remedies and defenses are exclusive, eliminating common-law contract defenses.</w:t>
      </w:r>
    </w:p>
    <w:p>
      <w:pPr>
        <w:spacing w:after="120"/>
      </w:pPr>
      <w:r>
        <w:rPr>
          <w:rFonts w:ascii="Arial" w:cs="Arial" w:eastAsia="Arial" w:hAnsi="Arial"/>
          <w:b/>
          <w:bCs/>
          <w:sz w:val="22"/>
          <w:szCs w:val="22"/>
        </w:rPr>
        <w:t xml:space="preserve">NOTE: </w:t>
      </w:r>
      <w:r>
        <w:rPr>
          <w:rFonts w:ascii="Arial" w:cs="Arial" w:eastAsia="Arial" w:hAnsi="Arial"/>
          <w:sz w:val="22"/>
          <w:szCs w:val="22"/>
        </w:rPr>
        <w:t xml:space="preserve">The exclusive-remedy/burden-of-proof rule sits in §4.006(a) and (b) — verify the precise subsection letter in the current code, as some sources cite (c).</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Written, signed by both, no consideration needed. Unenforceable only if (1) involuntary OR (2) unconscionable when signed AND (a) no fair disclosure AND (b) no written waiver AND (c) no adequate knowledge — all three sub-elements required. Unconscionability is a question of law. Cannot affect child support.</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Not required.</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Marsh v. Marsh, 949 S.W.2d 734 (Tex. App. 1997) UPHELD; 'unfair' is not 'unconscionable.' Sheshunoff v. Sheshunoff, 172 S.W.3d 686 (Tex. App. 2005) defined 'voluntarily' narrowly. Beck v. Beck, 814 S.W.2d 745 (Tex. 1991) UPHELD constitutionality.</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Texas is the most pro-enforcement UPAA state. Challenger faces a triple burden on unconscionability. Independent counsel, 30+ days before wedding, comprehensive schedules recommended.</w:t>
      </w:r>
    </w:p>
    <w:p>
      <w:r>
        <w:br w:type="page"/>
      </w:r>
    </w:p>
    <w:p>
      <w:pPr>
        <w:pStyle w:val="Heading1"/>
      </w:pPr>
      <w:r>
        <w:rPr>
          <w:b/>
          <w:bCs/>
        </w:rPr>
        <w:t xml:space="preserve">44. Utah</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UPAA provisions now codified at Utah Code §§81-3-201 to 81-3-208 (recodified effective September 1, 2024 via SB 95 from former Title 30, Chapter 8). SB 119 (2025) made additional cleanup amendments. Recodification was substantively neutral.</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Written, signed, no consideration needed. Standard UPAA enforceability. Public-assistance override. D'Aston three-part test: enforceable absent fraud, coercion, or material nondisclosure. Beesley imposes 'highest degree of good faith, honesty, and candor.' Cannot affect child support, custody, medical, or childcare.</w:t>
      </w:r>
    </w:p>
    <w:p>
      <w:pPr>
        <w:spacing w:after="120"/>
      </w:pPr>
      <w:r>
        <w:rPr>
          <w:rFonts w:ascii="Arial" w:cs="Arial" w:eastAsia="Arial" w:hAnsi="Arial"/>
          <w:b/>
          <w:bCs/>
          <w:sz w:val="22"/>
          <w:szCs w:val="22"/>
        </w:rPr>
        <w:t xml:space="preserve">CRITICAL CORRECTION — Reese v. Reese: </w:t>
      </w:r>
      <w:r>
        <w:rPr>
          <w:rFonts w:ascii="Arial" w:cs="Arial" w:eastAsia="Arial" w:hAnsi="Arial"/>
          <w:sz w:val="22"/>
          <w:szCs w:val="22"/>
        </w:rPr>
        <w:t xml:space="preserve">The original report cited Reese v. Reese, 2026 UT App 31 as a prenuptial-agreement case. This is INCORRECT. Reese involved a POSTNUPTIAL agreement addressing child support. The Court of Appeals held that §81-3-203(2) — which bars premarital agreements from adversely affecting child support — applies only to premarital, not postnuptial, agreements. It is a postnup/child-support case, not a prenup precedent.</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Not required.</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D'Aston v. D'Aston, 808 P.2d 111 (Utah App. 1990) — core test. Estate of Beesley, 883 P.2d 1343 (Utah 1994) — heightened good-faith standard.</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Heightened good-faith/candor duty makes self-drafted agreements risky. Confirm the new Title 81 codification when drafting. Public-assistance carve-out for alimony.</w:t>
      </w:r>
    </w:p>
    <w:p>
      <w:r>
        <w:br w:type="page"/>
      </w:r>
    </w:p>
    <w:p>
      <w:pPr>
        <w:pStyle w:val="Heading1"/>
      </w:pPr>
      <w:r>
        <w:rPr>
          <w:b/>
          <w:bCs/>
        </w:rPr>
        <w:t xml:space="preserve">45. Vermont</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No UPAA. Common law via Bassler v. Bassler, 156 Vt. 353, 593 A.2d 82 (1991).</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Written, signed. Bassler three-part test: (1) fair and reasonable disclosure; (2) entered voluntarily and freely; (3) substantive provisions dividing property are fair to each spouse. Public-charge override. Unconscionability tested at execution (Lacroix), but the public-charge override applies at enforcement.</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Not required.</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Bassler v. Bassler (1991) INVALIDATED; Linda and children were on public assistance while George remained on the family estate. Rock v. Rock, 2023 VT 56 — prenup may be RESCINDED by the parties' conduct without a written modification. Stalb v. Stalb, 168 Vt. 235 (1998) — choice-of-law principles apply.</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More searching substantive review than UPAA states. Conduct can rescind a prenup (Rock) — document any post-execution treatment of property consistent with the agreement.</w:t>
      </w:r>
    </w:p>
    <w:p>
      <w:r>
        <w:br w:type="page"/>
      </w:r>
    </w:p>
    <w:p>
      <w:pPr>
        <w:pStyle w:val="Heading1"/>
      </w:pPr>
      <w:r>
        <w:rPr>
          <w:b/>
          <w:bCs/>
        </w:rPr>
        <w:t xml:space="preserve">46. Virginia</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UPAA at Va. Code §§20-147 to 20-155, agreements on or after 7/1/1986.</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Written, signed by both, no consideration needed. Recitations create prima facie presumption of factual correctness. Unconscionability is a question of law. Galloway two-step test: challenger must show gross disparity AND overreaching or oppressive influences — gross disparity alone is insufficient.</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Not required.</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Pysell v. Keck, 263 Va. 457 (2002) — present-tense waiver did not waive post-death elective-share claim. Galloway v. Galloway, 47 Va. App. 83 (2005) — the two-step unconscionability test.</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Recite financial disclosure and waivers explicitly. Draft waivers in future tense covering death/elective-share/dissolution.</w:t>
      </w:r>
    </w:p>
    <w:p>
      <w:r>
        <w:br w:type="page"/>
      </w:r>
    </w:p>
    <w:p>
      <w:pPr>
        <w:pStyle w:val="Heading1"/>
      </w:pPr>
      <w:r>
        <w:rPr>
          <w:b/>
          <w:bCs/>
        </w:rPr>
        <w:t xml:space="preserve">47. Washington</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No UPAA. Common law plus RCW 19.36.010 (statute of frauds) and RCW 26.16.120 (community property agreements must be written, executed, witnessed, and acknowledged like a deed). Community property state.</w:t>
      </w:r>
    </w:p>
    <w:p>
      <w:pPr>
        <w:spacing w:after="120"/>
      </w:pPr>
      <w:r>
        <w:rPr>
          <w:rFonts w:ascii="Arial" w:cs="Arial" w:eastAsia="Arial" w:hAnsi="Arial"/>
          <w:b/>
          <w:bCs/>
          <w:sz w:val="22"/>
          <w:szCs w:val="22"/>
        </w:rPr>
        <w:t xml:space="preserve">CLARIFICATION — RCW 26.16.120: </w:t>
      </w:r>
      <w:r>
        <w:rPr>
          <w:rFonts w:ascii="Arial" w:cs="Arial" w:eastAsia="Arial" w:hAnsi="Arial"/>
          <w:sz w:val="22"/>
          <w:szCs w:val="22"/>
        </w:rPr>
        <w:t xml:space="preserve">This statute governs separate-property agreements between SPOUSES (already married). Prenups (before marriage) are enforced under common-law principles via Matson. However, notarization/witnessing is strongly recommended for prenups as well.</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Written. Matson two-prong test: (1) substantive fairness; if not, (2) procedural fairness — full disclosure plus voluntary execution with independent advice. Heightened scrutiny for total elimination of community property rights.</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Not strictly required, but the Matson procedural prong essentially requires opportunity for independent counsel.</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Matson v. Matson, 107 Wn.2d 479 (1986) — VOIDED a prenup signed the night before where wife relied on husband's attorney. In re Marriage of Bernard, 165 Wn.2d 895 (2009) VOIDED a disproportionate agreement. In re Estate of Crawford, 107 Wn.2d 493 (1986) VOIDED signed three days before with no disclosure.</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Notarize and witness. Both parties retain independent counsel. Sign 4-8+ weeks before the wedding. Total elimination of community property rights triggers zealous scrutiny.</w:t>
      </w:r>
    </w:p>
    <w:p>
      <w:r>
        <w:br w:type="page"/>
      </w:r>
    </w:p>
    <w:p>
      <w:pPr>
        <w:pStyle w:val="Heading1"/>
      </w:pPr>
      <w:r>
        <w:rPr>
          <w:b/>
          <w:bCs/>
        </w:rPr>
        <w:t xml:space="preserve">48. West Virginia</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UPAA adopted via HB 2509 (2023 Regular Session) at W. Va. Code §§48-1A-101 to 48-1A-1001. Pre-2023 case law (Gant, Ware) governs older agreements.</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Written, signed, and the agreement must contain an in-document acknowledgment that both parties had the opportunity to consult separate counsel (§48-1A-201). Unenforceable if involuntary, party was a minor, unconscionable plus disclosure failures, or substantial hardship from material change. Public-assistance override.</w:t>
      </w:r>
    </w:p>
    <w:p>
      <w:pPr>
        <w:spacing w:after="120"/>
      </w:pPr>
      <w:r>
        <w:rPr>
          <w:rFonts w:ascii="Arial" w:cs="Arial" w:eastAsia="Arial" w:hAnsi="Arial"/>
          <w:b/>
          <w:bCs/>
          <w:sz w:val="22"/>
          <w:szCs w:val="22"/>
        </w:rPr>
        <w:t xml:space="preserve">IMPORTANT DISTINCTION: </w:t>
      </w:r>
      <w:r>
        <w:rPr>
          <w:rFonts w:ascii="Arial" w:cs="Arial" w:eastAsia="Arial" w:hAnsi="Arial"/>
          <w:sz w:val="22"/>
          <w:szCs w:val="22"/>
        </w:rPr>
        <w:t xml:space="preserve">For pre-2023 agreements, Ware v. Ware, 224 W. Va. 599 (2009) controls: both parties must actually be represented by independent counsel for the presumption of validity to apply; one-attorney drafting is invalid. For post-2023 agreements, HB 2509 controls with its statutory acknowledgment requirement.</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Functionally yes for the presumption of validity (Ware for pre-2023; §48-1A-201 acknowledgment for post-2023).</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Gant v. Gant, 174 W. Va. 740 (1985) — established presumption of validity. Ware v. Ware (2009) modified Gant: dual independent counsel required for presumption. Owen v. Owen, 233 W. Va. 521 (2014) INVALIDATED a prenup subverting equitable distribution.</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Use dual independent counsel. Include the §48-1A-201 written acknowledgment. Avoid radical exclusions of marital property.</w:t>
      </w:r>
    </w:p>
    <w:p>
      <w:r>
        <w:br w:type="page"/>
      </w:r>
    </w:p>
    <w:p>
      <w:pPr>
        <w:pStyle w:val="Heading1"/>
      </w:pPr>
      <w:r>
        <w:rPr>
          <w:b/>
          <w:bCs/>
        </w:rPr>
        <w:t xml:space="preserve">49. Wisconsin</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Wis. Stat. §766.58 (marital property agreements) plus §767.61(3)(L) for divorce-time enforceability. Marital property state.</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Written, signed by both. Button three-prong fairness test for divorce enforceability: (1) fair and reasonable disclosure; (2) voluntarily and freely entered; (3) substantively fair both at execution and, on significant unforeseeable changes, at divorce. Failure on any prong defeats enforcement. Public-assistance override.</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Not required, but a major voluntariness factor.</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Button v. Button, 131 Wis. 2d 84 (1986) — landmark three-prong test. Gardner v. Gardner, 190 Wis. 2d 216 (App. 1994) UPHELD; wife had her own attorney and approximately 5 days to review. Reichel v. Jung, 2000 WI App 151 — joint accounts and nonprobate transfers can defeat agreements that don't address them.</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Both parties with separate counsel; adequate review time. Address nonprobate transfers explicitly. Must satisfy both §766.58 'unconscionable' and §767.61(3)(L) Button standards.</w:t>
      </w:r>
    </w:p>
    <w:p>
      <w:r>
        <w:br w:type="page"/>
      </w:r>
    </w:p>
    <w:p>
      <w:pPr>
        <w:pStyle w:val="Heading1"/>
      </w:pPr>
      <w:r>
        <w:rPr>
          <w:b/>
          <w:bCs/>
        </w:rPr>
        <w:t xml:space="preserve">50. Wyoming</w:t>
      </w:r>
    </w:p>
    <w:p>
      <w:pPr>
        <w:spacing w:after="120"/>
      </w:pPr>
      <w:r>
        <w:rPr>
          <w:rFonts w:ascii="Arial" w:cs="Arial" w:eastAsia="Arial" w:hAnsi="Arial"/>
          <w:b/>
          <w:bCs/>
          <w:sz w:val="22"/>
          <w:szCs w:val="22"/>
        </w:rPr>
        <w:t xml:space="preserve">Statutory Framework: </w:t>
      </w:r>
      <w:r>
        <w:rPr>
          <w:rFonts w:ascii="Arial" w:cs="Arial" w:eastAsia="Arial" w:hAnsi="Arial"/>
          <w:sz w:val="22"/>
          <w:szCs w:val="22"/>
        </w:rPr>
        <w:t xml:space="preserve">No UPAA, no dedicated prenup statute. Common law via Laird/Lund/Combs. Equitable distribution under Wyo. Stat. §20-2-114.</w:t>
      </w:r>
    </w:p>
    <w:p>
      <w:pPr>
        <w:spacing w:after="120"/>
      </w:pPr>
      <w:r>
        <w:rPr>
          <w:rFonts w:ascii="Arial" w:cs="Arial" w:eastAsia="Arial" w:hAnsi="Arial"/>
          <w:b/>
          <w:bCs/>
          <w:sz w:val="22"/>
          <w:szCs w:val="22"/>
        </w:rPr>
        <w:t xml:space="preserve">Validity Requirements: </w:t>
      </w:r>
      <w:r>
        <w:rPr>
          <w:rFonts w:ascii="Arial" w:cs="Arial" w:eastAsia="Arial" w:hAnsi="Arial"/>
          <w:sz w:val="22"/>
          <w:szCs w:val="22"/>
        </w:rPr>
        <w:t xml:space="preserve">Written, signed before marriage. Marriage is consideration (Lund). Standard contract construction (Laird). Not procured by fraud/deceit/duress/overreaching. No notarization, no statutory disclosure rule, no waiting period. Cannot affect child support or custody.</w:t>
      </w:r>
    </w:p>
    <w:p>
      <w:pPr>
        <w:spacing w:after="120"/>
      </w:pPr>
      <w:r>
        <w:rPr>
          <w:rFonts w:ascii="Arial" w:cs="Arial" w:eastAsia="Arial" w:hAnsi="Arial"/>
          <w:b/>
          <w:bCs/>
          <w:sz w:val="22"/>
          <w:szCs w:val="22"/>
        </w:rPr>
        <w:t xml:space="preserve">Attorney Requirement: </w:t>
      </w:r>
      <w:r>
        <w:rPr>
          <w:rFonts w:ascii="Arial" w:cs="Arial" w:eastAsia="Arial" w:hAnsi="Arial"/>
          <w:sz w:val="22"/>
          <w:szCs w:val="22"/>
        </w:rPr>
        <w:t xml:space="preserve">Not required (Seherr-Thoss).</w:t>
      </w:r>
    </w:p>
    <w:p>
      <w:pPr>
        <w:spacing w:after="120"/>
      </w:pPr>
      <w:r>
        <w:rPr>
          <w:rFonts w:ascii="Arial" w:cs="Arial" w:eastAsia="Arial" w:hAnsi="Arial"/>
          <w:b/>
          <w:bCs/>
          <w:sz w:val="22"/>
          <w:szCs w:val="22"/>
        </w:rPr>
        <w:t xml:space="preserve">Key Case Law: </w:t>
      </w:r>
      <w:r>
        <w:rPr>
          <w:rFonts w:ascii="Arial" w:cs="Arial" w:eastAsia="Arial" w:hAnsi="Arial"/>
          <w:sz w:val="22"/>
          <w:szCs w:val="22"/>
        </w:rPr>
        <w:t xml:space="preserve">Laird v. Laird, 597 P.2d 463 (Wyo. 1979) — landmark; UPHELD; competent parties cannot avoid contracts by failing to read them. Lund v. Lund, 849 P.2d 731 (Wyo. 1993) — marriage is consideration. Combs v. Sherry-Combs, 865 P.2d 50 (Wyo. 1993) — INVALIDATED a 'marriage document' signed after legal marriage as a postnup lacking consideration; voided a 'termination of contract' divorce clause as against public policy.</w:t>
      </w:r>
    </w:p>
    <w:p>
      <w:pPr>
        <w:spacing w:after="120"/>
      </w:pPr>
      <w:r>
        <w:rPr>
          <w:rFonts w:ascii="Arial" w:cs="Arial" w:eastAsia="Arial" w:hAnsi="Arial"/>
          <w:b/>
          <w:bCs/>
          <w:sz w:val="22"/>
          <w:szCs w:val="22"/>
        </w:rPr>
        <w:t xml:space="preserve">Takeaways: </w:t>
      </w:r>
      <w:r>
        <w:rPr>
          <w:rFonts w:ascii="Arial" w:cs="Arial" w:eastAsia="Arial" w:hAnsi="Arial"/>
          <w:sz w:val="22"/>
          <w:szCs w:val="22"/>
        </w:rPr>
        <w:t xml:space="preserve">Clarity is paramount; courts enforce as written. Sign before marriage. Address future-acquired property explicitly. Watch for later titling actions that can override prenup intent.</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pStyle w:val="Heading2"/>
      </w:pPr>
      <w:r>
        <w:rPr>
          <w:b/>
          <w:bCs/>
        </w:rPr>
        <w:t xml:space="preserve">Disclaimer</w:t>
      </w:r>
    </w:p>
    <w:p>
      <w:pPr>
        <w:spacing w:after="120"/>
      </w:pPr>
      <w:r>
        <w:rPr>
          <w:rFonts w:ascii="Arial" w:cs="Arial" w:eastAsia="Arial" w:hAnsi="Arial"/>
          <w:sz w:val="22"/>
          <w:szCs w:val="22"/>
        </w:rPr>
        <w:t xml:space="preserve">This report is for informational purposes only and does not constitute legal advice. Laws and case law change frequently. Any prenuptial agreement should be reviewed and/or drafted by a licensed attorney in the relevant jurisdiction. The single most reliable rule across all 50 states: the further you drift from a written, fully disclosed, counseled, well-timed agreement, the greater the chance a court will refuse to enforce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2026-05-05T18:19:05.257Z</dcterms:created>
  <dcterms:modified xsi:type="dcterms:W3CDTF">2026-05-05T18:19:05.271Z</dcterms:modified>
</cp:coreProperties>
</file>

<file path=docProps/custom.xml><?xml version="1.0" encoding="utf-8"?>
<Properties xmlns="http://schemas.openxmlformats.org/officeDocument/2006/custom-properties" xmlns:vt="http://schemas.openxmlformats.org/officeDocument/2006/docPropsVTypes"/>
</file>