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2026-09-21 · commit</w:t>
      </w:r>
      <w:r>
        <w:t xml:space="preserve"> </w:t>
      </w:r>
      <w:r>
        <w:rPr>
          <w:rStyle w:val="VerbatimChar"/>
        </w:rPr>
        <w:t xml:space="preserve">8a49e77+dirty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196</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200</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223</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228</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231</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118,912</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139,046</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5,925</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5,925</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5,925</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139,046</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5,925</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5,925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5,925</w:t>
            </w:r>
          </w:p>
        </w:tc>
      </w:tr>
      <w:tr>
        <w:tc>
          <w:tcPr/>
          <w:p>
            <w:pPr>
              <w:pStyle w:val="Compact"/>
            </w:pPr>
            <w:r>
              <w:t xml:space="preserve">distinct assertions counted from the tree now</w:t>
            </w:r>
          </w:p>
        </w:tc>
        <w:tc>
          <w:tcPr/>
          <w:p>
            <w:pPr>
              <w:pStyle w:val="Compact"/>
              <w:jc w:val="right"/>
            </w:pPr>
            <w:r>
              <w:rPr>
                <w:b/>
                <w:bCs/>
              </w:rPr>
              <w:t xml:space="preserve">5,925</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25,631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86 had been observed to refuse somebody and</w:t>
      </w:r>
      <w:r>
        <w:t xml:space="preserve"> </w:t>
      </w:r>
      <w:r>
        <w:t xml:space="preserve">67 of those refusals were attributed to the gate itself rather than to something</w:t>
      </w:r>
      <w:r>
        <w:t xml:space="preserve"> </w:t>
      </w:r>
      <w:r>
        <w:t xml:space="preserve">it composes; 87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25,631 assertions</w:t>
      </w:r>
      <w:r>
        <w:t xml:space="preserve"> </w:t>
      </w:r>
      <w:r>
        <w:t xml:space="preserve">(20,533 positive, 5,098</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25,631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24"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87</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86</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67</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bookmarkEnd w:id="318"/>
    <w:bookmarkStart w:id="323" w:name="X085c239a86fd2b81f383efae1372cc4fe0c129d"/>
    <w:p>
      <w:pPr>
        <w:pStyle w:val="Heading2"/>
      </w:pPr>
      <w:r>
        <w:t xml:space="preserve">The one field that cannot be gated, and why we are saying so</w:t>
      </w:r>
    </w:p>
    <w:p>
      <w:pPr>
        <w:pStyle w:val="FirstParagraph"/>
      </w:pPr>
      <w:r>
        <w:t xml:space="preserve">Every finding above is a gate that was missing, misplaced or shadowed — all of them fixable, and</w:t>
      </w:r>
      <w:r>
        <w:t xml:space="preserve"> </w:t>
      </w:r>
      <w:r>
        <w:t xml:space="preserve">all of them fixed. This section is the opposite: a property the chain</w:t>
      </w:r>
      <w:r>
        <w:t xml:space="preserve"> </w:t>
      </w:r>
      <w:r>
        <w:rPr>
          <w:b/>
          <w:bCs/>
        </w:rPr>
        <w:t xml:space="preserve">cannot</w:t>
      </w:r>
      <w:r>
        <w:t xml:space="preserve"> </w:t>
      </w:r>
      <w:r>
        <w:t xml:space="preserve">enforce, stated</w:t>
      </w:r>
      <w:r>
        <w:t xml:space="preserve"> </w:t>
      </w:r>
      <w:r>
        <w:t xml:space="preserve">plainly because an audit that only lists solved problems is not telling you where the edges are.</w:t>
      </w:r>
    </w:p>
    <w:bookmarkStart w:id="319" w:name="what-the-field-is"/>
    <w:p>
      <w:pPr>
        <w:pStyle w:val="Heading3"/>
      </w:pPr>
      <w:r>
        <w:t xml:space="preserve">What the field is</w:t>
      </w:r>
    </w:p>
    <w:p>
      <w:pPr>
        <w:pStyle w:val="FirstParagraph"/>
      </w:pPr>
      <w:r>
        <w:t xml:space="preserve">A DALOS account row carries a</w:t>
      </w:r>
      <w:r>
        <w:t xml:space="preserve"> </w:t>
      </w:r>
      <w:r>
        <w:rPr>
          <w:rStyle w:val="VerbatimChar"/>
        </w:rPr>
        <w:t xml:space="preserve">public</w:t>
      </w:r>
      <w:r>
        <w:t xml:space="preserve"> </w:t>
      </w:r>
      <w:r>
        <w:t xml:space="preserve">field. It is</w:t>
      </w:r>
      <w:r>
        <w:t xml:space="preserve"> </w:t>
      </w:r>
      <w:r>
        <w:rPr>
          <w:b/>
          <w:bCs/>
        </w:rPr>
        <w:t xml:space="preserve">not</w:t>
      </w:r>
      <w:r>
        <w:t xml:space="preserve"> </w:t>
      </w:r>
      <w:r>
        <w:t xml:space="preserve">the account’s Kadena signing key. The</w:t>
      </w:r>
      <w:r>
        <w:t xml:space="preserve"> </w:t>
      </w:r>
      <w:r>
        <w:t xml:space="preserve">Kadena key is 64 hex characters and lives inside the account’s</w:t>
      </w:r>
      <w:r>
        <w:t xml:space="preserve"> </w:t>
      </w:r>
      <w:r>
        <w:rPr>
          <w:rStyle w:val="VerbatimChar"/>
        </w:rPr>
        <w:t xml:space="preserve">guard</w:t>
      </w:r>
      <w:r>
        <w:t xml:space="preserve">;</w:t>
      </w:r>
      <w:r>
        <w:t xml:space="preserve"> </w:t>
      </w:r>
      <w:r>
        <w:rPr>
          <w:rStyle w:val="VerbatimChar"/>
        </w:rPr>
        <w:t xml:space="preserve">public</w:t>
      </w:r>
      <w:r>
        <w:t xml:space="preserve"> </w:t>
      </w:r>
      <w:r>
        <w:t xml:space="preserve">is a</w:t>
      </w:r>
      <w:r>
        <w:t xml:space="preserve"> </w:t>
      </w:r>
      <w:r>
        <w:rPr>
          <w:b/>
          <w:bCs/>
        </w:rPr>
        <w:t xml:space="preserve">574–576</w:t>
      </w:r>
      <w:r>
        <w:rPr>
          <w:b/>
          <w:bCs/>
        </w:rPr>
        <w:t xml:space="preserve"> </w:t>
      </w:r>
      <w:r>
        <w:rPr>
          <w:b/>
          <w:bCs/>
        </w:rPr>
        <w:t xml:space="preserve">character</w:t>
      </w:r>
      <w:r>
        <w:t xml:space="preserve"> </w:t>
      </w:r>
      <w:r>
        <w:t xml:space="preserve">string over a 50-symbol alphabet with a</w:t>
      </w:r>
      <w:r>
        <w:t xml:space="preserve"> </w:t>
      </w:r>
      <w:r>
        <w:rPr>
          <w:rStyle w:val="VerbatimChar"/>
        </w:rPr>
        <w:t xml:space="preserve">9G.</w:t>
      </w:r>
      <w:r>
        <w:t xml:space="preserve"> </w:t>
      </w:r>
      <w:r>
        <w:t xml:space="preserve">/</w:t>
      </w:r>
      <w:r>
        <w:t xml:space="preserve"> </w:t>
      </w:r>
      <w:r>
        <w:rPr>
          <w:rStyle w:val="VerbatimChar"/>
        </w:rPr>
        <w:t xml:space="preserve">9H.</w:t>
      </w:r>
      <w:r>
        <w:t xml:space="preserve"> </w:t>
      </w:r>
      <w:r>
        <w:t xml:space="preserve">version prefix — the public half</w:t>
      </w:r>
      <w:r>
        <w:t xml:space="preserve"> </w:t>
      </w:r>
      <w:r>
        <w:t xml:space="preserve">of an Ouronet keypair of its own, against which the client verifies</w:t>
      </w:r>
      <w:r>
        <w:t xml:space="preserve"> </w:t>
      </w:r>
      <w:r>
        <w:rPr>
          <w:b/>
          <w:bCs/>
        </w:rPr>
        <w:t xml:space="preserve">Schnorr signatures</w:t>
      </w:r>
      <w:r>
        <w:t xml:space="preserve"> </w:t>
      </w:r>
      <w:r>
        <w:t xml:space="preserve">made</w:t>
      </w:r>
      <w:r>
        <w:t xml:space="preserve"> </w:t>
      </w:r>
      <w:r>
        <w:t xml:space="preserve">with the account’s private half. A wrong string does not weaken that verification; it breaks it.</w:t>
      </w:r>
    </w:p>
    <w:p>
      <w:pPr>
        <w:pStyle w:val="BodyText"/>
      </w:pPr>
      <w:r>
        <w:t xml:space="preserve">It is written once, at deployment, by whoever calls the deploy entrypoint. Nothing reads it back</w:t>
      </w:r>
      <w:r>
        <w:t xml:space="preserve"> </w:t>
      </w:r>
      <w:r>
        <w:t xml:space="preserve">for validation. The only path that can change it afterwards is</w:t>
      </w:r>
      <w:r>
        <w:t xml:space="preserve"> </w:t>
      </w:r>
      <w:r>
        <w:rPr>
          <w:rStyle w:val="VerbatimChar"/>
        </w:rPr>
        <w:t xml:space="preserve">DALOS::A_UpdatePublicKey</w:t>
      </w:r>
      <w:r>
        <w:t xml:space="preserve">, which is</w:t>
      </w:r>
      <w:r>
        <w:t xml:space="preserve"> </w:t>
      </w:r>
      <w:r>
        <w:rPr>
          <w:rStyle w:val="VerbatimChar"/>
        </w:rPr>
        <w:t xml:space="preserve">GOV|DALOS_ADMIN</w:t>
      </w:r>
      <w:r>
        <w:t xml:space="preserve">-only</w:t>
      </w:r>
      <w:r>
        <w:t xml:space="preserve"> </w:t>
      </w:r>
      <w:r>
        <w:rPr>
          <w:b/>
          <w:bCs/>
        </w:rPr>
        <w:t xml:space="preserve">by design</w:t>
      </w:r>
      <w:r>
        <w:t xml:space="preserve"> </w:t>
      </w:r>
      <w:r>
        <w:t xml:space="preserve">— there is deliberately no client path, because the field is</w:t>
      </w:r>
      <w:r>
        <w:t xml:space="preserve"> </w:t>
      </w:r>
      <w:r>
        <w:t xml:space="preserve">account identity rather than account preference.</w:t>
      </w:r>
    </w:p>
    <w:bookmarkEnd w:id="319"/>
    <w:bookmarkStart w:id="320" w:name="why-the-chain-cannot-check-it"/>
    <w:p>
      <w:pPr>
        <w:pStyle w:val="Heading3"/>
      </w:pPr>
      <w:r>
        <w:t xml:space="preserve">Why the chain cannot check it</w:t>
      </w:r>
    </w:p>
    <w:p>
      <w:pPr>
        <w:pStyle w:val="FirstParagraph"/>
      </w:pPr>
      <w:r>
        <w:t xml:space="preserve">Three independent routes were examined, and each is closed:</w:t>
      </w:r>
    </w:p>
    <w:p>
      <w:pPr>
        <w:pStyle w:val="Compact"/>
        <w:numPr>
          <w:ilvl w:val="0"/>
          <w:numId w:val="1060"/>
        </w:numPr>
      </w:pPr>
      <w:r>
        <w:rPr>
          <w:b/>
          <w:bCs/>
        </w:rPr>
        <w:t xml:space="preserve">Verify a signature under the claimed key.</w:t>
      </w:r>
      <w:r>
        <w:t xml:space="preserve"> </w:t>
      </w:r>
      <w:r>
        <w:t xml:space="preserve">Pact can enforce Kadena ed25519 and WebAuthn</w:t>
      </w:r>
      <w:r>
        <w:t xml:space="preserve"> </w:t>
      </w:r>
      <w:r>
        <w:t xml:space="preserve">signatures and nothing else. There is no native that verifies a signature under a caller-supplied</w:t>
      </w:r>
      <w:r>
        <w:t xml:space="preserve"> </w:t>
      </w:r>
      <w:r>
        <w:t xml:space="preserve">foreign keypair, so the account cannot be made to prove it holds the private half.</w:t>
      </w:r>
    </w:p>
    <w:p>
      <w:pPr>
        <w:pStyle w:val="Compact"/>
        <w:numPr>
          <w:ilvl w:val="0"/>
          <w:numId w:val="1060"/>
        </w:numPr>
      </w:pPr>
      <w:r>
        <w:rPr>
          <w:b/>
          <w:bCs/>
        </w:rPr>
        <w:t xml:space="preserve">Derive it from the guard.</w:t>
      </w:r>
      <w:r>
        <w:t xml:space="preserve"> </w:t>
      </w:r>
      <w:r>
        <w:rPr>
          <w:rStyle w:val="VerbatimChar"/>
        </w:rPr>
        <w:t xml:space="preserve">create-principal</w:t>
      </w:r>
      <w:r>
        <w:t xml:space="preserve"> </w:t>
      </w:r>
      <w:r>
        <w:t xml:space="preserve">does reach a key — this codebase already uses it</w:t>
      </w:r>
      <w:r>
        <w:t xml:space="preserve"> </w:t>
      </w:r>
      <w:r>
        <w:t xml:space="preserve">in</w:t>
      </w:r>
      <w:r>
        <w:t xml:space="preserve"> </w:t>
      </w:r>
      <w:r>
        <w:rPr>
          <w:rStyle w:val="VerbatimChar"/>
        </w:rPr>
        <w:t xml:space="preserve">UC_GuardProtocol</w:t>
      </w:r>
      <w:r>
        <w:t xml:space="preserve"> </w:t>
      </w:r>
      <w:r>
        <w:t xml:space="preserve">to classify guards as</w:t>
      </w:r>
      <w:r>
        <w:t xml:space="preserve"> </w:t>
      </w:r>
      <w:r>
        <w:rPr>
          <w:rStyle w:val="VerbatimChar"/>
        </w:rPr>
        <w:t xml:space="preserve">k:</w:t>
      </w:r>
      <w:r>
        <w:t xml:space="preserve"> </w:t>
      </w:r>
      <w:r>
        <w:t xml:space="preserve">/</w:t>
      </w:r>
      <w:r>
        <w:t xml:space="preserve"> </w:t>
      </w:r>
      <w:r>
        <w:rPr>
          <w:rStyle w:val="VerbatimChar"/>
        </w:rPr>
        <w:t xml:space="preserve">w:</w:t>
      </w:r>
      <w:r>
        <w:t xml:space="preserve"> </w:t>
      </w:r>
      <w:r>
        <w:t xml:space="preserve">/</w:t>
      </w:r>
      <w:r>
        <w:t xml:space="preserve"> </w:t>
      </w:r>
      <w:r>
        <w:rPr>
          <w:rStyle w:val="VerbatimChar"/>
        </w:rPr>
        <w:t xml:space="preserve">r:</w:t>
      </w:r>
      <w:r>
        <w:t xml:space="preserve"> </w:t>
      </w:r>
      <w:r>
        <w:t xml:space="preserve">/</w:t>
      </w:r>
      <w:r>
        <w:t xml:space="preserve"> </w:t>
      </w:r>
      <w:r>
        <w:rPr>
          <w:rStyle w:val="VerbatimChar"/>
        </w:rPr>
        <w:t xml:space="preserve">u:</w:t>
      </w:r>
      <w:r>
        <w:t xml:space="preserve"> </w:t>
      </w:r>
      <w:r>
        <w:t xml:space="preserve">/</w:t>
      </w:r>
      <w:r>
        <w:t xml:space="preserve"> </w:t>
      </w:r>
      <w:r>
        <w:rPr>
          <w:rStyle w:val="VerbatimChar"/>
        </w:rPr>
        <w:t xml:space="preserve">c:</w:t>
      </w:r>
      <w:r>
        <w:t xml:space="preserve"> </w:t>
      </w:r>
      <w:r>
        <w:t xml:space="preserve">/</w:t>
      </w:r>
      <w:r>
        <w:t xml:space="preserve"> </w:t>
      </w:r>
      <w:r>
        <w:rPr>
          <w:rStyle w:val="VerbatimChar"/>
        </w:rPr>
        <w:t xml:space="preserve">m:</w:t>
      </w:r>
      <w:r>
        <w:t xml:space="preserve"> </w:t>
      </w:r>
      <w:r>
        <w:t xml:space="preserve">/</w:t>
      </w:r>
      <w:r>
        <w:t xml:space="preserve"> </w:t>
      </w:r>
      <w:r>
        <w:rPr>
          <w:rStyle w:val="VerbatimChar"/>
        </w:rPr>
        <w:t xml:space="preserve">p:</w:t>
      </w:r>
      <w:r>
        <w:t xml:space="preserve">. But</w:t>
      </w:r>
      <w:r>
        <w:t xml:space="preserve"> </w:t>
      </w:r>
      <w:r>
        <w:t xml:space="preserve">the key it reaches is the</w:t>
      </w:r>
      <w:r>
        <w:t xml:space="preserve"> </w:t>
      </w:r>
      <w:r>
        <w:rPr>
          <w:b/>
          <w:bCs/>
        </w:rPr>
        <w:t xml:space="preserve">Kadena</w:t>
      </w:r>
      <w:r>
        <w:t xml:space="preserve"> </w:t>
      </w:r>
      <w:r>
        <w:t xml:space="preserve">key.</w:t>
      </w:r>
      <w:r>
        <w:t xml:space="preserve"> </w:t>
      </w:r>
      <w:r>
        <w:rPr>
          <w:rStyle w:val="VerbatimChar"/>
        </w:rPr>
        <w:t xml:space="preserve">public</w:t>
      </w:r>
      <w:r>
        <w:t xml:space="preserve"> </w:t>
      </w:r>
      <w:r>
        <w:t xml:space="preserve">is a different keypair with no arithmetic</w:t>
      </w:r>
      <w:r>
        <w:t xml:space="preserve"> </w:t>
      </w:r>
      <w:r>
        <w:t xml:space="preserve">relationship to it, so the principal tells you nothing about the field.</w:t>
      </w:r>
    </w:p>
    <w:p>
      <w:pPr>
        <w:pStyle w:val="Compact"/>
        <w:numPr>
          <w:ilvl w:val="0"/>
          <w:numId w:val="1060"/>
        </w:numPr>
      </w:pPr>
      <w:r>
        <w:rPr>
          <w:b/>
          <w:bCs/>
        </w:rPr>
        <w:t xml:space="preserve">Derive it from the account name.</w:t>
      </w:r>
      <w:r>
        <w:t xml:space="preserve"> </w:t>
      </w:r>
      <w:r>
        <w:t xml:space="preserve">Ouronet account names are 162 characters,</w:t>
      </w:r>
      <w:r>
        <w:t xml:space="preserve"> </w:t>
      </w:r>
      <w:r>
        <w:rPr>
          <w:rStyle w:val="VerbatimChar"/>
        </w:rPr>
        <w:t xml:space="preserve">Ѻ.</w:t>
      </w:r>
      <w:r>
        <w:t xml:space="preserve"> </w:t>
      </w:r>
      <w:r>
        <w:t xml:space="preserve">or</w:t>
      </w:r>
      <w:r>
        <w:t xml:space="preserve"> </w:t>
      </w:r>
      <w:r>
        <w:rPr>
          <w:rStyle w:val="VerbatimChar"/>
        </w:rPr>
        <w:t xml:space="preserve">Σ.</w:t>
      </w:r>
      <w:r>
        <w:t xml:space="preserve"> </w:t>
      </w:r>
      <w:r>
        <w:t xml:space="preserve">plus</w:t>
      </w:r>
      <w:r>
        <w:t xml:space="preserve"> </w:t>
      </w:r>
      <w:r>
        <w:t xml:space="preserve">a 160-glyph body, and</w:t>
      </w:r>
      <w:r>
        <w:t xml:space="preserve"> </w:t>
      </w:r>
      <w:r>
        <w:rPr>
          <w:rStyle w:val="VerbatimChar"/>
        </w:rPr>
        <w:t xml:space="preserve">GLYPH|UEV_DalosAccount</w:t>
      </w:r>
      <w:r>
        <w:t xml:space="preserve"> </w:t>
      </w:r>
      <w:r>
        <w:t xml:space="preserve">validates exactly that. The name is not a hash or</w:t>
      </w:r>
      <w:r>
        <w:t xml:space="preserve"> </w:t>
      </w:r>
      <w:r>
        <w:t xml:space="preserve">an encoding of</w:t>
      </w:r>
      <w:r>
        <w:t xml:space="preserve"> </w:t>
      </w:r>
      <w:r>
        <w:rPr>
          <w:rStyle w:val="VerbatimChar"/>
        </w:rPr>
        <w:t xml:space="preserve">public</w:t>
      </w:r>
      <w:r>
        <w:t xml:space="preserve">; the two are independent strings. There is no relationship to check.</w:t>
      </w:r>
    </w:p>
    <w:p>
      <w:pPr>
        <w:pStyle w:val="FirstParagraph"/>
      </w:pPr>
      <w:r>
        <w:t xml:space="preserve">So the property</w:t>
      </w:r>
      <w:r>
        <w:t xml:space="preserve"> </w:t>
      </w:r>
      <w:r>
        <w:rPr>
          <w:i/>
          <w:iCs/>
        </w:rPr>
        <w:t xml:space="preserve">“the</w:t>
      </w:r>
      <w:r>
        <w:rPr>
          <w:i/>
          <w:iCs/>
        </w:rPr>
        <w:t xml:space="preserve"> </w:t>
      </w:r>
      <w:r>
        <w:rPr>
          <w:rStyle w:val="VerbatimChar"/>
          <w:i/>
          <w:iCs/>
        </w:rPr>
        <w:t xml:space="preserve">public</w:t>
      </w:r>
      <w:r>
        <w:rPr>
          <w:i/>
          <w:iCs/>
        </w:rPr>
        <w:t xml:space="preserve"> </w:t>
      </w:r>
      <w:r>
        <w:rPr>
          <w:i/>
          <w:iCs/>
        </w:rPr>
        <w:t xml:space="preserve">on this account is the public half of a keypair its owner holds”</w:t>
      </w:r>
      <w:r>
        <w:t xml:space="preserve"> </w:t>
      </w:r>
      <w:r>
        <w:t xml:space="preserve">is</w:t>
      </w:r>
      <w:r>
        <w:t xml:space="preserve"> </w:t>
      </w:r>
      <w:r>
        <w:rPr>
          <w:b/>
          <w:bCs/>
        </w:rPr>
        <w:t xml:space="preserve">unenforceable on this blockchain</w:t>
      </w:r>
      <w:r>
        <w:t xml:space="preserve">. Not difficult — unavailable.</w:t>
      </w:r>
    </w:p>
    <w:bookmarkEnd w:id="320"/>
    <w:bookmarkStart w:id="321" w:name="what-that-means-in-practice"/>
    <w:p>
      <w:pPr>
        <w:pStyle w:val="Heading3"/>
      </w:pPr>
      <w:r>
        <w:t xml:space="preserve">What that means in practice</w:t>
      </w:r>
    </w:p>
    <w:p>
      <w:pPr>
        <w:pStyle w:val="FirstParagraph"/>
      </w:pPr>
      <w:r>
        <w:t xml:space="preserve">Through the Ouronet UI the field is correct by construction: the client generates the keypair and</w:t>
      </w:r>
      <w:r>
        <w:t xml:space="preserve"> </w:t>
      </w:r>
      <w:r>
        <w:t xml:space="preserve">supplies the public half, and the user never types it. The exposure is the</w:t>
      </w:r>
      <w:r>
        <w:t xml:space="preserve"> </w:t>
      </w:r>
      <w:r>
        <w:rPr>
          <w:b/>
          <w:bCs/>
        </w:rPr>
        <w:t xml:space="preserve">console</w:t>
      </w:r>
      <w:r>
        <w:t xml:space="preserve">, or any</w:t>
      </w:r>
      <w:r>
        <w:t xml:space="preserve"> </w:t>
      </w:r>
      <w:r>
        <w:t xml:space="preserve">hand-built transaction: the deploy entrypoints accept any string, so an account can be created</w:t>
      </w:r>
      <w:r>
        <w:t xml:space="preserve"> </w:t>
      </w:r>
      <w:r>
        <w:t xml:space="preserve">carrying a key nobody holds, or — the sharper case — a</w:t>
      </w:r>
      <w:r>
        <w:t xml:space="preserve"> </w:t>
      </w:r>
      <w:r>
        <w:rPr>
          <w:b/>
          <w:bCs/>
        </w:rPr>
        <w:t xml:space="preserve">well-formed key belonging to somebody</w:t>
      </w:r>
      <w:r>
        <w:rPr>
          <w:b/>
          <w:bCs/>
        </w:rPr>
        <w:t xml:space="preserve"> </w:t>
      </w:r>
      <w:r>
        <w:rPr>
          <w:b/>
          <w:bCs/>
        </w:rPr>
        <w:t xml:space="preserve">else</w:t>
      </w:r>
      <w:r>
        <w:t xml:space="preserve">, which would publish a recipient the account’s owner cannot read.</w:t>
      </w:r>
    </w:p>
    <w:p>
      <w:pPr>
        <w:pStyle w:val="BodyText"/>
      </w:pPr>
      <w:r>
        <w:t xml:space="preserve">The loss is borne by the account itself in the first case and by its correspondents in the second.</w:t>
      </w:r>
      <w:r>
        <w:t xml:space="preserve"> </w:t>
      </w:r>
      <w:r>
        <w:t xml:space="preserve">No funds are reachable through it:</w:t>
      </w:r>
      <w:r>
        <w:t xml:space="preserve"> </w:t>
      </w:r>
      <w:r>
        <w:rPr>
          <w:rStyle w:val="VerbatimChar"/>
        </w:rPr>
        <w:t xml:space="preserve">public</w:t>
      </w:r>
      <w:r>
        <w:t xml:space="preserve"> </w:t>
      </w:r>
      <w:r>
        <w:t xml:space="preserve">gates nothing on-chain, holds no authority, and is</w:t>
      </w:r>
      <w:r>
        <w:t xml:space="preserve"> </w:t>
      </w:r>
      <w:r>
        <w:t xml:space="preserve">consulted by no capability — the Schnorr verification it serves happens off-chain, in the client. It is a</w:t>
      </w:r>
      <w:r>
        <w:t xml:space="preserve"> </w:t>
      </w:r>
      <w:r>
        <w:rPr>
          <w:i/>
          <w:iCs/>
        </w:rPr>
        <w:t xml:space="preserve">correctness</w:t>
      </w:r>
      <w:r>
        <w:t xml:space="preserve"> </w:t>
      </w:r>
      <w:r>
        <w:t xml:space="preserve">property of account identity, not an</w:t>
      </w:r>
      <w:r>
        <w:t xml:space="preserve"> </w:t>
      </w:r>
      <w:r>
        <w:t xml:space="preserve">authorisation one — which is why the system stays safe without it and merely becomes wrong for that</w:t>
      </w:r>
      <w:r>
        <w:t xml:space="preserve"> </w:t>
      </w:r>
      <w:r>
        <w:t xml:space="preserve">account.</w:t>
      </w:r>
    </w:p>
    <w:p>
      <w:pPr>
        <w:pStyle w:val="BodyText"/>
      </w:pPr>
      <w:r>
        <w:rPr>
          <w:b/>
          <w:bCs/>
        </w:rPr>
        <w:t xml:space="preserve">The remedy exists and is the admin override.</w:t>
      </w:r>
      <w:r>
        <w:t xml:space="preserve"> </w:t>
      </w:r>
      <w:r>
        <w:t xml:space="preserve">An account created with a bad key is repaired by</w:t>
      </w:r>
      <w:r>
        <w:t xml:space="preserve"> </w:t>
      </w:r>
      <w:r>
        <w:rPr>
          <w:rStyle w:val="VerbatimChar"/>
        </w:rPr>
        <w:t xml:space="preserve">A_UpdatePublicKey</w:t>
      </w:r>
      <w:r>
        <w:t xml:space="preserve">, and since that is the only writer, the repair is as authoritative as the</w:t>
      </w:r>
      <w:r>
        <w:t xml:space="preserve"> </w:t>
      </w:r>
      <w:r>
        <w:t xml:space="preserve">original write.</w:t>
      </w:r>
      <w:r>
        <w:t xml:space="preserve"> </w:t>
      </w:r>
      <w:r>
        <w:rPr>
          <w:b/>
          <w:bCs/>
        </w:rPr>
        <w:t xml:space="preserve">This is accepted, not unresolved</w:t>
      </w:r>
      <w:r>
        <w:t xml:space="preserve"> </w:t>
      </w:r>
      <w:r>
        <w:t xml:space="preserve">— the owner’s position, and the audit’s:</w:t>
      </w:r>
      <w:r>
        <w:t xml:space="preserve"> </w:t>
      </w:r>
      <w:r>
        <w:t xml:space="preserve">enforcement is impossible, detection is off-chain, and the correction path is present and</w:t>
      </w:r>
      <w:r>
        <w:t xml:space="preserve"> </w:t>
      </w:r>
      <w:r>
        <w:t xml:space="preserve">exclusive.</w:t>
      </w:r>
    </w:p>
    <w:bookmarkEnd w:id="321"/>
    <w:bookmarkStart w:id="322" w:name="X2d112d83bf1cc13e753bc070e03c1f1acd5525c"/>
    <w:p>
      <w:pPr>
        <w:pStyle w:val="Heading3"/>
      </w:pPr>
      <w:r>
        <w:t xml:space="preserve">The part that is NOT closed, and is offered as an open recommendation</w:t>
      </w:r>
    </w:p>
    <w:p>
      <w:pPr>
        <w:pStyle w:val="FirstParagraph"/>
      </w:pPr>
      <w:r>
        <w:t xml:space="preserve">The three routes above rule out proving</w:t>
      </w:r>
      <w:r>
        <w:t xml:space="preserve"> </w:t>
      </w:r>
      <w:r>
        <w:rPr>
          <w:b/>
          <w:bCs/>
        </w:rPr>
        <w:t xml:space="preserve">ownership</w:t>
      </w:r>
      <w:r>
        <w:t xml:space="preserve"> </w:t>
      </w:r>
      <w:r>
        <w:t xml:space="preserve">of the key. They do not rule out checking its</w:t>
      </w:r>
      <w:r>
        <w:t xml:space="preserve"> </w:t>
      </w:r>
      <w:r>
        <w:rPr>
          <w:b/>
          <w:bCs/>
        </w:rPr>
        <w:t xml:space="preserve">shape</w:t>
      </w:r>
      <w:r>
        <w:t xml:space="preserve"> </w:t>
      </w:r>
      <w:r>
        <w:t xml:space="preserve">— and the shape is regular: a fixed prefix, a narrow length band, a 50-symbol alphabet.</w:t>
      </w:r>
      <w:r>
        <w:t xml:space="preserve"> </w:t>
      </w:r>
      <w:r>
        <w:t xml:space="preserve">The codebase already performs precisely this class of check on the field sitting beside it, in the</w:t>
      </w:r>
      <w:r>
        <w:t xml:space="preserve"> </w:t>
      </w:r>
      <w:r>
        <w:t xml:space="preserve">same insert:</w:t>
      </w:r>
      <w:r>
        <w:t xml:space="preserve"> </w:t>
      </w:r>
      <w:r>
        <w:rPr>
          <w:rStyle w:val="VerbatimChar"/>
        </w:rPr>
        <w:t xml:space="preserve">GLYPH|UEV_DalosAccount</w:t>
      </w:r>
      <w:r>
        <w:t xml:space="preserve"> </w:t>
      </w:r>
      <w:r>
        <w:t xml:space="preserve">enforces the account name’s length, prefix, separator and</w:t>
      </w:r>
      <w:r>
        <w:t xml:space="preserve"> </w:t>
      </w:r>
      <w:r>
        <w:t xml:space="preserve">charset.</w:t>
      </w:r>
      <w:r>
        <w:t xml:space="preserve"> </w:t>
      </w:r>
      <w:r>
        <w:rPr>
          <w:rStyle w:val="VerbatimChar"/>
          <w:b/>
          <w:bCs/>
        </w:rPr>
        <w:t xml:space="preserve">public</w:t>
      </w:r>
      <w:r>
        <w:rPr>
          <w:b/>
          <w:bCs/>
        </w:rPr>
        <w:t xml:space="preserve"> </w:t>
      </w:r>
      <w:r>
        <w:rPr>
          <w:b/>
          <w:bCs/>
        </w:rPr>
        <w:t xml:space="preserve">is the one account field admitted with no shape check at all.</w:t>
      </w:r>
    </w:p>
    <w:p>
      <w:pPr>
        <w:pStyle w:val="BodyText"/>
      </w:pPr>
      <w:r>
        <w:t xml:space="preserve">Adding one would not make the key provably the owner’s — that remains impossible. It would collapse</w:t>
      </w:r>
      <w:r>
        <w:t xml:space="preserve"> </w:t>
      </w:r>
      <w:r>
        <w:t xml:space="preserve">the accidental case (a truncated paste, a wrong field, an empty string, a Kadena key pasted where an</w:t>
      </w:r>
      <w:r>
        <w:t xml:space="preserve"> </w:t>
      </w:r>
      <w:r>
        <w:t xml:space="preserve">Ouronet key belongs) from</w:t>
      </w:r>
      <w:r>
        <w:t xml:space="preserve"> </w:t>
      </w:r>
      <w:r>
        <w:rPr>
          <w:i/>
          <w:iCs/>
        </w:rPr>
        <w:t xml:space="preserve">silently permanent</w:t>
      </w:r>
      <w:r>
        <w:t xml:space="preserve"> </w:t>
      </w:r>
      <w:r>
        <w:t xml:space="preserve">to</w:t>
      </w:r>
      <w:r>
        <w:t xml:space="preserve"> </w:t>
      </w:r>
      <w:r>
        <w:rPr>
          <w:i/>
          <w:iCs/>
        </w:rPr>
        <w:t xml:space="preserve">refused at the door</w:t>
      </w:r>
      <w:r>
        <w:t xml:space="preserve">, leaving only the deliberate</w:t>
      </w:r>
      <w:r>
        <w:t xml:space="preserve"> </w:t>
      </w:r>
      <w:r>
        <w:t xml:space="preserve">substitution of a well-formed foreign key — which is self-harming in the ordinary case and, being</w:t>
      </w:r>
      <w:r>
        <w:t xml:space="preserve"> </w:t>
      </w:r>
      <w:r>
        <w:t xml:space="preserve">deliberate, is the part no validation could have stopped anyway.</w:t>
      </w:r>
    </w:p>
    <w:p>
      <w:pPr>
        <w:pStyle w:val="BodyText"/>
      </w:pPr>
      <w:r>
        <w:t xml:space="preserve">Recorded here as a recommendation rather than a change: it narrows the window, it does not close it,</w:t>
      </w:r>
      <w:r>
        <w:t xml:space="preserve"> </w:t>
      </w:r>
      <w:r>
        <w:t xml:space="preserve">and the distinction is the whole point of this section.</w:t>
      </w:r>
    </w:p>
    <w:p>
      <w:r>
        <w:pict>
          <v:rect style="width:0;height:1.5pt" o:hralign="center" o:hrstd="t" o:hr="t"/>
        </w:pict>
      </w:r>
    </w:p>
    <w:bookmarkEnd w:id="322"/>
    <w:bookmarkEnd w:id="323"/>
    <w:bookmarkEnd w:id="324"/>
    <w:bookmarkStart w:id="335"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9" w:name="tier-1-money"/>
    <w:p>
      <w:pPr>
        <w:pStyle w:val="Heading2"/>
      </w:pPr>
      <w:r>
        <w:t xml:space="preserve">Tier 1 — Money</w:t>
      </w:r>
    </w:p>
    <w:bookmarkStart w:id="325"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5"/>
    <w:bookmarkStart w:id="326"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6"/>
    <w:bookmarkStart w:id="327"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7"/>
    <w:bookmarkStart w:id="328"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8"/>
    <w:bookmarkEnd w:id="329"/>
    <w:bookmarkStart w:id="333" w:name="Xef96a2b1e015dc636878a34ca6f6fbd4de55ba5"/>
    <w:p>
      <w:pPr>
        <w:pStyle w:val="Heading2"/>
      </w:pPr>
      <w:r>
        <w:t xml:space="preserve">Tier 2 — The protocol lying about what it did</w:t>
      </w:r>
    </w:p>
    <w:bookmarkStart w:id="330"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30"/>
    <w:bookmarkStart w:id="331"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31"/>
    <w:bookmarkStart w:id="332"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32"/>
    <w:bookmarkEnd w:id="333"/>
    <w:bookmarkStart w:id="334"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34"/>
    <w:bookmarkEnd w:id="335"/>
    <w:bookmarkStart w:id="385"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41" w:name="family-a-arithmetic-and-value"/>
    <w:p>
      <w:pPr>
        <w:pStyle w:val="Heading2"/>
      </w:pPr>
      <w:r>
        <w:t xml:space="preserve">Family A — Arithmetic and value</w:t>
      </w:r>
    </w:p>
    <w:bookmarkStart w:id="336"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6"/>
    <w:bookmarkStart w:id="337"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7"/>
    <w:bookmarkStart w:id="338"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8"/>
    <w:bookmarkStart w:id="339"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9"/>
    <w:bookmarkStart w:id="340"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40"/>
    <w:bookmarkEnd w:id="341"/>
    <w:bookmarkStart w:id="344" w:name="family-b-permissionless-reach"/>
    <w:p>
      <w:pPr>
        <w:pStyle w:val="Heading2"/>
      </w:pPr>
      <w:r>
        <w:t xml:space="preserve">Family B — Permissionless reach</w:t>
      </w:r>
    </w:p>
    <w:bookmarkStart w:id="342"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42"/>
    <w:bookmarkStart w:id="343"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43"/>
    <w:bookmarkEnd w:id="344"/>
    <w:bookmarkStart w:id="346" w:name="family-c-admin-impersonation"/>
    <w:p>
      <w:pPr>
        <w:pStyle w:val="Heading2"/>
      </w:pPr>
      <w:r>
        <w:t xml:space="preserve">Family C — Admin impersonation</w:t>
      </w:r>
    </w:p>
    <w:bookmarkStart w:id="345"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5"/>
    <w:bookmarkEnd w:id="346"/>
    <w:bookmarkStart w:id="354" w:name="family-d-ownership-bypass"/>
    <w:p>
      <w:pPr>
        <w:pStyle w:val="Heading2"/>
      </w:pPr>
      <w:r>
        <w:t xml:space="preserve">Family D — Ownership bypass</w:t>
      </w:r>
    </w:p>
    <w:bookmarkStart w:id="347"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7"/>
    <w:bookmarkStart w:id="348"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8"/>
    <w:bookmarkStart w:id="349"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9"/>
    <w:bookmarkStart w:id="350"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50"/>
    <w:bookmarkStart w:id="351"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51"/>
    <w:bookmarkStart w:id="352"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52"/>
    <w:bookmarkStart w:id="353"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53"/>
    <w:bookmarkEnd w:id="354"/>
    <w:bookmarkStart w:id="358" w:name="family-e-sequencing-and-state"/>
    <w:p>
      <w:pPr>
        <w:pStyle w:val="Heading2"/>
      </w:pPr>
      <w:r>
        <w:t xml:space="preserve">Family E — Sequencing and state</w:t>
      </w:r>
    </w:p>
    <w:bookmarkStart w:id="355"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5"/>
    <w:bookmarkStart w:id="356"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6"/>
    <w:bookmarkStart w:id="357"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7"/>
    <w:bookmarkEnd w:id="358"/>
    <w:bookmarkStart w:id="361" w:name="family-f-griefing-and-denial-of-service"/>
    <w:p>
      <w:pPr>
        <w:pStyle w:val="Heading2"/>
      </w:pPr>
      <w:r>
        <w:t xml:space="preserve">Family F — Griefing and denial of service</w:t>
      </w:r>
    </w:p>
    <w:bookmarkStart w:id="359"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9"/>
    <w:bookmarkStart w:id="360"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60"/>
    <w:bookmarkEnd w:id="361"/>
    <w:bookmarkStart w:id="364" w:name="family-g-hostile-citizen-module"/>
    <w:p>
      <w:pPr>
        <w:pStyle w:val="Heading2"/>
      </w:pPr>
      <w:r>
        <w:t xml:space="preserve">Family G — Hostile citizen module</w:t>
      </w:r>
    </w:p>
    <w:bookmarkStart w:id="362"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62"/>
    <w:bookmarkStart w:id="363"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63"/>
    <w:bookmarkEnd w:id="364"/>
    <w:bookmarkStart w:id="368" w:name="family-h-input-domain"/>
    <w:p>
      <w:pPr>
        <w:pStyle w:val="Heading2"/>
      </w:pPr>
      <w:r>
        <w:t xml:space="preserve">Family H — Input domain</w:t>
      </w:r>
    </w:p>
    <w:bookmarkStart w:id="365"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5"/>
    <w:bookmarkStart w:id="366"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6"/>
    <w:bookmarkStart w:id="367"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7"/>
    <w:bookmarkEnd w:id="368"/>
    <w:bookmarkStart w:id="371" w:name="family-i-gas-station-payable-surface"/>
    <w:p>
      <w:pPr>
        <w:pStyle w:val="Heading2"/>
      </w:pPr>
      <w:r>
        <w:t xml:space="preserve">Family I — Gas-station payable surface</w:t>
      </w:r>
    </w:p>
    <w:bookmarkStart w:id="369"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9"/>
    <w:bookmarkStart w:id="370"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70"/>
    <w:bookmarkEnd w:id="371"/>
    <w:bookmarkStart w:id="375" w:name="family-j-ledger-conservation"/>
    <w:p>
      <w:pPr>
        <w:pStyle w:val="Heading2"/>
      </w:pPr>
      <w:r>
        <w:t xml:space="preserve">Family J — Ledger conservation</w:t>
      </w:r>
    </w:p>
    <w:bookmarkStart w:id="372"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72"/>
    <w:bookmarkStart w:id="373"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73"/>
    <w:bookmarkStart w:id="374"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74"/>
    <w:bookmarkEnd w:id="375"/>
    <w:bookmarkStart w:id="384" w:name="family-k-previewexecution-divergence"/>
    <w:p>
      <w:pPr>
        <w:pStyle w:val="Heading2"/>
      </w:pPr>
      <w:r>
        <w:t xml:space="preserve">Family K — Preview/execution divergence</w:t>
      </w:r>
    </w:p>
    <w:bookmarkStart w:id="376"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6"/>
    <w:bookmarkStart w:id="377"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7"/>
    <w:bookmarkStart w:id="378"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8"/>
    <w:bookmarkStart w:id="379"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9"/>
    <w:bookmarkStart w:id="380"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80"/>
    <w:bookmarkStart w:id="381"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81"/>
    <w:bookmarkStart w:id="382"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82"/>
    <w:bookmarkStart w:id="383"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83"/>
    <w:bookmarkEnd w:id="384"/>
    <w:bookmarkEnd w:id="385"/>
    <w:bookmarkStart w:id="397"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6"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6"/>
    <w:bookmarkStart w:id="387"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7"/>
    <w:bookmarkStart w:id="388"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8"/>
    <w:bookmarkStart w:id="389"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9"/>
    <w:bookmarkStart w:id="390"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1"/>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1"/>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90"/>
    <w:bookmarkStart w:id="391"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91"/>
    <w:bookmarkStart w:id="392"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92"/>
    <w:bookmarkStart w:id="393"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93"/>
    <w:bookmarkStart w:id="394"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94"/>
    <w:bookmarkStart w:id="395"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5"/>
    <w:bookmarkStart w:id="396"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25,631</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6"/>
    <w:bookmarkEnd w:id="397"/>
    <w:bookmarkStart w:id="408"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8"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8"/>
    <w:bookmarkStart w:id="400"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9"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9"/>
    <w:bookmarkEnd w:id="400"/>
    <w:bookmarkStart w:id="401"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401"/>
    <w:bookmarkStart w:id="402"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402"/>
    <w:bookmarkStart w:id="403"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403"/>
    <w:bookmarkStart w:id="404"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404"/>
    <w:bookmarkStart w:id="405"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5"/>
    <w:bookmarkStart w:id="406"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“86 of 167 witnessed”</w:t>
      </w:r>
      <w:r>
        <w:t xml:space="preserve"> </w:t>
      </w:r>
      <w:r>
        <w:t xml:space="preserve">from</w:t>
      </w:r>
      <w:r>
        <w:t xml:space="preserve"> </w:t>
      </w:r>
      <w:r>
        <w:rPr>
          <w:i/>
          <w:iCs/>
        </w:rPr>
        <w:t xml:space="preserve">“86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2"/>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2"/>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6"/>
    <w:bookmarkStart w:id="407"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7"/>
    <w:bookmarkEnd w:id="408"/>
    <w:bookmarkStart w:id="414"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9"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9"/>
    <w:bookmarkStart w:id="410"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10"/>
    <w:bookmarkStart w:id="411"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3"/>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3"/>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11"/>
    <w:bookmarkStart w:id="412"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12"/>
    <w:bookmarkStart w:id="413"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4"/>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4"/>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4"/>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4"/>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4"/>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13"/>
    <w:bookmarkEnd w:id="414"/>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2026-09-21T20:39:02Z</dcterms:created>
  <dcterms:modified xsi:type="dcterms:W3CDTF">2026-09-21T20:39:02Z</dcterms:modified>
</cp:coreProperties>
</file>

<file path=docProps/custom.xml><?xml version="1.0" encoding="utf-8"?>
<Properties xmlns="http://schemas.openxmlformats.org/officeDocument/2006/custom-properties" xmlns:vt="http://schemas.openxmlformats.org/officeDocument/2006/docPropsVTypes"/>
</file>