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4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55"/>
        <w:gridCol w:w="4856"/>
        <w:gridCol w:w="4856"/>
      </w:tblGrid>
      <w:tr w:rsidR="00037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  <w:tblHeader/>
        </w:trPr>
        <w:tc>
          <w:tcPr>
            <w:tcW w:w="485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037C49"/>
        </w:tc>
        <w:tc>
          <w:tcPr>
            <w:tcW w:w="4855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3"/>
              <w:jc w:val="center"/>
            </w:pPr>
            <w:r>
              <w:rPr>
                <w:b/>
                <w:bCs/>
                <w:sz w:val="30"/>
                <w:szCs w:val="30"/>
              </w:rPr>
              <w:t>Facteurs Positifs</w:t>
            </w:r>
          </w:p>
        </w:tc>
        <w:tc>
          <w:tcPr>
            <w:tcW w:w="485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3"/>
              <w:jc w:val="center"/>
            </w:pPr>
            <w:r>
              <w:rPr>
                <w:b/>
                <w:bCs/>
                <w:sz w:val="30"/>
                <w:szCs w:val="30"/>
              </w:rPr>
              <w:t>Facteurs N</w:t>
            </w:r>
            <w:r>
              <w:rPr>
                <w:b/>
                <w:bCs/>
                <w:sz w:val="30"/>
                <w:szCs w:val="30"/>
              </w:rPr>
              <w:t>é</w:t>
            </w:r>
            <w:r>
              <w:rPr>
                <w:b/>
                <w:bCs/>
                <w:sz w:val="30"/>
                <w:szCs w:val="30"/>
              </w:rPr>
              <w:t>gatifs</w:t>
            </w:r>
          </w:p>
        </w:tc>
      </w:tr>
      <w:tr w:rsidR="00037C4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7C49" w:rsidRDefault="00B81CFC">
            <w:pPr>
              <w:pStyle w:val="Styledetableau6"/>
              <w:jc w:val="center"/>
            </w:pPr>
            <w:r>
              <w:rPr>
                <w:b/>
                <w:bCs/>
                <w:color w:val="FEFEFE"/>
                <w:sz w:val="30"/>
                <w:szCs w:val="30"/>
              </w:rPr>
              <w:t>Diagnostic Interne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  <w:jc w:val="center"/>
            </w:pPr>
            <w:r>
              <w:rPr>
                <w:b/>
                <w:bCs/>
              </w:rPr>
              <w:t>FORCES</w:t>
            </w:r>
          </w:p>
        </w:tc>
        <w:tc>
          <w:tcPr>
            <w:tcW w:w="48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  <w:jc w:val="center"/>
            </w:pPr>
            <w:r>
              <w:rPr>
                <w:b/>
                <w:bCs/>
              </w:rPr>
              <w:t>FAIBLESSES</w:t>
            </w:r>
          </w:p>
        </w:tc>
      </w:tr>
      <w:tr w:rsidR="00037C4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3"/>
        </w:trPr>
        <w:tc>
          <w:tcPr>
            <w:tcW w:w="4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489BC9"/>
          </w:tcPr>
          <w:p w:rsidR="00037C49" w:rsidRDefault="00037C49"/>
        </w:tc>
        <w:tc>
          <w:tcPr>
            <w:tcW w:w="4855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</w:pPr>
            <w:r>
              <w:t>Exemples :</w:t>
            </w:r>
          </w:p>
          <w:p w:rsidR="00037C49" w:rsidRDefault="00037C49">
            <w:pPr>
              <w:pStyle w:val="Styledetableau2"/>
            </w:pP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>Une forte notorié</w:t>
            </w:r>
            <w:r>
              <w:t>t</w:t>
            </w:r>
            <w:r>
              <w:t xml:space="preserve">é </w:t>
            </w:r>
            <w:r>
              <w:t>;</w:t>
            </w: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>Un doublement de son chiffre d'affaires lors du dernier exercice ;</w:t>
            </w: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>Un fichier client très vaste ;</w:t>
            </w: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>Une présence internationale ;</w:t>
            </w: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 xml:space="preserve">Une page </w:t>
            </w:r>
            <w:r>
              <w:t>Facebook comptant 1 million d’</w:t>
            </w:r>
            <w:proofErr w:type="spellStart"/>
            <w:r>
              <w:rPr>
                <w:lang w:val="de-DE"/>
              </w:rPr>
              <w:t>abonn</w:t>
            </w:r>
            <w:r>
              <w:t>é</w:t>
            </w:r>
            <w:r>
              <w:t>s</w:t>
            </w:r>
            <w:proofErr w:type="spellEnd"/>
            <w:r>
              <w:t xml:space="preserve"> ;</w:t>
            </w: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 xml:space="preserve">Une qualité </w:t>
            </w:r>
            <w:r>
              <w:t>sup</w:t>
            </w:r>
            <w:r>
              <w:t>érieure ;</w:t>
            </w: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>Un prix accessible ;</w:t>
            </w:r>
          </w:p>
          <w:p w:rsidR="00037C49" w:rsidRDefault="00B81CFC">
            <w:pPr>
              <w:pStyle w:val="Styledetableau2"/>
              <w:numPr>
                <w:ilvl w:val="0"/>
                <w:numId w:val="1"/>
              </w:numPr>
            </w:pPr>
            <w:r>
              <w:t>Des fonctionnalité</w:t>
            </w:r>
            <w:r>
              <w:rPr>
                <w:lang w:val="it-IT"/>
              </w:rPr>
              <w:t xml:space="preserve">s </w:t>
            </w:r>
            <w:proofErr w:type="spellStart"/>
            <w:r>
              <w:rPr>
                <w:lang w:val="it-IT"/>
              </w:rPr>
              <w:t>innovantes</w:t>
            </w:r>
            <w:proofErr w:type="spellEnd"/>
            <w:r>
              <w:rPr>
                <w:lang w:val="it-IT"/>
              </w:rPr>
              <w:t>...</w:t>
            </w:r>
          </w:p>
        </w:tc>
        <w:tc>
          <w:tcPr>
            <w:tcW w:w="485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</w:pPr>
            <w:r>
              <w:t>Exemples :</w:t>
            </w:r>
          </w:p>
          <w:p w:rsidR="00037C49" w:rsidRDefault="00037C49">
            <w:pPr>
              <w:pStyle w:val="Styledetableau2"/>
            </w:pPr>
          </w:p>
          <w:p w:rsidR="00037C49" w:rsidRDefault="00B81CFC">
            <w:pPr>
              <w:pStyle w:val="Styledetableau2"/>
              <w:numPr>
                <w:ilvl w:val="0"/>
                <w:numId w:val="2"/>
              </w:numPr>
            </w:pPr>
            <w:r>
              <w:t>Une diminution des ventes au dernier trimestre ;</w:t>
            </w:r>
          </w:p>
          <w:p w:rsidR="00037C49" w:rsidRDefault="00B81CFC">
            <w:pPr>
              <w:pStyle w:val="Styledetableau2"/>
              <w:numPr>
                <w:ilvl w:val="0"/>
                <w:numId w:val="2"/>
              </w:numPr>
            </w:pPr>
            <w:r>
              <w:t>Une baisse de la fréquentation du site web ;</w:t>
            </w:r>
          </w:p>
          <w:p w:rsidR="00037C49" w:rsidRDefault="00B81CFC">
            <w:pPr>
              <w:pStyle w:val="Styledetableau2"/>
              <w:numPr>
                <w:ilvl w:val="0"/>
                <w:numId w:val="2"/>
              </w:numPr>
            </w:pPr>
            <w:r>
              <w:t>Une gamme de produits qui déga</w:t>
            </w:r>
            <w:r>
              <w:t>ge une marge faible ;</w:t>
            </w:r>
          </w:p>
          <w:p w:rsidR="00037C49" w:rsidRDefault="00B81CFC">
            <w:pPr>
              <w:pStyle w:val="Styledetableau2"/>
              <w:numPr>
                <w:ilvl w:val="0"/>
                <w:numId w:val="2"/>
              </w:numPr>
            </w:pPr>
            <w:r>
              <w:t>Une faible notorié</w:t>
            </w:r>
            <w:r>
              <w:t>t</w:t>
            </w:r>
            <w:r>
              <w:t xml:space="preserve">é </w:t>
            </w:r>
            <w:r>
              <w:t>;</w:t>
            </w:r>
          </w:p>
          <w:p w:rsidR="00037C49" w:rsidRDefault="00B81CFC">
            <w:pPr>
              <w:pStyle w:val="Styledetableau2"/>
              <w:numPr>
                <w:ilvl w:val="0"/>
                <w:numId w:val="2"/>
              </w:numPr>
            </w:pPr>
            <w:r>
              <w:t>Un produit bé</w:t>
            </w:r>
            <w:r>
              <w:t>n</w:t>
            </w:r>
            <w:r>
              <w:t>éficiant d'une distribution limitée ;</w:t>
            </w:r>
          </w:p>
          <w:p w:rsidR="00037C49" w:rsidRDefault="00B81CFC">
            <w:pPr>
              <w:pStyle w:val="Styledetableau2"/>
              <w:numPr>
                <w:ilvl w:val="0"/>
                <w:numId w:val="2"/>
              </w:numPr>
            </w:pPr>
            <w:r>
              <w:t>Un produit daté</w:t>
            </w:r>
            <w:r>
              <w:t>, ringard...</w:t>
            </w:r>
          </w:p>
        </w:tc>
      </w:tr>
      <w:tr w:rsidR="00037C4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37C49" w:rsidRDefault="00B81CFC">
            <w:pPr>
              <w:pStyle w:val="Styledetableau6"/>
              <w:jc w:val="center"/>
            </w:pPr>
            <w:r>
              <w:rPr>
                <w:b/>
                <w:bCs/>
                <w:color w:val="FEFEFE"/>
                <w:sz w:val="30"/>
                <w:szCs w:val="30"/>
              </w:rPr>
              <w:t>Diagnostic Externe</w:t>
            </w:r>
          </w:p>
        </w:tc>
        <w:tc>
          <w:tcPr>
            <w:tcW w:w="4855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  <w:jc w:val="center"/>
            </w:pPr>
            <w:r>
              <w:rPr>
                <w:b/>
                <w:bCs/>
              </w:rPr>
              <w:t>OPPORTUNIT</w:t>
            </w:r>
            <w:r>
              <w:rPr>
                <w:b/>
                <w:bCs/>
              </w:rPr>
              <w:t>É</w:t>
            </w:r>
            <w:r>
              <w:rPr>
                <w:b/>
                <w:bCs/>
              </w:rPr>
              <w:t>S</w:t>
            </w:r>
          </w:p>
        </w:tc>
        <w:tc>
          <w:tcPr>
            <w:tcW w:w="485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  <w:jc w:val="center"/>
            </w:pPr>
            <w:r>
              <w:rPr>
                <w:b/>
                <w:bCs/>
              </w:rPr>
              <w:t>MENACES</w:t>
            </w:r>
          </w:p>
        </w:tc>
      </w:tr>
      <w:tr w:rsidR="00037C4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4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489BC9"/>
          </w:tcPr>
          <w:p w:rsidR="00037C49" w:rsidRDefault="00037C49"/>
        </w:tc>
        <w:tc>
          <w:tcPr>
            <w:tcW w:w="485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</w:pPr>
            <w:r>
              <w:t>Exemples :</w:t>
            </w:r>
          </w:p>
          <w:p w:rsidR="00037C49" w:rsidRDefault="00037C49">
            <w:pPr>
              <w:pStyle w:val="Styledetableau2"/>
            </w:pPr>
          </w:p>
          <w:p w:rsidR="00037C49" w:rsidRDefault="00B81CFC">
            <w:pPr>
              <w:pStyle w:val="Styledetableau2"/>
              <w:numPr>
                <w:ilvl w:val="0"/>
                <w:numId w:val="3"/>
              </w:numPr>
            </w:pPr>
            <w:r>
              <w:t xml:space="preserve">Un changement dans la législation favorable à l'activité </w:t>
            </w:r>
            <w:r>
              <w:t>;</w:t>
            </w:r>
          </w:p>
          <w:p w:rsidR="00037C49" w:rsidRDefault="00B81CFC">
            <w:pPr>
              <w:pStyle w:val="Styledetableau2"/>
              <w:numPr>
                <w:ilvl w:val="0"/>
                <w:numId w:val="3"/>
              </w:numPr>
            </w:pPr>
            <w:r>
              <w:t xml:space="preserve">Le développement </w:t>
            </w:r>
            <w:r>
              <w:t>de la vente sur internet pour une catégorie de produit ;</w:t>
            </w:r>
          </w:p>
          <w:p w:rsidR="00037C49" w:rsidRDefault="00B81CFC">
            <w:pPr>
              <w:pStyle w:val="Styledetableau2"/>
              <w:numPr>
                <w:ilvl w:val="0"/>
                <w:numId w:val="3"/>
              </w:numPr>
            </w:pPr>
            <w:r>
              <w:t>L'ouverture à la concurrence d'un marché public ;</w:t>
            </w:r>
          </w:p>
          <w:p w:rsidR="00037C49" w:rsidRDefault="00B81CFC">
            <w:pPr>
              <w:pStyle w:val="Styledetableau2"/>
              <w:numPr>
                <w:ilvl w:val="0"/>
                <w:numId w:val="3"/>
              </w:numPr>
            </w:pPr>
            <w:r>
              <w:t>La faillite d'un concurrent ;</w:t>
            </w:r>
          </w:p>
          <w:p w:rsidR="00037C49" w:rsidRDefault="00B81CFC">
            <w:pPr>
              <w:pStyle w:val="Styledetableau2"/>
              <w:numPr>
                <w:ilvl w:val="0"/>
                <w:numId w:val="3"/>
              </w:numPr>
            </w:pPr>
            <w:r>
              <w:t>L'ouverture économique d'</w:t>
            </w:r>
            <w:r>
              <w:t>un nouveau pays...</w:t>
            </w:r>
          </w:p>
        </w:tc>
        <w:tc>
          <w:tcPr>
            <w:tcW w:w="4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7C49" w:rsidRDefault="00B81CFC">
            <w:pPr>
              <w:pStyle w:val="Styledetableau2"/>
            </w:pPr>
            <w:r>
              <w:t>Exemples :</w:t>
            </w:r>
          </w:p>
          <w:p w:rsidR="00037C49" w:rsidRDefault="00037C49">
            <w:pPr>
              <w:pStyle w:val="Styledetableau2"/>
            </w:pPr>
          </w:p>
          <w:p w:rsidR="00037C49" w:rsidRDefault="00B81CFC">
            <w:pPr>
              <w:pStyle w:val="Styledetableau2"/>
              <w:numPr>
                <w:ilvl w:val="0"/>
                <w:numId w:val="4"/>
              </w:numPr>
            </w:pPr>
            <w:r>
              <w:t>Un concurrent en forte croissance qui gagne des parts de march</w:t>
            </w:r>
            <w:r>
              <w:t xml:space="preserve">é </w:t>
            </w:r>
            <w:r>
              <w:t>;</w:t>
            </w:r>
          </w:p>
          <w:p w:rsidR="00037C49" w:rsidRDefault="00B81CFC">
            <w:pPr>
              <w:pStyle w:val="Styledetableau2"/>
              <w:numPr>
                <w:ilvl w:val="0"/>
                <w:numId w:val="4"/>
              </w:numPr>
            </w:pPr>
            <w:r>
              <w:t>Des consommateurs qui évoluent (ex : la montée du véganisme est une menace pour les producteurs de viande) ;</w:t>
            </w:r>
          </w:p>
          <w:p w:rsidR="00037C49" w:rsidRDefault="00B81CFC">
            <w:pPr>
              <w:pStyle w:val="Styledetableau2"/>
              <w:numPr>
                <w:ilvl w:val="0"/>
                <w:numId w:val="4"/>
              </w:numPr>
            </w:pPr>
            <w:r>
              <w:t>Une baisse du pouvoir d'achat des acheteurs (en cas de crise économique, par exemple) ;</w:t>
            </w:r>
          </w:p>
          <w:p w:rsidR="00037C49" w:rsidRDefault="00B81CFC">
            <w:pPr>
              <w:pStyle w:val="Styledetableau2"/>
              <w:numPr>
                <w:ilvl w:val="0"/>
                <w:numId w:val="4"/>
              </w:numPr>
            </w:pPr>
            <w:r>
              <w:t>Des mesures juridiques ou politiques contraignantes...</w:t>
            </w:r>
          </w:p>
        </w:tc>
      </w:tr>
    </w:tbl>
    <w:p w:rsidR="00037C49" w:rsidRDefault="005E4374">
      <w:pPr>
        <w:pStyle w:val="Corps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4042410</wp:posOffset>
            </wp:positionH>
            <wp:positionV relativeFrom="paragraph">
              <wp:posOffset>221615</wp:posOffset>
            </wp:positionV>
            <wp:extent cx="1282700" cy="43407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ur-foot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43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2937510</wp:posOffset>
            </wp:positionH>
            <wp:positionV relativeFrom="paragraph">
              <wp:posOffset>775970</wp:posOffset>
            </wp:positionV>
            <wp:extent cx="3505200" cy="778933"/>
            <wp:effectExtent l="0" t="0" r="0" b="0"/>
            <wp:wrapNone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78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C49">
      <w:headerReference w:type="default" r:id="rId10"/>
      <w:footerReference w:type="default" r:id="rId11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CFC" w:rsidRDefault="00B81CFC">
      <w:r>
        <w:separator/>
      </w:r>
    </w:p>
  </w:endnote>
  <w:endnote w:type="continuationSeparator" w:id="0">
    <w:p w:rsidR="00B81CFC" w:rsidRDefault="00B8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C49" w:rsidRDefault="00037C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CFC" w:rsidRDefault="00B81CFC">
      <w:r>
        <w:separator/>
      </w:r>
    </w:p>
  </w:footnote>
  <w:footnote w:type="continuationSeparator" w:id="0">
    <w:p w:rsidR="00B81CFC" w:rsidRDefault="00B81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C49" w:rsidRDefault="00037C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4D8E"/>
    <w:multiLevelType w:val="hybridMultilevel"/>
    <w:tmpl w:val="056A264E"/>
    <w:lvl w:ilvl="0" w:tplc="EB7699B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8327D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2E89F3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8CA984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F9AAD1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82E578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E70EC1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CD684B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3BC32D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8013714"/>
    <w:multiLevelType w:val="hybridMultilevel"/>
    <w:tmpl w:val="7A2416D0"/>
    <w:lvl w:ilvl="0" w:tplc="671AB5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796A33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50CB24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976BBA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FE1CE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9A98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08EB16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C38BBC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58A6FB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DF71544"/>
    <w:multiLevelType w:val="hybridMultilevel"/>
    <w:tmpl w:val="2006E974"/>
    <w:lvl w:ilvl="0" w:tplc="9E20A93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EB6A15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05853F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43A499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970F6C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020ED8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0780D0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B6CD89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C9212B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7E35BE5"/>
    <w:multiLevelType w:val="hybridMultilevel"/>
    <w:tmpl w:val="429A7592"/>
    <w:lvl w:ilvl="0" w:tplc="C830882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4D43F5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8D2B70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152A13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F5640F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43C0D4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BAC47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580E68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DCA570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49"/>
    <w:rsid w:val="00037C49"/>
    <w:rsid w:val="005E4374"/>
    <w:rsid w:val="00B8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56018-4B12-0C44-B515-9747BCA8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customStyle="1" w:styleId="Styledetableau3">
    <w:name w:val="Style de tableau 3"/>
    <w:rPr>
      <w:rFonts w:ascii="Helvetica" w:hAnsi="Helvetica" w:cs="Arial Unicode MS"/>
      <w:color w:val="FEFFFE"/>
    </w:rPr>
  </w:style>
  <w:style w:type="paragraph" w:customStyle="1" w:styleId="Styledetableau6">
    <w:name w:val="Style de tableau 6"/>
    <w:rPr>
      <w:rFonts w:ascii="Helvetica" w:hAnsi="Helvetica" w:cs="Arial Unicode MS"/>
      <w:color w:val="357CA2"/>
    </w:rPr>
  </w:style>
  <w:style w:type="paragraph" w:customStyle="1" w:styleId="Styledetableau2">
    <w:name w:val="Style de tableau 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u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Lazzaroni</cp:lastModifiedBy>
  <cp:revision>2</cp:revision>
  <dcterms:created xsi:type="dcterms:W3CDTF">2018-05-29T09:24:00Z</dcterms:created>
  <dcterms:modified xsi:type="dcterms:W3CDTF">2018-05-29T09:29:00Z</dcterms:modified>
</cp:coreProperties>
</file>