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  <Override PartName="/word/media/rId37.png" ContentType="image/png"/>
  <Override PartName="/word/media/rId41.png" ContentType="image/png"/>
  <Override PartName="/word/media/rId33.png" ContentType="image/png"/>
  <Override PartName="/word/media/rId50.png" ContentType="image/png"/>
  <Override PartName="/word/media/rId54.png" ContentType="image/png"/>
  <Override PartName="/word/media/rId46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59.png" ContentType="image/png"/>
  <Override PartName="/word/media/rId8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набора математических выражений в LaTeX, освоить использование inline и display math режимов, работу с греческими буквами и математическими шрифтами, а также исследовать влияние опций класса документа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 </w:t>
      </w:r>
      <w:r>
        <w:t xml:space="preserve">на выравнивание формул и расположение их нумерации.</w:t>
      </w:r>
    </w:p>
    <w:bookmarkEnd w:id="20"/>
    <w:bookmarkStart w:id="8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подготовка-рабочей-директор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рабочей директории</w:t>
      </w:r>
    </w:p>
    <w:p>
      <w:pPr>
        <w:pStyle w:val="FirstParagraph"/>
      </w:pPr>
      <w:r>
        <w:t xml:space="preserve">Работа выполнялась в среде Windows PowerShell. Вначале был выполнен переход в каталог Documents, затем создана отдельная директория для LaTeX-упражнений и выполнен вход в неё. После этого была проверена текущая рабочая директория, что подтвердило корректность пути.</w:t>
      </w:r>
    </w:p>
    <w:p>
      <w:pPr>
        <w:pStyle w:val="BodyText"/>
      </w:pPr>
      <w:r>
        <w:t xml:space="preserve">Далее с помощью here-string был создан LaTeX-документ. В преамбуле подключены пакеты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amssymb</w:t>
      </w:r>
      <w:r>
        <w:t xml:space="preserve">,</w:t>
      </w:r>
      <w:r>
        <w:t xml:space="preserve"> </w:t>
      </w:r>
      <w:r>
        <w:rPr>
          <w:rStyle w:val="VerbatimChar"/>
        </w:rPr>
        <w:t xml:space="preserve">bm</w:t>
      </w:r>
      <w:r>
        <w:t xml:space="preserve">, а также задан стандартный класс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 После этого был добавлен заголовок секции упражнения.</w:t>
      </w:r>
    </w:p>
    <w:p>
      <w:pPr>
        <w:pStyle w:val="CaptionedFigure"/>
      </w:pPr>
      <w:bookmarkStart w:id="24" w:name="fig:001"/>
      <w:r>
        <w:drawing>
          <wp:inline>
            <wp:extent cx="5334000" cy="3314543"/>
            <wp:effectExtent b="0" l="0" r="0" t="0"/>
            <wp:docPr descr="Рис. 1: Создание рабочей папки и начало формирования TeX-файла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рабочей папки и начало формирования TeX-файла</w:t>
      </w:r>
    </w:p>
    <w:p>
      <w:pPr>
        <w:pStyle w:val="BodyText"/>
      </w:pPr>
      <w:r>
        <w:t xml:space="preserve">После завершения ввода содержимого документ был сохранён в файл</w:t>
      </w:r>
      <w:r>
        <w:t xml:space="preserve"> </w:t>
      </w:r>
      <w:r>
        <w:rPr>
          <w:rStyle w:val="VerbatimChar"/>
        </w:rPr>
        <w:t xml:space="preserve">exercise-3-8-main.tex</w:t>
      </w:r>
      <w:r>
        <w:t xml:space="preserve"> </w:t>
      </w:r>
      <w:r>
        <w:t xml:space="preserve">с кодировкой UTF-8.</w:t>
      </w:r>
    </w:p>
    <w:p>
      <w:pPr>
        <w:pStyle w:val="CaptionedFigure"/>
      </w:pPr>
      <w:bookmarkStart w:id="28" w:name="fig:002"/>
      <w:r>
        <w:drawing>
          <wp:inline>
            <wp:extent cx="5334000" cy="1212703"/>
            <wp:effectExtent b="0" l="0" r="0" t="0"/>
            <wp:docPr descr="Рис. 2: Сохранение TeX-файла exercise-3-8-main.tex" title="" id="26" name="Picture"/>
            <a:graphic>
              <a:graphicData uri="http://schemas.openxmlformats.org/drawingml/2006/picture">
                <pic:pic>
                  <pic:nvPicPr>
                    <pic:cNvPr descr="0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Сохранение TeX-файла exercise-3-8-main.tex</w:t>
      </w:r>
    </w:p>
    <w:bookmarkEnd w:id="29"/>
    <w:bookmarkStart w:id="30" w:name="переключение-между-inline-и-display-math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Переключение между inline и display math</w:t>
      </w:r>
    </w:p>
    <w:p>
      <w:pPr>
        <w:pStyle w:val="FirstParagraph"/>
      </w:pPr>
      <w:r>
        <w:t xml:space="preserve">В первом пункте упражнения были протестированы встроенный и отображаемый математические режимы. Для этого одна и та же формула записывалась внутри строки (inline math) и отдельно в display-режиме.</w:t>
      </w:r>
      <w:r>
        <w:br/>
      </w:r>
      <w:r>
        <w:t xml:space="preserve">В результате inline-формулы отображаются компактно и не нарушают межстрочный интервал, тогда как display-формулы выводятся отдельно, имеют больший размер и по умолчанию центрируются.</w:t>
      </w:r>
    </w:p>
    <w:bookmarkEnd w:id="30"/>
    <w:bookmarkStart w:id="31" w:name="использование-греческих-бук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греческих букв</w:t>
      </w:r>
    </w:p>
    <w:p>
      <w:pPr>
        <w:pStyle w:val="FirstParagraph"/>
      </w:pPr>
      <w:r>
        <w:t xml:space="preserve">Во втором пункте были добавлены греческие буквы в нижнем и верхнем регистре. В документе использовались стандартные команды для строчных символов, таких как α, β, γ, а также для прописных — Γ, Δ, Ω.</w:t>
      </w:r>
      <w:r>
        <w:br/>
      </w:r>
      <w:r>
        <w:t xml:space="preserve">Эксперимент показал, что имена команд логично соответствуют названиям букв, а различие между нижним и верхним регистром визуально хорошо заметно.</w:t>
      </w:r>
    </w:p>
    <w:bookmarkEnd w:id="31"/>
    <w:bookmarkStart w:id="32" w:name="команды-смены-шрифта-и-вложенность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Команды смены шрифта и вложенность</w:t>
      </w:r>
    </w:p>
    <w:p>
      <w:pPr>
        <w:pStyle w:val="FirstParagraph"/>
      </w:pPr>
      <w:r>
        <w:t xml:space="preserve">В третьем пункте были протестированы различные математические шрифты: прямой, полужирный, курсивный, без засечек, моноширинный и blackboard.</w:t>
      </w:r>
      <w:r>
        <w:br/>
      </w:r>
      <w:r>
        <w:t xml:space="preserve">Дополнительно выполнен эксперимент с вложенностью команд смены шрифта. Результат показал, что порядок вложения влияет на итоговое начертание символов, при этом внутренняя команда может переопределять внешнюю.</w:t>
      </w:r>
    </w:p>
    <w:bookmarkEnd w:id="32"/>
    <w:bookmarkStart w:id="45" w:name="компиляция-основного-документ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Компиляция основного документа</w:t>
      </w:r>
    </w:p>
    <w:p>
      <w:pPr>
        <w:pStyle w:val="FirstParagraph"/>
      </w:pPr>
      <w:r>
        <w:t xml:space="preserve">После сохранения исходного файла была выполнена компиляция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 Компиляция прошла успешно, был создан PDF-документ на одной странице без ошибок и предупреждений.</w:t>
      </w:r>
    </w:p>
    <w:p>
      <w:pPr>
        <w:pStyle w:val="CaptionedFigure"/>
      </w:pPr>
      <w:bookmarkStart w:id="36" w:name="fig:003"/>
      <w:r>
        <w:drawing>
          <wp:inline>
            <wp:extent cx="5334000" cy="3478493"/>
            <wp:effectExtent b="0" l="0" r="0" t="0"/>
            <wp:docPr descr="Рис. 3: Проверка файла и запуск компиляции pdflatex" title="" id="34" name="Picture"/>
            <a:graphic>
              <a:graphicData uri="http://schemas.openxmlformats.org/drawingml/2006/picture">
                <pic:pic>
                  <pic:nvPicPr>
                    <pic:cNvPr descr="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Проверка файла и запуск компиляции pdflatex</w:t>
      </w:r>
    </w:p>
    <w:p>
      <w:pPr>
        <w:pStyle w:val="BodyText"/>
      </w:pPr>
      <w:r>
        <w:t xml:space="preserve">В завершении компиляции подтверждено успешное формирование PDF-файла.</w:t>
      </w:r>
    </w:p>
    <w:p>
      <w:pPr>
        <w:pStyle w:val="CaptionedFigure"/>
      </w:pPr>
      <w:bookmarkStart w:id="40" w:name="fig:004"/>
      <w:r>
        <w:drawing>
          <wp:inline>
            <wp:extent cx="5334000" cy="1000970"/>
            <wp:effectExtent b="0" l="0" r="0" t="0"/>
            <wp:docPr descr="Рис. 4: Успешное завершение компиляции и создание PDF" title="" id="38" name="Picture"/>
            <a:graphic>
              <a:graphicData uri="http://schemas.openxmlformats.org/drawingml/2006/picture">
                <pic:pic>
                  <pic:nvPicPr>
                    <pic:cNvPr descr="02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Успешное завершение компиляции и создание PDF</w:t>
      </w:r>
    </w:p>
    <w:p>
      <w:pPr>
        <w:pStyle w:val="BodyText"/>
      </w:pPr>
      <w:r>
        <w:t xml:space="preserve">При просмотре итогового документа визуально подтверждены отличия inline и display math, корректный вывод греческих букв и влияние смены шрифтов, включая вложенные конструкции.</w:t>
      </w:r>
    </w:p>
    <w:p>
      <w:pPr>
        <w:pStyle w:val="CaptionedFigure"/>
      </w:pPr>
      <w:bookmarkStart w:id="44" w:name="fig:005"/>
      <w:r>
        <w:drawing>
          <wp:inline>
            <wp:extent cx="5334000" cy="4482487"/>
            <wp:effectExtent b="0" l="0" r="0" t="0"/>
            <wp:docPr descr="Рис. 5: Результат exercise-3-8-main.pdf" title="" id="42" name="Picture"/>
            <a:graphic>
              <a:graphicData uri="http://schemas.openxmlformats.org/drawingml/2006/picture">
                <pic:pic>
                  <pic:nvPicPr>
                    <pic:cNvPr descr="02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Результат exercise-3-8-main.pdf</w:t>
      </w:r>
    </w:p>
    <w:bookmarkEnd w:id="45"/>
    <w:bookmarkStart w:id="58" w:name="Xd82c8a7df2e140c37de65bacb8b2e431a019d20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Эксперимент с опцией класса документа [fleqn]</w:t>
      </w:r>
    </w:p>
    <w:p>
      <w:pPr>
        <w:pStyle w:val="FirstParagraph"/>
      </w:pPr>
      <w:r>
        <w:t xml:space="preserve">Для проверки выравнивания формул был создан отдельный документ с использованием опции класса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. В этом файле были добавлены одиночная display-формула, блок выровненных уравнений и несколько нумерованных формул.</w:t>
      </w:r>
    </w:p>
    <w:p>
      <w:pPr>
        <w:pStyle w:val="CaptionedFigure"/>
      </w:pPr>
      <w:bookmarkStart w:id="49" w:name="fig:006"/>
      <w:r>
        <w:drawing>
          <wp:inline>
            <wp:extent cx="5334000" cy="2145453"/>
            <wp:effectExtent b="0" l="0" r="0" t="0"/>
            <wp:docPr descr="Рис. 6: Создание test-fleqn.tex с опцией fleqn и примерами формул" title="" id="47" name="Picture"/>
            <a:graphic>
              <a:graphicData uri="http://schemas.openxmlformats.org/drawingml/2006/picture">
                <pic:pic>
                  <pic:nvPicPr>
                    <pic:cNvPr descr="0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Создание test-fleqn.tex с опцией fleqn и примерами формул</w:t>
      </w:r>
    </w:p>
    <w:p>
      <w:pPr>
        <w:pStyle w:val="BodyText"/>
      </w:pPr>
      <w:r>
        <w:t xml:space="preserve">После этого выполнена компиляция документа. В логе компиляции видно подключение файла</w:t>
      </w:r>
      <w:r>
        <w:t xml:space="preserve"> </w:t>
      </w:r>
      <w:r>
        <w:rPr>
          <w:rStyle w:val="VerbatimChar"/>
        </w:rPr>
        <w:t xml:space="preserve">fleqn.clo</w:t>
      </w:r>
      <w:r>
        <w:t xml:space="preserve">, что подтверждает применение соответствующей опции.</w:t>
      </w:r>
    </w:p>
    <w:p>
      <w:pPr>
        <w:pStyle w:val="CaptionedFigure"/>
      </w:pPr>
      <w:bookmarkStart w:id="53" w:name="fig:007"/>
      <w:r>
        <w:drawing>
          <wp:inline>
            <wp:extent cx="5334000" cy="3451951"/>
            <wp:effectExtent b="0" l="0" r="0" t="0"/>
            <wp:docPr descr="Рис. 7: Компиляция test-fleqn.tex" title="" id="51" name="Picture"/>
            <a:graphic>
              <a:graphicData uri="http://schemas.openxmlformats.org/drawingml/2006/picture">
                <pic:pic>
                  <pic:nvPicPr>
                    <pic:cNvPr descr="0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Компиляция test-fleqn.tex</w:t>
      </w:r>
    </w:p>
    <w:p>
      <w:pPr>
        <w:pStyle w:val="BodyText"/>
      </w:pPr>
      <w:r>
        <w:t xml:space="preserve">Просмотр итогового PDF показал, что все display-формулы выровнены по левому краю страницы, в отличие от стандартного центрирования. Номера уравнений при этом остались справа, так как опция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 </w:t>
      </w:r>
      <w:r>
        <w:t xml:space="preserve">не использовалась.</w:t>
      </w:r>
    </w:p>
    <w:p>
      <w:pPr>
        <w:pStyle w:val="CaptionedFigure"/>
      </w:pPr>
      <w:bookmarkStart w:id="57" w:name="fig:008"/>
      <w:r>
        <w:drawing>
          <wp:inline>
            <wp:extent cx="5334000" cy="3744575"/>
            <wp:effectExtent b="0" l="0" r="0" t="0"/>
            <wp:docPr descr="Рис. 8: Результат test-fleqn.pdf: формулы выровнены по левому краю" title="" id="55" name="Picture"/>
            <a:graphic>
              <a:graphicData uri="http://schemas.openxmlformats.org/drawingml/2006/picture">
                <pic:pic>
                  <pic:nvPicPr>
                    <pic:cNvPr descr="03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Результат test-fleqn.pdf: формулы выровнены по левому краю</w:t>
      </w:r>
    </w:p>
    <w:bookmarkEnd w:id="58"/>
    <w:bookmarkStart w:id="67" w:name="X4cbf3c4301757db7f760c2a02a027e254538004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Эксперимент с опцией класса документа [leqno]</w:t>
      </w:r>
    </w:p>
    <w:p>
      <w:pPr>
        <w:pStyle w:val="FirstParagraph"/>
      </w:pPr>
      <w:r>
        <w:t xml:space="preserve">Для изучения влияния опции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 </w:t>
      </w:r>
      <w:r>
        <w:t xml:space="preserve">был создан отдельный LaTeX-документ с классом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параметром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. В данном случае целью было проверить расположение номеров уравнений при стандартном центрировании самих формул.</w:t>
      </w:r>
    </w:p>
    <w:p>
      <w:pPr>
        <w:pStyle w:val="BodyText"/>
      </w:pPr>
      <w:r>
        <w:t xml:space="preserve">В документ были добавлены несколько нумерованных уравнений различной сложности, включая:</w:t>
      </w:r>
      <w:r>
        <w:t xml:space="preserve"> </w:t>
      </w:r>
      <w:r>
        <w:t xml:space="preserve">- простое алгебраическое тождество;</w:t>
      </w:r>
      <w:r>
        <w:t xml:space="preserve"> </w:t>
      </w:r>
      <w:r>
        <w:t xml:space="preserve">- дифференциальное уравнение с частными производными;</w:t>
      </w:r>
      <w:r>
        <w:t xml:space="preserve"> </w:t>
      </w:r>
      <w:r>
        <w:t xml:space="preserve">- систему линейных уравнений, оформленную в окружении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;</w:t>
      </w:r>
      <w:r>
        <w:t xml:space="preserve"> </w:t>
      </w:r>
      <w:r>
        <w:t xml:space="preserve">- интегральное выражение.</w:t>
      </w:r>
    </w:p>
    <w:p>
      <w:pPr>
        <w:pStyle w:val="BodyText"/>
      </w:pPr>
      <w:r>
        <w:t xml:space="preserve">После компиляции документа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было получено PDF-файл без ошибок. Анализ результата показал, что при использовании опции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 </w:t>
      </w:r>
      <w:r>
        <w:t xml:space="preserve">номера всех уравнений автоматически располагаются слева от формул, тогда как сами формулы сохраняют стандартное центрированное положение.</w:t>
      </w:r>
    </w:p>
    <w:p>
      <w:pPr>
        <w:pStyle w:val="CaptionedFigure"/>
      </w:pPr>
      <w:bookmarkStart w:id="62" w:name="fig:009"/>
      <w:r>
        <w:drawing>
          <wp:inline>
            <wp:extent cx="5334000" cy="2895743"/>
            <wp:effectExtent b="0" l="0" r="0" t="0"/>
            <wp:docPr descr="Рис. 9: Создание и компиляция test-leqno.tex" title="" id="60" name="Picture"/>
            <a:graphic>
              <a:graphicData uri="http://schemas.openxmlformats.org/drawingml/2006/picture">
                <pic:pic>
                  <pic:nvPicPr>
                    <pic:cNvPr descr="0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9: Создание и компиляция test-leqno.tex</w:t>
      </w:r>
    </w:p>
    <w:p>
      <w:pPr>
        <w:pStyle w:val="CaptionedFigure"/>
      </w:pPr>
      <w:bookmarkStart w:id="66" w:name="fig:010"/>
      <w:r>
        <w:drawing>
          <wp:inline>
            <wp:extent cx="5334000" cy="2859236"/>
            <wp:effectExtent b="0" l="0" r="0" t="0"/>
            <wp:docPr descr="Рис. 10: Результат test-leqno.pdf: номера уравнений слева" title="" id="64" name="Picture"/>
            <a:graphic>
              <a:graphicData uri="http://schemas.openxmlformats.org/drawingml/2006/picture">
                <pic:pic>
                  <pic:nvPicPr>
                    <pic:cNvPr descr="04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10: Результат test-leqno.pdf: номера уравнений слева</w:t>
      </w:r>
    </w:p>
    <w:bookmarkEnd w:id="67"/>
    <w:bookmarkStart w:id="76" w:name="Xd44ccb12b2fe98d18405ef52a8286970e3685bd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Совместное использование опций [fleqn] и [leqno]</w:t>
      </w:r>
    </w:p>
    <w:p>
      <w:pPr>
        <w:pStyle w:val="FirstParagraph"/>
      </w:pPr>
      <w:r>
        <w:t xml:space="preserve">Для проверки комбинированного эффекта была создана версия документа с одновременным использованием опций</w:t>
      </w:r>
      <w:r>
        <w:t xml:space="preserve"> </w:t>
      </w:r>
      <w:r>
        <w:rPr>
          <w:rStyle w:val="VerbatimChar"/>
        </w:rPr>
        <w:t xml:space="preserve">[fleqn, leqno]</w:t>
      </w:r>
      <w:r>
        <w:t xml:space="preserve">. Это позволило оценить, как LaTeX обрабатывает одновременное изменение выравнивания формул и расположения их номеров.</w:t>
      </w:r>
    </w:p>
    <w:p>
      <w:pPr>
        <w:pStyle w:val="BodyText"/>
      </w:pPr>
      <w:r>
        <w:t xml:space="preserve">В документ были включены:</w:t>
      </w:r>
      <w:r>
        <w:t xml:space="preserve"> </w:t>
      </w:r>
      <w:r>
        <w:t xml:space="preserve">- одиночные нумерованные формулы;</w:t>
      </w:r>
      <w:r>
        <w:t xml:space="preserve"> </w:t>
      </w:r>
      <w:r>
        <w:t xml:space="preserve">- квадратная формула;</w:t>
      </w:r>
      <w:r>
        <w:t xml:space="preserve"> </w:t>
      </w:r>
      <w:r>
        <w:t xml:space="preserve">- блок выровненных уравнений;</w:t>
      </w:r>
      <w:r>
        <w:t xml:space="preserve"> </w:t>
      </w:r>
      <w:r>
        <w:t xml:space="preserve">- определение гамма-функции в интегральной форме.</w:t>
      </w:r>
    </w:p>
    <w:p>
      <w:pPr>
        <w:pStyle w:val="BodyText"/>
      </w:pPr>
      <w:r>
        <w:t xml:space="preserve">Компиляция прошла корректно, что подтверждается логом сборки. Полученный PDF-документ продемонстрировал ожидаемое поведение: все display-формулы выровнены по левому краю страницы, а их номера расположены слева.</w:t>
      </w:r>
    </w:p>
    <w:p>
      <w:pPr>
        <w:pStyle w:val="CaptionedFigure"/>
      </w:pPr>
      <w:bookmarkStart w:id="71" w:name="fig:011"/>
      <w:r>
        <w:drawing>
          <wp:inline>
            <wp:extent cx="5334000" cy="3945106"/>
            <wp:effectExtent b="0" l="0" r="0" t="0"/>
            <wp:docPr descr="Рис. 11: Компиляция документа с опциями fleqn и leqno" title="" id="69" name="Picture"/>
            <a:graphic>
              <a:graphicData uri="http://schemas.openxmlformats.org/drawingml/2006/picture">
                <pic:pic>
                  <pic:nvPicPr>
                    <pic:cNvPr descr="04-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Компиляция документа с опциями fleqn и leqno</w:t>
      </w:r>
    </w:p>
    <w:p>
      <w:pPr>
        <w:pStyle w:val="CaptionedFigure"/>
      </w:pPr>
      <w:bookmarkStart w:id="75" w:name="fig:012"/>
      <w:r>
        <w:drawing>
          <wp:inline>
            <wp:extent cx="5334000" cy="2877501"/>
            <wp:effectExtent b="0" l="0" r="0" t="0"/>
            <wp:docPr descr="Рис. 12: Результат test-fleqn-leqno.pdf" title="" id="73" name="Picture"/>
            <a:graphic>
              <a:graphicData uri="http://schemas.openxmlformats.org/drawingml/2006/picture">
                <pic:pic>
                  <pic:nvPicPr>
                    <pic:cNvPr descr="04-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12: Результат test-fleqn-leqno.pdf</w:t>
      </w:r>
    </w:p>
    <w:bookmarkEnd w:id="76"/>
    <w:bookmarkStart w:id="87" w:name="X865fa0ea0fda87790b2919df928e3309f89a484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Эксперименты с вложенностью команд смены шрифта</w:t>
      </w:r>
    </w:p>
    <w:p>
      <w:pPr>
        <w:pStyle w:val="FirstParagraph"/>
      </w:pPr>
      <w:r>
        <w:t xml:space="preserve">В заключительной части упражнения был создан отдельный документ для исследования вложенности команд смены математического шрифта. В преамбуле использовались пакеты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amssymb</w:t>
      </w:r>
      <w:r>
        <w:t xml:space="preserve">, после чего были добавлены отдельные секции для простых и сложных случаев вложенности.</w:t>
      </w:r>
    </w:p>
    <w:bookmarkStart w:id="77" w:name="простая-вложенность"/>
    <w:p>
      <w:pPr>
        <w:pStyle w:val="Heading3"/>
      </w:pPr>
      <w:r>
        <w:rPr>
          <w:rStyle w:val="SectionNumber"/>
        </w:rPr>
        <w:t xml:space="preserve">2.9.1</w:t>
      </w:r>
      <w:r>
        <w:tab/>
      </w:r>
      <w:r>
        <w:t xml:space="preserve">Простая вложенность</w:t>
      </w:r>
    </w:p>
    <w:p>
      <w:pPr>
        <w:pStyle w:val="FirstParagraph"/>
      </w:pPr>
      <w:r>
        <w:t xml:space="preserve">Были рассмотрены пары выражений, в которых команды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\mathrm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\mathsf</w:t>
      </w:r>
      <w:r>
        <w:t xml:space="preserve"> </w:t>
      </w:r>
      <w:r>
        <w:t xml:space="preserve">применялись во вложенном виде. Это позволило визуально сравнить, как меняется итоговое начертание символов при различном порядке применения команд.</w:t>
      </w:r>
    </w:p>
    <w:bookmarkEnd w:id="77"/>
    <w:bookmarkStart w:id="86" w:name="тройная-вложенность"/>
    <w:p>
      <w:pPr>
        <w:pStyle w:val="Heading3"/>
      </w:pPr>
      <w:r>
        <w:rPr>
          <w:rStyle w:val="SectionNumber"/>
        </w:rPr>
        <w:t xml:space="preserve">2.9.2</w:t>
      </w:r>
      <w:r>
        <w:tab/>
      </w:r>
      <w:r>
        <w:t xml:space="preserve">Тройная вложенность</w:t>
      </w:r>
    </w:p>
    <w:p>
      <w:pPr>
        <w:pStyle w:val="FirstParagraph"/>
      </w:pPr>
      <w:r>
        <w:t xml:space="preserve">Дополнительно были проверены примеры с тремя уровнями вложенности. В этих случаях особенно заметно, что последняя применённая команда оказывает решающее влияние на финальный стиль отображения символов.</w:t>
      </w:r>
    </w:p>
    <w:p>
      <w:pPr>
        <w:pStyle w:val="BodyText"/>
      </w:pPr>
      <w:r>
        <w:t xml:space="preserve">После компиляции документа был получен PDF-файл без предупреждений.</w:t>
      </w:r>
    </w:p>
    <w:p>
      <w:pPr>
        <w:pStyle w:val="CaptionedFigure"/>
      </w:pPr>
      <w:bookmarkStart w:id="81" w:name="fig:013"/>
      <w:r>
        <w:drawing>
          <wp:inline>
            <wp:extent cx="5334000" cy="2733810"/>
            <wp:effectExtent b="0" l="0" r="0" t="0"/>
            <wp:docPr descr="Рис. 13: Компиляция документа с экспериментами вложенности шрифтов" title="" id="79" name="Picture"/>
            <a:graphic>
              <a:graphicData uri="http://schemas.openxmlformats.org/drawingml/2006/picture">
                <pic:pic>
                  <pic:nvPicPr>
                    <pic:cNvPr descr="0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13: Компиляция документа с экспериментами вложенности шрифтов</w:t>
      </w:r>
    </w:p>
    <w:p>
      <w:pPr>
        <w:pStyle w:val="CaptionedFigure"/>
      </w:pPr>
      <w:bookmarkStart w:id="85" w:name="fig:014"/>
      <w:r>
        <w:drawing>
          <wp:inline>
            <wp:extent cx="5334000" cy="2223126"/>
            <wp:effectExtent b="0" l="0" r="0" t="0"/>
            <wp:docPr descr="Рис. 14: Результат экспериментов с вложенностью команд смены шрифта" title="" id="83" name="Picture"/>
            <a:graphic>
              <a:graphicData uri="http://schemas.openxmlformats.org/drawingml/2006/picture">
                <pic:pic>
                  <pic:nvPicPr>
                    <pic:cNvPr descr="05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14: Результат экспериментов с вложенностью команд смены шрифта</w:t>
      </w:r>
    </w:p>
    <w:p>
      <w:pPr>
        <w:pStyle w:val="BodyText"/>
      </w:pPr>
      <w:r>
        <w:t xml:space="preserve">В итоговом документе явно прослеживается закономерность: при вложенности нескольких команд смены шрифта доминирует последняя из них, что подтверждает ожидаемую модель работы LaTeX с математическими шрифтами.</w:t>
      </w:r>
    </w:p>
    <w:bookmarkEnd w:id="86"/>
    <w:bookmarkEnd w:id="87"/>
    <w:bookmarkEnd w:id="88"/>
    <w:bookmarkStart w:id="8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успешно отработаны основные приёмы набора математических формул в LaTeX. Установлено, что inline и display math отличаются способом размещения и масштабом формул, команды смены шрифта могут комбинироваться с эффектом доминирования последней вложенной команды, а опции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 </w:t>
      </w:r>
      <w:r>
        <w:t xml:space="preserve">позволяют гибко управлять выравниванием формул и положением их номеров. Полученные результаты подтверждают удобство и гибкость LaTeX для оформления математических документов.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33" Target="media/rId33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46" Target="media/rId46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9" Target="media/rId59.png" /><Relationship Type="http://schemas.openxmlformats.org/officeDocument/2006/relationships/image" Id="rId82" Target="media/rId82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Усман Траоре</dc:creator>
  <dc:language>ru-RU</dc:language>
  <cp:keywords/>
  <dcterms:created xsi:type="dcterms:W3CDTF">2025-12-29T08:25:34Z</dcterms:created>
  <dcterms:modified xsi:type="dcterms:W3CDTF">2025-12-29T08:25:34Z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