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PRIVACY POLICY (DSGVO/GDPR)</w:t>
      </w:r>
    </w:p>
    <w:p>
      <w:r>
        <w:t xml:space="preserve"/>
      </w:r>
    </w:p>
    <w:p>
      <w:r>
        <w:t xml:space="preserve">{CompanyName}</w:t>
      </w:r>
    </w:p>
    <w:p>
      <w:r>
        <w:t xml:space="preserve">{CompanyStreet}</w:t>
      </w:r>
    </w:p>
    <w:p>
      <w:r>
        <w:t xml:space="preserve">{CompanyZip} {CompanyCity}, {CompanyCountry}</w:t>
      </w:r>
    </w:p>
    <w:p>
      <w:r>
        <w:t xml:space="preserve"/>
      </w:r>
    </w:p>
    <w:p>
      <w:r>
        <w:t xml:space="preserve">Version: {DocVersion}</w:t>
      </w:r>
    </w:p>
    <w:p>
      <w:r>
        <w:t xml:space="preserve">Responsible: {CreatedBy}</w:t>
      </w:r>
    </w:p>
    <w:p>
      <w:r>
        <w:t xml:space="preserve">Approved: {ApprovedBy}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