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drawing>
          <wp:inline distT="0" distB="0" distL="0" distR="0">
            <wp:extent cx="57340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857250"/>
                    </a:xfrm>
                    <a:prstGeom prst="rect">
                      <a:avLst/>
                    </a:prstGeom>
                  </pic:spPr>
                </pic:pic>
              </a:graphicData>
            </a:graphic>
          </wp:inline>
        </w:drawing>
      </w:r>
    </w:p>
    <w:p>
      <w:pPr>
        <w:spacing w:after="0" w:before="80"/>
      </w:pPr>
      <w:r>
        <w:rPr>
          <w:rFonts w:ascii="Montserrat" w:cs="Montserrat" w:eastAsia="Montserrat" w:hAnsi="Montserrat"/>
          <w:b/>
          <w:bCs/>
          <w:color w:val="1C7E8C"/>
          <w:spacing w:val="30"/>
          <w:sz w:val="21"/>
          <w:szCs w:val="21"/>
        </w:rPr>
        <w:t xml:space="preserve">ÉPREUVE DE RECRUTEMENT · INGÉNIEUR AUTOMATISATION — CONFIDENTIEL</w:t>
      </w:r>
    </w:p>
    <w:p>
      <w:pPr>
        <w:spacing w:after="40" w:before="90"/>
      </w:pPr>
      <w:r>
        <w:rPr>
          <w:rFonts w:ascii="Montserrat" w:cs="Montserrat" w:eastAsia="Montserrat" w:hAnsi="Montserrat"/>
          <w:b/>
          <w:bCs/>
          <w:color w:val="0E1A38"/>
          <w:sz w:val="34"/>
          <w:szCs w:val="34"/>
        </w:rPr>
        <w:t xml:space="preserve">Cahier des charges d'automatisation — Cas « Fournitex »</w:t>
      </w:r>
    </w:p>
    <w:p>
      <w:pPr>
        <w:pBdr>
          <w:bottom w:val="single" w:color="5BBFCC" w:sz="8" w:space="4"/>
        </w:pBdr>
        <w:spacing w:after="110"/>
      </w:pPr>
      <w:r>
        <w:rPr>
          <w:rFonts w:ascii="Montserrat" w:cs="Montserrat" w:eastAsia="Montserrat" w:hAnsi="Montserrat"/>
          <w:color w:val="5B6B86"/>
          <w:sz w:val="21"/>
          <w:szCs w:val="21"/>
        </w:rPr>
        <w:t xml:space="preserve">Administration des ventes : relances de factures impayées &amp; génération de devis. Ce document fait foi.</w:t>
      </w:r>
    </w:p>
    <w:p>
      <w:pPr>
        <w:spacing w:after="90" w:line="254"/>
      </w:pPr>
      <w:r>
        <w:rPr>
          <w:rFonts w:ascii="Montserrat" w:cs="Montserrat" w:eastAsia="Montserrat" w:hAnsi="Montserrat"/>
          <w:i/>
          <w:iCs/>
          <w:color w:val="5B6B86"/>
          <w:sz w:val="18"/>
          <w:szCs w:val="18"/>
        </w:rPr>
        <w:t xml:space="preserve">Fournitex est une entreprise fictive créée pour cette épreuve. Toutes les données sont générées : aucune donnée réelle. Elles doivent néanmoins être traitées comme réelles — c'est évalué.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5DEEA" w:sz="4"/>
              <w:left w:val="single" w:color="D5DEEA" w:sz="4"/>
              <w:bottom w:val="single" w:color="D5DEEA" w:sz="4"/>
              <w:right w:val="single" w:color="D5DEEA" w:sz="4"/>
            </w:tcBorders>
            <w:shd w:fill="0E1A38" w:val="clear"/>
            <w:tcMar>
              <w:top w:type="dxa" w:w="55"/>
              <w:left w:type="dxa" w:w="95"/>
              <w:bottom w:type="dxa" w:w="55"/>
              <w:right w:type="dxa" w:w="95"/>
            </w:tcMar>
            <w:vAlign w:val="top"/>
          </w:tcPr>
          <w:p>
            <w:pPr>
              <w:spacing w:after="0" w:line="242"/>
              <w:jc w:val="left"/>
            </w:pPr>
            <w:r>
              <w:rPr>
                <w:rFonts w:ascii="Montserrat" w:cs="Montserrat" w:eastAsia="Montserrat" w:hAnsi="Montserrat"/>
                <w:b/>
                <w:bCs/>
                <w:color w:val="FFFFFF"/>
                <w:sz w:val="18"/>
                <w:szCs w:val="18"/>
              </w:rPr>
              <w:t xml:space="preserve">Rédigé par</w:t>
            </w:r>
          </w:p>
        </w:tc>
        <w:tc>
          <w:tcPr>
            <w:tcW w:type="dxa" w:w="3009"/>
            <w:tcBorders>
              <w:top w:val="single" w:color="D5DEEA" w:sz="4"/>
              <w:left w:val="single" w:color="D5DEEA" w:sz="4"/>
              <w:bottom w:val="single" w:color="D5DEEA" w:sz="4"/>
              <w:right w:val="single" w:color="D5DEEA" w:sz="4"/>
            </w:tcBorders>
            <w:shd w:fill="0E1A38" w:val="clear"/>
            <w:tcMar>
              <w:top w:type="dxa" w:w="55"/>
              <w:left w:type="dxa" w:w="95"/>
              <w:bottom w:type="dxa" w:w="55"/>
              <w:right w:type="dxa" w:w="95"/>
            </w:tcMar>
            <w:vAlign w:val="top"/>
          </w:tcPr>
          <w:p>
            <w:pPr>
              <w:spacing w:after="0" w:line="242"/>
              <w:jc w:val="left"/>
            </w:pPr>
            <w:r>
              <w:rPr>
                <w:rFonts w:ascii="Montserrat" w:cs="Montserrat" w:eastAsia="Montserrat" w:hAnsi="Montserrat"/>
                <w:b/>
                <w:bCs/>
                <w:color w:val="FFFFFF"/>
                <w:sz w:val="18"/>
                <w:szCs w:val="18"/>
              </w:rPr>
              <w:t xml:space="preserve">Date</w:t>
            </w:r>
          </w:p>
        </w:tc>
        <w:tc>
          <w:tcPr>
            <w:tcW w:type="dxa" w:w="3008"/>
            <w:tcBorders>
              <w:top w:val="single" w:color="D5DEEA" w:sz="4"/>
              <w:left w:val="single" w:color="D5DEEA" w:sz="4"/>
              <w:bottom w:val="single" w:color="D5DEEA" w:sz="4"/>
              <w:right w:val="single" w:color="D5DEEA" w:sz="4"/>
            </w:tcBorders>
            <w:shd w:fill="0E1A38" w:val="clear"/>
            <w:tcMar>
              <w:top w:type="dxa" w:w="55"/>
              <w:left w:type="dxa" w:w="95"/>
              <w:bottom w:type="dxa" w:w="55"/>
              <w:right w:type="dxa" w:w="95"/>
            </w:tcMar>
            <w:vAlign w:val="top"/>
          </w:tcPr>
          <w:p>
            <w:pPr>
              <w:spacing w:after="0" w:line="242"/>
              <w:jc w:val="left"/>
            </w:pPr>
            <w:r>
              <w:rPr>
                <w:rFonts w:ascii="Montserrat" w:cs="Montserrat" w:eastAsia="Montserrat" w:hAnsi="Montserrat"/>
                <w:b/>
                <w:bCs/>
                <w:color w:val="FFFFFF"/>
                <w:sz w:val="18"/>
                <w:szCs w:val="18"/>
              </w:rPr>
              <w:t xml:space="preserve">Process concernés</w:t>
            </w:r>
          </w:p>
        </w:tc>
      </w:tr>
      <w:tr>
        <w:trPr>
          <w:tblHeader w:val="false"/>
        </w:trPr>
        <w:tc>
          <w:tcPr>
            <w:tcW w:type="dxa" w:w="3009"/>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L. Perrin — Responsable ADV, Fournitex</w:t>
            </w:r>
          </w:p>
        </w:tc>
        <w:tc>
          <w:tcPr>
            <w:tcW w:type="dxa" w:w="3009"/>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Session de recrutement youmanIT</w:t>
            </w:r>
          </w:p>
        </w:tc>
        <w:tc>
          <w:tcPr>
            <w:tcW w:type="dxa" w:w="3008"/>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Relances factures impayées · Génération de devis</w:t>
            </w:r>
          </w:p>
        </w:tc>
      </w:tr>
    </w:tbl>
    <w:p>
      <w:pPr>
        <w:pBdr>
          <w:top w:val="single" w:color="5BBFCC" w:sz="2" w:space="5"/>
          <w:bottom w:val="single" w:color="5BBFCC" w:sz="2" w:space="5"/>
          <w:left w:val="single" w:color="5BBFCC" w:sz="16" w:space="9"/>
          <w:right w:val="single" w:color="5BBFCC" w:sz="2" w:space="5"/>
        </w:pBdr>
        <w:shd w:fill="EAF6F9" w:val="clear"/>
        <w:spacing w:after="120" w:before="60" w:line="258"/>
        <w:ind w:left="110" w:right="110"/>
      </w:pPr>
      <w:r>
        <w:rPr>
          <w:rFonts w:ascii="Montserrat" w:cs="Montserrat" w:eastAsia="Montserrat" w:hAnsi="Montserrat"/>
          <w:b/>
          <w:bCs/>
          <w:color w:val="1C7E8C"/>
          <w:sz w:val="20"/>
          <w:szCs w:val="20"/>
        </w:rPr>
        <w:t xml:space="preserve">DATE DE RÉFÉRENCE DE L'ÉPREUVE : lundi 27 juillet 2026 — </w:t>
      </w:r>
      <w:r>
        <w:rPr>
          <w:rFonts w:ascii="Montserrat" w:cs="Montserrat" w:eastAsia="Montserrat" w:hAnsi="Montserrat"/>
          <w:sz w:val="19"/>
          <w:szCs w:val="19"/>
        </w:rPr>
        <w:br/>
        <w:t xml:space="preserve">Tous les calculs d'échéances, de retards et de stades de relance se font par rapport à cette date. L'automatisation doit accepter cette date en paramètre (rejouabilité).</w:t>
      </w:r>
    </w:p>
    <w:p>
      <w:pPr>
        <w:pStyle w:val="Heading1"/>
      </w:pPr>
      <w:r>
        <w:t xml:space="preserve">1. Contexte &amp; objectif</w:t>
      </w:r>
    </w:p>
    <w:p>
      <w:pPr>
        <w:spacing w:after="90" w:line="254"/>
      </w:pPr>
      <w:r>
        <w:rPr>
          <w:rFonts w:ascii="Montserrat" w:cs="Montserrat" w:eastAsia="Montserrat" w:hAnsi="Montserrat"/>
        </w:rPr>
        <w:t xml:space="preserve">Fournitex est un négoce B2B d'équipements et fournitures professionnelles : </w:t>
      </w:r>
      <w:r>
        <w:rPr>
          <w:rFonts w:ascii="Montserrat" w:cs="Montserrat" w:eastAsia="Montserrat" w:hAnsi="Montserrat"/>
          <w:b/>
          <w:bCs/>
        </w:rPr>
        <w:t xml:space="preserve">320 clients</w:t>
      </w:r>
      <w:r>
        <w:rPr>
          <w:rFonts w:ascii="Montserrat" w:cs="Montserrat" w:eastAsia="Montserrat" w:hAnsi="Montserrat"/>
        </w:rPr>
        <w:t xml:space="preserve"> entreprises et collectivités (le jeu fourni en contient 42, représentatifs). L'administration des ventes repose sur </w:t>
      </w:r>
      <w:r>
        <w:rPr>
          <w:rFonts w:ascii="Montserrat" w:cs="Montserrat" w:eastAsia="Montserrat" w:hAnsi="Montserrat"/>
          <w:b/>
          <w:bCs/>
        </w:rPr>
        <w:t xml:space="preserve">2 personnes</w:t>
      </w:r>
      <w:r>
        <w:rPr>
          <w:rFonts w:ascii="Montserrat" w:cs="Montserrat" w:eastAsia="Montserrat" w:hAnsi="Montserrat"/>
        </w:rPr>
        <w:t xml:space="preserve"> qui gèrent tout à la main : les relances d'impayés sont faites « quand on a le temps » — le </w:t>
      </w:r>
      <w:r>
        <w:rPr>
          <w:rFonts w:ascii="Montserrat" w:cs="Montserrat" w:eastAsia="Montserrat" w:hAnsi="Montserrat"/>
          <w:b/>
          <w:bCs/>
        </w:rPr>
        <w:t xml:space="preserve">DSO atteint 68 jours</w:t>
      </w:r>
      <w:r>
        <w:rPr>
          <w:rFonts w:ascii="Montserrat" w:cs="Montserrat" w:eastAsia="Montserrat" w:hAnsi="Montserrat"/>
        </w:rPr>
        <w:t xml:space="preserve"> — et les demandes de devis reçues par email sont ressaisies ligne à ligne, avec </w:t>
      </w:r>
      <w:r>
        <w:rPr>
          <w:rFonts w:ascii="Montserrat" w:cs="Montserrat" w:eastAsia="Montserrat" w:hAnsi="Montserrat"/>
          <w:b/>
          <w:bCs/>
        </w:rPr>
        <w:t xml:space="preserve">48 h de délai de réponse</w:t>
      </w:r>
      <w:r>
        <w:rPr>
          <w:rFonts w:ascii="Montserrat" w:cs="Montserrat" w:eastAsia="Montserrat" w:hAnsi="Montserrat"/>
        </w:rPr>
        <w:t xml:space="preserve"> et des ventes perdues à la clé.</w:t>
      </w:r>
    </w:p>
    <w:p>
      <w:pPr>
        <w:spacing w:after="90" w:line="254"/>
      </w:pPr>
      <w:r>
        <w:rPr>
          <w:rFonts w:ascii="Montserrat" w:cs="Montserrat" w:eastAsia="Montserrat" w:hAnsi="Montserrat"/>
          <w:b/>
          <w:bCs/>
        </w:rPr>
        <w:t xml:space="preserve">Objectif : </w:t>
      </w:r>
      <w:r>
        <w:rPr>
          <w:rFonts w:ascii="Montserrat" w:cs="Montserrat" w:eastAsia="Montserrat" w:hAnsi="Montserrat"/>
        </w:rPr>
        <w:t xml:space="preserve">① des relances systématiques, datées et JUSTES — jamais sur une facture soldée ou en litige ; ② des devis chiffrés en moins de 4 h, remises et TVA exactes. Gains visés : DSO ramené sous 45 jours, temps ADV divisé par 3, zéro relance à tort (image client).</w:t>
      </w:r>
    </w:p>
    <w:p>
      <w:pPr>
        <w:pStyle w:val="Heading1"/>
      </w:pPr>
      <w:r>
        <w:t xml:space="preserve">2. Périmètre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EEA" w:sz="4"/>
              <w:left w:val="single" w:color="D5DEEA" w:sz="4"/>
              <w:bottom w:val="single" w:color="D5DEEA" w:sz="4"/>
              <w:right w:val="single" w:color="D5DEEA" w:sz="4"/>
            </w:tcBorders>
            <w:shd w:fill="0E1A38" w:val="clear"/>
            <w:tcMar>
              <w:top w:type="dxa" w:w="55"/>
              <w:left w:type="dxa" w:w="95"/>
              <w:bottom w:type="dxa" w:w="55"/>
              <w:right w:type="dxa" w:w="95"/>
            </w:tcMar>
            <w:vAlign w:val="top"/>
          </w:tcPr>
          <w:p>
            <w:pPr>
              <w:spacing w:after="0" w:line="242"/>
              <w:jc w:val="left"/>
            </w:pPr>
            <w:r>
              <w:rPr>
                <w:rFonts w:ascii="Montserrat" w:cs="Montserrat" w:eastAsia="Montserrat" w:hAnsi="Montserrat"/>
                <w:b/>
                <w:bCs/>
                <w:color w:val="FFFFFF"/>
                <w:sz w:val="18"/>
                <w:szCs w:val="18"/>
              </w:rPr>
              <w:t xml:space="preserve">INCLUS — l'automatisation doit faire :</w:t>
            </w:r>
          </w:p>
        </w:tc>
        <w:tc>
          <w:tcPr>
            <w:tcW w:type="dxa" w:w="4513"/>
            <w:tcBorders>
              <w:top w:val="single" w:color="D5DEEA" w:sz="4"/>
              <w:left w:val="single" w:color="D5DEEA" w:sz="4"/>
              <w:bottom w:val="single" w:color="D5DEEA" w:sz="4"/>
              <w:right w:val="single" w:color="D5DEEA" w:sz="4"/>
            </w:tcBorders>
            <w:shd w:fill="0E1A38" w:val="clear"/>
            <w:tcMar>
              <w:top w:type="dxa" w:w="55"/>
              <w:left w:type="dxa" w:w="95"/>
              <w:bottom w:type="dxa" w:w="55"/>
              <w:right w:type="dxa" w:w="95"/>
            </w:tcMar>
            <w:vAlign w:val="top"/>
          </w:tcPr>
          <w:p>
            <w:pPr>
              <w:spacing w:after="0" w:line="242"/>
              <w:jc w:val="left"/>
            </w:pPr>
            <w:r>
              <w:rPr>
                <w:rFonts w:ascii="Montserrat" w:cs="Montserrat" w:eastAsia="Montserrat" w:hAnsi="Montserrat"/>
                <w:b/>
                <w:bCs/>
                <w:color w:val="FFFFFF"/>
                <w:sz w:val="18"/>
                <w:szCs w:val="18"/>
              </w:rPr>
              <w:t xml:space="preserve">EXCLU — reste à l'humain :</w:t>
            </w:r>
          </w:p>
        </w:tc>
      </w:tr>
      <w:tr>
        <w:trPr>
          <w:tblHeader w:val="false"/>
        </w:trPr>
        <w:tc>
          <w:tcPr>
            <w:tcW w:type="dxa" w:w="4513"/>
            <w:tcBorders>
              <w:top w:val="single" w:color="D5DEEA" w:sz="4"/>
              <w:left w:val="single" w:color="D5DEEA" w:sz="4"/>
              <w:bottom w:val="single" w:color="D5DEEA" w:sz="4"/>
              <w:right w:val="single" w:color="D5DEEA" w:sz="4"/>
            </w:tcBorders>
            <w:tcMar>
              <w:top w:type="dxa" w:w="110"/>
              <w:left w:type="dxa" w:w="95"/>
              <w:bottom w:type="dxa" w:w="110"/>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FLUX A — Relances : calcul du solde de chaque facture (TTC − paiements) · détermination du stade de relance selon l'ancienneté du retard · génération des courriers (simulés : dossier « outbox ») · transfert recouvrement · gestion des litiges et anomalies · journal. FLUX B — Devis : lecture des demandes en texte libre · matching des produits au catalogue · calcul des remises et de la TVA · génération du devis numéroté (FR/EN, simulé) · lignes à clarifier · alertes de validation humaine · journal. Et pour les deux : tableau de bord.</w:t>
            </w:r>
          </w:p>
        </w:tc>
        <w:tc>
          <w:tcPr>
            <w:tcW w:type="dxa" w:w="4513"/>
            <w:tcBorders>
              <w:top w:val="single" w:color="D5DEEA" w:sz="4"/>
              <w:left w:val="single" w:color="D5DEEA" w:sz="4"/>
              <w:bottom w:val="single" w:color="D5DEEA" w:sz="4"/>
              <w:right w:val="single" w:color="D5DEEA" w:sz="4"/>
            </w:tcBorders>
            <w:tcMar>
              <w:top w:type="dxa" w:w="110"/>
              <w:left w:type="dxa" w:w="95"/>
              <w:bottom w:type="dxa" w:w="110"/>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L'encaissement et le lettrage comptable · tout envoi réel d'email · la modification des tarifs du catalogue · la négociation commerciale · la résolution des litiges (décision humaine) · la validation finale des devis hors grille · la signature de quoi que ce soit.</w:t>
            </w:r>
          </w:p>
        </w:tc>
      </w:tr>
    </w:tbl>
    <w:p>
      <w:pPr>
        <w:pStyle w:val="Heading1"/>
      </w:pPr>
      <w:r>
        <w:t xml:space="preserve">3. Déclencheurs</w:t>
      </w:r>
    </w:p>
    <w:p>
      <w:pPr>
        <w:spacing w:after="90" w:line="254"/>
      </w:pPr>
      <w:r>
        <w:rPr>
          <w:rFonts w:ascii="Montserrat" w:cs="Montserrat" w:eastAsia="Montserrat" w:hAnsi="Montserrat"/>
          <w:b/>
          <w:bCs/>
        </w:rPr>
        <w:t xml:space="preserve">Flux A (relances) : </w:t>
      </w:r>
      <w:r>
        <w:rPr>
          <w:rFonts w:ascii="Montserrat" w:cs="Montserrat" w:eastAsia="Montserrat" w:hAnsi="Montserrat"/>
        </w:rPr>
        <w:t xml:space="preserve">traitement par lot quotidien (7 h 00 en production). Pour l'épreuve : exécution à la demande, avec la date de référence 27/07/2026 en paramètre. </w:t>
      </w:r>
      <w:r>
        <w:rPr>
          <w:rFonts w:ascii="Montserrat" w:cs="Montserrat" w:eastAsia="Montserrat" w:hAnsi="Montserrat"/>
          <w:b/>
          <w:bCs/>
        </w:rPr>
        <w:t xml:space="preserve">Flux B (devis) : </w:t>
      </w:r>
      <w:r>
        <w:rPr>
          <w:rFonts w:ascii="Montserrat" w:cs="Montserrat" w:eastAsia="Montserrat" w:hAnsi="Montserrat"/>
        </w:rPr>
        <w:t xml:space="preserve">à réception de chaque demande. Pour l'épreuve : le fichier demandes_devis.csv fait foi et peut être traité en une passe.</w:t>
      </w:r>
    </w:p>
    <w:p>
      <w:pPr>
        <w:pStyle w:val="Heading1"/>
      </w:pPr>
      <w:r>
        <w:t xml:space="preserve">4. Déroulé attendu, pas à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D5DEEA" w:sz="4"/>
              <w:left w:val="single" w:color="D5DEEA" w:sz="4"/>
              <w:bottom w:val="single" w:color="D5DEEA" w:sz="4"/>
              <w:right w:val="single" w:color="D5DEEA" w:sz="4"/>
            </w:tcBorders>
            <w:shd w:fill="0E1A38" w:val="clear"/>
            <w:tcMar>
              <w:top w:type="dxa" w:w="55"/>
              <w:left w:type="dxa" w:w="95"/>
              <w:bottom w:type="dxa" w:w="55"/>
              <w:right w:type="dxa" w:w="95"/>
            </w:tcMar>
            <w:vAlign w:val="top"/>
          </w:tcPr>
          <w:p>
            <w:pPr>
              <w:spacing w:after="0" w:line="242"/>
              <w:jc w:val="center"/>
            </w:pPr>
            <w:r>
              <w:rPr>
                <w:rFonts w:ascii="Montserrat" w:cs="Montserrat" w:eastAsia="Montserrat" w:hAnsi="Montserrat"/>
                <w:b/>
                <w:bCs/>
                <w:color w:val="FFFFFF"/>
                <w:sz w:val="18"/>
                <w:szCs w:val="18"/>
              </w:rPr>
              <w:t xml:space="preserve">Étape</w:t>
            </w:r>
          </w:p>
        </w:tc>
        <w:tc>
          <w:tcPr>
            <w:tcW w:type="dxa" w:w="8126"/>
            <w:tcBorders>
              <w:top w:val="single" w:color="D5DEEA" w:sz="4"/>
              <w:left w:val="single" w:color="D5DEEA" w:sz="4"/>
              <w:bottom w:val="single" w:color="D5DEEA" w:sz="4"/>
              <w:right w:val="single" w:color="D5DEEA" w:sz="4"/>
            </w:tcBorders>
            <w:shd w:fill="0E1A38" w:val="clear"/>
            <w:tcMar>
              <w:top w:type="dxa" w:w="55"/>
              <w:left w:type="dxa" w:w="95"/>
              <w:bottom w:type="dxa" w:w="55"/>
              <w:right w:type="dxa" w:w="95"/>
            </w:tcMar>
            <w:vAlign w:val="top"/>
          </w:tcPr>
          <w:p>
            <w:pPr>
              <w:spacing w:after="0" w:line="242"/>
              <w:jc w:val="left"/>
            </w:pPr>
            <w:r>
              <w:rPr>
                <w:rFonts w:ascii="Montserrat" w:cs="Montserrat" w:eastAsia="Montserrat" w:hAnsi="Montserrat"/>
                <w:b/>
                <w:bCs/>
                <w:color w:val="FFFFFF"/>
                <w:sz w:val="18"/>
                <w:szCs w:val="18"/>
              </w:rPr>
              <w:t xml:space="preserve">L'automatisation fait…</w:t>
            </w:r>
          </w:p>
        </w:tc>
      </w:tr>
      <w:tr>
        <w:trPr>
          <w:tblHeader w:val="false"/>
        </w:trPr>
        <w:tc>
          <w:tcPr>
            <w:tcW w:type="dxa" w:w="9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center"/>
            </w:pPr>
            <w:r>
              <w:rPr>
                <w:rFonts w:ascii="Montserrat" w:cs="Montserrat" w:eastAsia="Montserrat" w:hAnsi="Montserrat"/>
                <w:b/>
                <w:bCs/>
                <w:color w:val="222831"/>
                <w:sz w:val="18"/>
                <w:szCs w:val="18"/>
              </w:rPr>
              <w:t xml:space="preserve">A1</w:t>
            </w:r>
          </w:p>
        </w:tc>
        <w:tc>
          <w:tcPr>
            <w:tcW w:type="dxa" w:w="81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Charge factures, paiements, litiges, clients — sans perte, y compris les lignes anormales.</w:t>
            </w:r>
          </w:p>
        </w:tc>
      </w:tr>
      <w:tr>
        <w:trPr>
          <w:tblHeader w:val="false"/>
        </w:trPr>
        <w:tc>
          <w:tcPr>
            <w:tcW w:type="dxa" w:w="9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center"/>
            </w:pPr>
            <w:r>
              <w:rPr>
                <w:rFonts w:ascii="Montserrat" w:cs="Montserrat" w:eastAsia="Montserrat" w:hAnsi="Montserrat"/>
                <w:b/>
                <w:bCs/>
                <w:color w:val="222831"/>
                <w:sz w:val="18"/>
                <w:szCs w:val="18"/>
              </w:rPr>
              <w:t xml:space="preserve">A2</w:t>
            </w:r>
          </w:p>
        </w:tc>
        <w:tc>
          <w:tcPr>
            <w:tcW w:type="dxa" w:w="81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Calcule le solde de chaque facture : montant TTC − somme de SES paiements (R1). Calcule l'échéance manquante le cas échéant (R4).</w:t>
            </w:r>
          </w:p>
        </w:tc>
      </w:tr>
      <w:tr>
        <w:trPr>
          <w:tblHeader w:val="false"/>
        </w:trPr>
        <w:tc>
          <w:tcPr>
            <w:tcW w:type="dxa" w:w="9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center"/>
            </w:pPr>
            <w:r>
              <w:rPr>
                <w:rFonts w:ascii="Montserrat" w:cs="Montserrat" w:eastAsia="Montserrat" w:hAnsi="Montserrat"/>
                <w:b/>
                <w:bCs/>
                <w:color w:val="222831"/>
                <w:sz w:val="18"/>
                <w:szCs w:val="18"/>
              </w:rPr>
              <w:t xml:space="preserve">A3</w:t>
            </w:r>
          </w:p>
        </w:tc>
        <w:tc>
          <w:tcPr>
            <w:tcW w:type="dxa" w:w="81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Écarte : factures soldées, non échues, en litige OUVERT (R3), sous le seuil (R5), et toutes les anomalies (R7) → files dédiées avec trace.</w:t>
            </w:r>
          </w:p>
        </w:tc>
      </w:tr>
      <w:tr>
        <w:trPr>
          <w:tblHeader w:val="false"/>
        </w:trPr>
        <w:tc>
          <w:tcPr>
            <w:tcW w:type="dxa" w:w="9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center"/>
            </w:pPr>
            <w:r>
              <w:rPr>
                <w:rFonts w:ascii="Montserrat" w:cs="Montserrat" w:eastAsia="Montserrat" w:hAnsi="Montserrat"/>
                <w:b/>
                <w:bCs/>
                <w:color w:val="222831"/>
                <w:sz w:val="18"/>
                <w:szCs w:val="18"/>
              </w:rPr>
              <w:t xml:space="preserve">A4</w:t>
            </w:r>
          </w:p>
        </w:tc>
        <w:tc>
          <w:tcPr>
            <w:tcW w:type="dxa" w:w="81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Détermine le stade (R2) pour chaque facture relançable, applique la règle grands comptes (R6).</w:t>
            </w:r>
          </w:p>
        </w:tc>
      </w:tr>
      <w:tr>
        <w:trPr>
          <w:tblHeader w:val="false"/>
        </w:trPr>
        <w:tc>
          <w:tcPr>
            <w:tcW w:type="dxa" w:w="9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center"/>
            </w:pPr>
            <w:r>
              <w:rPr>
                <w:rFonts w:ascii="Montserrat" w:cs="Montserrat" w:eastAsia="Montserrat" w:hAnsi="Montserrat"/>
                <w:b/>
                <w:bCs/>
                <w:color w:val="222831"/>
                <w:sz w:val="18"/>
                <w:szCs w:val="18"/>
              </w:rPr>
              <w:t xml:space="preserve">A5</w:t>
            </w:r>
          </w:p>
        </w:tc>
        <w:tc>
          <w:tcPr>
            <w:tcW w:type="dxa" w:w="81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Génère les courriers depuis les modèles, avec le SOLDE exact — dans l'outbox, jamais d'envoi réel.</w:t>
            </w:r>
          </w:p>
        </w:tc>
      </w:tr>
      <w:tr>
        <w:trPr>
          <w:tblHeader w:val="false"/>
        </w:trPr>
        <w:tc>
          <w:tcPr>
            <w:tcW w:type="dxa" w:w="9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center"/>
            </w:pPr>
            <w:r>
              <w:rPr>
                <w:rFonts w:ascii="Montserrat" w:cs="Montserrat" w:eastAsia="Montserrat" w:hAnsi="Montserrat"/>
                <w:b/>
                <w:bCs/>
                <w:color w:val="222831"/>
                <w:sz w:val="18"/>
                <w:szCs w:val="18"/>
              </w:rPr>
              <w:t xml:space="preserve">A6</w:t>
            </w:r>
          </w:p>
        </w:tc>
        <w:tc>
          <w:tcPr>
            <w:tcW w:type="dxa" w:w="81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Journalise chaque décision (relance n° / écartée : motif) et alimente le tableau de bord.</w:t>
            </w:r>
          </w:p>
        </w:tc>
      </w:tr>
      <w:tr>
        <w:trPr>
          <w:tblHeader w:val="false"/>
        </w:trPr>
        <w:tc>
          <w:tcPr>
            <w:tcW w:type="dxa" w:w="9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center"/>
            </w:pPr>
            <w:r>
              <w:rPr>
                <w:rFonts w:ascii="Montserrat" w:cs="Montserrat" w:eastAsia="Montserrat" w:hAnsi="Montserrat"/>
                <w:b/>
                <w:bCs/>
                <w:color w:val="222831"/>
                <w:sz w:val="18"/>
                <w:szCs w:val="18"/>
              </w:rPr>
              <w:t xml:space="preserve">B1</w:t>
            </w:r>
          </w:p>
        </w:tc>
        <w:tc>
          <w:tcPr>
            <w:tcW w:type="dxa" w:w="81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Lit chaque demande de devis (texte libre) et en extrait les lignes : produit demandé + quantité.</w:t>
            </w:r>
          </w:p>
        </w:tc>
      </w:tr>
      <w:tr>
        <w:trPr>
          <w:tblHeader w:val="false"/>
        </w:trPr>
        <w:tc>
          <w:tcPr>
            <w:tcW w:type="dxa" w:w="9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center"/>
            </w:pPr>
            <w:r>
              <w:rPr>
                <w:rFonts w:ascii="Montserrat" w:cs="Montserrat" w:eastAsia="Montserrat" w:hAnsi="Montserrat"/>
                <w:b/>
                <w:bCs/>
                <w:color w:val="222831"/>
                <w:sz w:val="18"/>
                <w:szCs w:val="18"/>
              </w:rPr>
              <w:t xml:space="preserve">B2</w:t>
            </w:r>
          </w:p>
        </w:tc>
        <w:tc>
          <w:tcPr>
            <w:tcW w:type="dxa" w:w="81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Matche chaque ligne au catalogue (référence exacte, sinon libellé). Introuvable/ambigu → ligne « à clarifier » (R8), le reste est chiffré.</w:t>
            </w:r>
          </w:p>
        </w:tc>
      </w:tr>
      <w:tr>
        <w:trPr>
          <w:tblHeader w:val="false"/>
        </w:trPr>
        <w:tc>
          <w:tcPr>
            <w:tcW w:type="dxa" w:w="9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center"/>
            </w:pPr>
            <w:r>
              <w:rPr>
                <w:rFonts w:ascii="Montserrat" w:cs="Montserrat" w:eastAsia="Montserrat" w:hAnsi="Montserrat"/>
                <w:b/>
                <w:bCs/>
                <w:color w:val="222831"/>
                <w:sz w:val="18"/>
                <w:szCs w:val="18"/>
              </w:rPr>
              <w:t xml:space="preserve">B3</w:t>
            </w:r>
          </w:p>
        </w:tc>
        <w:tc>
          <w:tcPr>
            <w:tcW w:type="dxa" w:w="81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Applique la remise (R9), la TVA, calcule les totaux HT/TVA/TTC.</w:t>
            </w:r>
          </w:p>
        </w:tc>
      </w:tr>
      <w:tr>
        <w:trPr>
          <w:tblHeader w:val="false"/>
        </w:trPr>
        <w:tc>
          <w:tcPr>
            <w:tcW w:type="dxa" w:w="9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center"/>
            </w:pPr>
            <w:r>
              <w:rPr>
                <w:rFonts w:ascii="Montserrat" w:cs="Montserrat" w:eastAsia="Montserrat" w:hAnsi="Montserrat"/>
                <w:b/>
                <w:bCs/>
                <w:color w:val="222831"/>
                <w:sz w:val="18"/>
                <w:szCs w:val="18"/>
              </w:rPr>
              <w:t xml:space="preserve">B4</w:t>
            </w:r>
          </w:p>
        </w:tc>
        <w:tc>
          <w:tcPr>
            <w:tcW w:type="dxa" w:w="81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Contrôle : remise demandée hors grille → validation humaine (R10) ; client inconnu → prospect à qualifier ; contenu suspect → aucune application (R12).</w:t>
            </w:r>
          </w:p>
        </w:tc>
      </w:tr>
      <w:tr>
        <w:trPr>
          <w:tblHeader w:val="false"/>
        </w:trPr>
        <w:tc>
          <w:tcPr>
            <w:tcW w:type="dxa" w:w="9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center"/>
            </w:pPr>
            <w:r>
              <w:rPr>
                <w:rFonts w:ascii="Montserrat" w:cs="Montserrat" w:eastAsia="Montserrat" w:hAnsi="Montserrat"/>
                <w:b/>
                <w:bCs/>
                <w:color w:val="222831"/>
                <w:sz w:val="18"/>
                <w:szCs w:val="18"/>
              </w:rPr>
              <w:t xml:space="preserve">B5</w:t>
            </w:r>
          </w:p>
        </w:tc>
        <w:tc>
          <w:tcPr>
            <w:tcW w:type="dxa" w:w="81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Génère le devis numéroté (DEV-Fxxxx), validité 30 jours, dans la langue du client (R11) — outbox.</w:t>
            </w:r>
          </w:p>
        </w:tc>
      </w:tr>
      <w:tr>
        <w:trPr>
          <w:tblHeader w:val="false"/>
        </w:trPr>
        <w:tc>
          <w:tcPr>
            <w:tcW w:type="dxa" w:w="9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center"/>
            </w:pPr>
            <w:r>
              <w:rPr>
                <w:rFonts w:ascii="Montserrat" w:cs="Montserrat" w:eastAsia="Montserrat" w:hAnsi="Montserrat"/>
                <w:b/>
                <w:bCs/>
                <w:color w:val="222831"/>
                <w:sz w:val="18"/>
                <w:szCs w:val="18"/>
              </w:rPr>
              <w:t xml:space="preserve">B6</w:t>
            </w:r>
          </w:p>
        </w:tc>
        <w:tc>
          <w:tcPr>
            <w:tcW w:type="dxa" w:w="81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Journalise, route les messages mixtes (devis + réclamation) vers l'humain pour la partie réclamation (R12).</w:t>
            </w:r>
          </w:p>
        </w:tc>
      </w:tr>
    </w:tbl>
    <w:p>
      <w:pPr>
        <w:pStyle w:val="Heading1"/>
      </w:pPr>
      <w:r>
        <w:t xml:space="preserve">5. Règles métier</w:t>
      </w:r>
    </w:p>
    <w:p>
      <w:pPr>
        <w:spacing w:after="60" w:line="248"/>
      </w:pPr>
      <w:r>
        <w:rPr>
          <w:rFonts w:ascii="Montserrat" w:cs="Montserrat" w:eastAsia="Montserrat" w:hAnsi="Montserrat"/>
          <w:b/>
          <w:bCs/>
        </w:rPr>
        <w:t xml:space="preserve">R1 — </w:t>
      </w:r>
      <w:r>
        <w:rPr>
          <w:rFonts w:ascii="Montserrat" w:cs="Montserrat" w:eastAsia="Montserrat" w:hAnsi="Montserrat"/>
        </w:rPr>
        <w:t xml:space="preserve">Le solde d'une facture = montant TTC − somme de ses paiements. Une facture est relançable si solde &gt; 0 ET échéance dépassée à la date de référence.</w:t>
      </w:r>
    </w:p>
    <w:p>
      <w:pPr>
        <w:spacing w:after="60" w:line="248"/>
      </w:pPr>
      <w:r>
        <w:rPr>
          <w:rFonts w:ascii="Montserrat" w:cs="Montserrat" w:eastAsia="Montserrat" w:hAnsi="Montserrat"/>
          <w:b/>
          <w:bCs/>
        </w:rPr>
        <w:t xml:space="preserve">R2 — </w:t>
      </w:r>
      <w:r>
        <w:rPr>
          <w:rFonts w:ascii="Montserrat" w:cs="Montserrat" w:eastAsia="Montserrat" w:hAnsi="Montserrat"/>
        </w:rPr>
        <w:t xml:space="preserve">Stades de relance selon le retard : J+15 → Relance 1 (aimable) · J+30 → Relance 2 (ferme) · J+45 → Relance 3 (mise en demeure) · J+60 ou R3 restée sans effet 8 jours → transfert recouvrement. On ne saute jamais un stade et on respecte 8 jours minimum entre deux courriers sur la même facture.</w:t>
      </w:r>
    </w:p>
    <w:p>
      <w:pPr>
        <w:spacing w:after="60" w:line="248"/>
      </w:pPr>
      <w:r>
        <w:rPr>
          <w:rFonts w:ascii="Montserrat" w:cs="Montserrat" w:eastAsia="Montserrat" w:hAnsi="Montserrat"/>
          <w:b/>
          <w:bCs/>
        </w:rPr>
        <w:t xml:space="preserve">R3 — </w:t>
      </w:r>
      <w:r>
        <w:rPr>
          <w:rFonts w:ascii="Montserrat" w:cs="Montserrat" w:eastAsia="Montserrat" w:hAnsi="Montserrat"/>
        </w:rPr>
        <w:t xml:space="preserve">Litige OUVERT sur une facture → AUCUNE relance, quel que soit le retard. Litige CLOS → les relances reprennent au stade correspondant au retard.</w:t>
      </w:r>
    </w:p>
    <w:p>
      <w:pPr>
        <w:spacing w:after="60" w:line="248"/>
      </w:pPr>
      <w:r>
        <w:rPr>
          <w:rFonts w:ascii="Montserrat" w:cs="Montserrat" w:eastAsia="Montserrat" w:hAnsi="Montserrat"/>
          <w:b/>
          <w:bCs/>
        </w:rPr>
        <w:t xml:space="preserve">R4 — </w:t>
      </w:r>
      <w:r>
        <w:rPr>
          <w:rFonts w:ascii="Montserrat" w:cs="Montserrat" w:eastAsia="Montserrat" w:hAnsi="Montserrat"/>
        </w:rPr>
        <w:t xml:space="preserve">Échéance manquante → la calculer depuis les conditions du client : 30J / 45J = émission + 30 ou 45 jours ; 60J_FIN_DE_MOIS = émission + 60 jours, puis dernier jour de ce mois.</w:t>
      </w:r>
    </w:p>
    <w:p>
      <w:pPr>
        <w:spacing w:after="60" w:line="248"/>
      </w:pPr>
      <w:r>
        <w:rPr>
          <w:rFonts w:ascii="Montserrat" w:cs="Montserrat" w:eastAsia="Montserrat" w:hAnsi="Montserrat"/>
          <w:b/>
          <w:bCs/>
        </w:rPr>
        <w:t xml:space="preserve">R5 — </w:t>
      </w:r>
      <w:r>
        <w:rPr>
          <w:rFonts w:ascii="Montserrat" w:cs="Montserrat" w:eastAsia="Montserrat" w:hAnsi="Montserrat"/>
        </w:rPr>
        <w:t xml:space="preserve">Solde &lt; 15 € TTC → pas de relance individuelle (coût &gt; gain) : agrégation signalée dans le journal.</w:t>
      </w:r>
    </w:p>
    <w:p>
      <w:pPr>
        <w:spacing w:after="60" w:line="248"/>
      </w:pPr>
      <w:r>
        <w:rPr>
          <w:rFonts w:ascii="Montserrat" w:cs="Montserrat" w:eastAsia="Montserrat" w:hAnsi="Montserrat"/>
          <w:b/>
          <w:bCs/>
        </w:rPr>
        <w:t xml:space="preserve">R6 — </w:t>
      </w:r>
      <w:r>
        <w:rPr>
          <w:rFonts w:ascii="Montserrat" w:cs="Montserrat" w:eastAsia="Montserrat" w:hAnsi="Montserrat"/>
        </w:rPr>
        <w:t xml:space="preserve">Client GRAND_COMPTE : à partir de la Relance 3 (et pour tout transfert recouvrement) → validation humaine obligatoire : alerte générée, aucun courrier automatique.</w:t>
      </w:r>
    </w:p>
    <w:p>
      <w:pPr>
        <w:spacing w:after="60" w:line="248"/>
      </w:pPr>
      <w:r>
        <w:rPr>
          <w:rFonts w:ascii="Montserrat" w:cs="Montserrat" w:eastAsia="Montserrat" w:hAnsi="Montserrat"/>
          <w:b/>
          <w:bCs/>
        </w:rPr>
        <w:t xml:space="preserve">R7 — </w:t>
      </w:r>
      <w:r>
        <w:rPr>
          <w:rFonts w:ascii="Montserrat" w:cs="Montserrat" w:eastAsia="Montserrat" w:hAnsi="Montserrat"/>
        </w:rPr>
        <w:t xml:space="preserve">Anomalies de données (facture en double, TTC incohérent avec HT+TVA, échéance antérieure à l'émission, paiement sans facture correspondante, trop-perçu) → file « Anomalies » + signalement ; pas de relance tant que non résolue.</w:t>
      </w:r>
    </w:p>
    <w:p>
      <w:pPr>
        <w:spacing w:after="60" w:line="248"/>
      </w:pPr>
      <w:r>
        <w:rPr>
          <w:rFonts w:ascii="Montserrat" w:cs="Montserrat" w:eastAsia="Montserrat" w:hAnsi="Montserrat"/>
          <w:b/>
          <w:bCs/>
        </w:rPr>
        <w:t xml:space="preserve">R8 — </w:t>
      </w:r>
      <w:r>
        <w:rPr>
          <w:rFonts w:ascii="Montserrat" w:cs="Montserrat" w:eastAsia="Montserrat" w:hAnsi="Montserrat"/>
        </w:rPr>
        <w:t xml:space="preserve">Devis — matching : référence exacte prioritaire, sinon rapprochement par libellé. Produit introuvable ou ambigu → ligne « à clarifier » avec le modèle dédié ; les autres lignes sont chiffrées normalement.</w:t>
      </w:r>
    </w:p>
    <w:p>
      <w:pPr>
        <w:spacing w:after="60" w:line="248"/>
      </w:pPr>
      <w:r>
        <w:rPr>
          <w:rFonts w:ascii="Montserrat" w:cs="Montserrat" w:eastAsia="Montserrat" w:hAnsi="Montserrat"/>
          <w:b/>
          <w:bCs/>
        </w:rPr>
        <w:t xml:space="preserve">R9 — </w:t>
      </w:r>
      <w:r>
        <w:rPr>
          <w:rFonts w:ascii="Montserrat" w:cs="Montserrat" w:eastAsia="Montserrat" w:hAnsi="Montserrat"/>
        </w:rPr>
        <w:t xml:space="preserve">Remise applicable = la MEILLEURE entre la remise contractuelle du client et la remise volume par palier (≥ 10 unités : 5 % · ≥ 50 : 12 % · ≥ 200 : 18 %) — jamais les deux cumulées. Plafond absolu : 18 %.</w:t>
      </w:r>
    </w:p>
    <w:p>
      <w:pPr>
        <w:spacing w:after="60" w:line="248"/>
      </w:pPr>
      <w:r>
        <w:rPr>
          <w:rFonts w:ascii="Montserrat" w:cs="Montserrat" w:eastAsia="Montserrat" w:hAnsi="Montserrat"/>
          <w:b/>
          <w:bCs/>
        </w:rPr>
        <w:t xml:space="preserve">R10 — </w:t>
      </w:r>
      <w:r>
        <w:rPr>
          <w:rFonts w:ascii="Montserrat" w:cs="Montserrat" w:eastAsia="Montserrat" w:hAnsi="Montserrat"/>
        </w:rPr>
        <w:t xml:space="preserve">Remise demandée ou nécessaire au-delà du plafond → aucun devis automatique : alerte « validation humaine » avec le détail.</w:t>
      </w:r>
    </w:p>
    <w:p>
      <w:pPr>
        <w:spacing w:after="60" w:line="248"/>
      </w:pPr>
      <w:r>
        <w:rPr>
          <w:rFonts w:ascii="Montserrat" w:cs="Montserrat" w:eastAsia="Montserrat" w:hAnsi="Montserrat"/>
          <w:b/>
          <w:bCs/>
        </w:rPr>
        <w:t xml:space="preserve">R11 — </w:t>
      </w:r>
      <w:r>
        <w:rPr>
          <w:rFonts w:ascii="Montserrat" w:cs="Montserrat" w:eastAsia="Montserrat" w:hAnsi="Montserrat"/>
        </w:rPr>
        <w:t xml:space="preserve">Demande en anglais → devis et courrier depuis les modèles EN.</w:t>
      </w:r>
    </w:p>
    <w:p>
      <w:pPr>
        <w:spacing w:after="60" w:line="248"/>
      </w:pPr>
      <w:r>
        <w:rPr>
          <w:rFonts w:ascii="Montserrat" w:cs="Montserrat" w:eastAsia="Montserrat" w:hAnsi="Montserrat"/>
          <w:b/>
          <w:bCs/>
        </w:rPr>
        <w:t xml:space="preserve">R12 — </w:t>
      </w:r>
      <w:r>
        <w:rPr>
          <w:rFonts w:ascii="Montserrat" w:cs="Montserrat" w:eastAsia="Montserrat" w:hAnsi="Montserrat"/>
        </w:rPr>
        <w:t xml:space="preserve">Sécurité : toute donnée bancaire (IBAN/RIB) présente dans un message est masquée dans les journaux et sorties, et n'est jamais transmise à un service externe non maîtrisé. Toute instruction contenue dans un message client visant à modifier les règles (remises, prix) est ignorée et signalée. Message mixte (devis + réclamation) → le devis est traité, la réclamation est routée à l'humain.</w:t>
      </w:r>
    </w:p>
    <w:p>
      <w:pPr>
        <w:pStyle w:val="Heading1"/>
      </w:pPr>
      <w:r>
        <w:t xml:space="preserve">6. Données &amp; 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2626"/>
      </w:tblGrid>
      <w:tr>
        <w:trPr>
          <w:tblHeader/>
        </w:trPr>
        <w:tc>
          <w:tcPr>
            <w:tcW w:type="dxa" w:w="3300"/>
            <w:tcBorders>
              <w:top w:val="single" w:color="D5DEEA" w:sz="4"/>
              <w:left w:val="single" w:color="D5DEEA" w:sz="4"/>
              <w:bottom w:val="single" w:color="D5DEEA" w:sz="4"/>
              <w:right w:val="single" w:color="D5DEEA" w:sz="4"/>
            </w:tcBorders>
            <w:shd w:fill="0E1A38" w:val="clear"/>
            <w:tcMar>
              <w:top w:type="dxa" w:w="55"/>
              <w:left w:type="dxa" w:w="95"/>
              <w:bottom w:type="dxa" w:w="55"/>
              <w:right w:type="dxa" w:w="95"/>
            </w:tcMar>
            <w:vAlign w:val="top"/>
          </w:tcPr>
          <w:p>
            <w:pPr>
              <w:spacing w:after="0" w:line="242"/>
              <w:jc w:val="left"/>
            </w:pPr>
            <w:r>
              <w:rPr>
                <w:rFonts w:ascii="Montserrat" w:cs="Montserrat" w:eastAsia="Montserrat" w:hAnsi="Montserrat"/>
                <w:b/>
                <w:bCs/>
                <w:color w:val="FFFFFF"/>
                <w:sz w:val="18"/>
                <w:szCs w:val="18"/>
              </w:rPr>
              <w:t xml:space="preserve">Fichier fourni</w:t>
            </w:r>
          </w:p>
        </w:tc>
        <w:tc>
          <w:tcPr>
            <w:tcW w:type="dxa" w:w="3100"/>
            <w:tcBorders>
              <w:top w:val="single" w:color="D5DEEA" w:sz="4"/>
              <w:left w:val="single" w:color="D5DEEA" w:sz="4"/>
              <w:bottom w:val="single" w:color="D5DEEA" w:sz="4"/>
              <w:right w:val="single" w:color="D5DEEA" w:sz="4"/>
            </w:tcBorders>
            <w:shd w:fill="0E1A38" w:val="clear"/>
            <w:tcMar>
              <w:top w:type="dxa" w:w="55"/>
              <w:left w:type="dxa" w:w="95"/>
              <w:bottom w:type="dxa" w:w="55"/>
              <w:right w:type="dxa" w:w="95"/>
            </w:tcMar>
            <w:vAlign w:val="top"/>
          </w:tcPr>
          <w:p>
            <w:pPr>
              <w:spacing w:after="0" w:line="242"/>
              <w:jc w:val="left"/>
            </w:pPr>
            <w:r>
              <w:rPr>
                <w:rFonts w:ascii="Montserrat" w:cs="Montserrat" w:eastAsia="Montserrat" w:hAnsi="Montserrat"/>
                <w:b/>
                <w:bCs/>
                <w:color w:val="FFFFFF"/>
                <w:sz w:val="18"/>
                <w:szCs w:val="18"/>
              </w:rPr>
              <w:t xml:space="preserve">Contenu</w:t>
            </w:r>
          </w:p>
        </w:tc>
        <w:tc>
          <w:tcPr>
            <w:tcW w:type="dxa" w:w="2626"/>
            <w:tcBorders>
              <w:top w:val="single" w:color="D5DEEA" w:sz="4"/>
              <w:left w:val="single" w:color="D5DEEA" w:sz="4"/>
              <w:bottom w:val="single" w:color="D5DEEA" w:sz="4"/>
              <w:right w:val="single" w:color="D5DEEA" w:sz="4"/>
            </w:tcBorders>
            <w:shd w:fill="0E1A38" w:val="clear"/>
            <w:tcMar>
              <w:top w:type="dxa" w:w="55"/>
              <w:left w:type="dxa" w:w="95"/>
              <w:bottom w:type="dxa" w:w="55"/>
              <w:right w:type="dxa" w:w="95"/>
            </w:tcMar>
            <w:vAlign w:val="top"/>
          </w:tcPr>
          <w:p>
            <w:pPr>
              <w:spacing w:after="0" w:line="242"/>
              <w:jc w:val="left"/>
            </w:pPr>
            <w:r>
              <w:rPr>
                <w:rFonts w:ascii="Montserrat" w:cs="Montserrat" w:eastAsia="Montserrat" w:hAnsi="Montserrat"/>
                <w:b/>
                <w:bCs/>
                <w:color w:val="FFFFFF"/>
                <w:sz w:val="18"/>
                <w:szCs w:val="18"/>
              </w:rPr>
              <w:t xml:space="preserve">Données personnelles ?</w:t>
            </w:r>
          </w:p>
        </w:tc>
      </w:tr>
      <w:tr>
        <w:trPr>
          <w:tblHeader w:val="false"/>
        </w:trPr>
        <w:tc>
          <w:tcPr>
            <w:tcW w:type="dxa" w:w="33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clients.csv (42)</w:t>
            </w:r>
          </w:p>
        </w:tc>
        <w:tc>
          <w:tcPr>
            <w:tcW w:type="dxa" w:w="31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Conditions de paiement, remise contractuelle, segment</w:t>
            </w:r>
          </w:p>
        </w:tc>
        <w:tc>
          <w:tcPr>
            <w:tcW w:type="dxa" w:w="26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OUI — contacts nominatifs pro</w:t>
            </w:r>
          </w:p>
        </w:tc>
      </w:tr>
      <w:tr>
        <w:trPr>
          <w:tblHeader w:val="false"/>
        </w:trPr>
        <w:tc>
          <w:tcPr>
            <w:tcW w:type="dxa" w:w="33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factures.csv (141) · paiements.csv (75) · litiges.csv (3)</w:t>
            </w:r>
          </w:p>
        </w:tc>
        <w:tc>
          <w:tcPr>
            <w:tcW w:type="dxa" w:w="31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Le cœur du flux A — attention aux anomalies</w:t>
            </w:r>
          </w:p>
        </w:tc>
        <w:tc>
          <w:tcPr>
            <w:tcW w:type="dxa" w:w="26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Indirectes (rattachées aux clients)</w:t>
            </w:r>
          </w:p>
        </w:tc>
      </w:tr>
      <w:tr>
        <w:trPr>
          <w:tblHeader w:val="false"/>
        </w:trPr>
        <w:tc>
          <w:tcPr>
            <w:tcW w:type="dxa" w:w="33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catalogue.csv (28) · grille_remises_volume.csv</w:t>
            </w:r>
          </w:p>
        </w:tc>
        <w:tc>
          <w:tcPr>
            <w:tcW w:type="dxa" w:w="31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Produits, prix HT, TVA, paliers de remise</w:t>
            </w:r>
          </w:p>
        </w:tc>
        <w:tc>
          <w:tcPr>
            <w:tcW w:type="dxa" w:w="26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Non</w:t>
            </w:r>
          </w:p>
        </w:tc>
      </w:tr>
      <w:tr>
        <w:trPr>
          <w:tblHeader w:val="false"/>
        </w:trPr>
        <w:tc>
          <w:tcPr>
            <w:tcW w:type="dxa" w:w="33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demandes_devis.csv (22)</w:t>
            </w:r>
          </w:p>
        </w:tc>
        <w:tc>
          <w:tcPr>
            <w:tcW w:type="dxa" w:w="31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Demandes clients en texte libre</w:t>
            </w:r>
          </w:p>
        </w:tc>
        <w:tc>
          <w:tcPr>
            <w:tcW w:type="dxa" w:w="26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OUI — et parfois plus que prévu (R12)</w:t>
            </w:r>
          </w:p>
        </w:tc>
      </w:tr>
      <w:tr>
        <w:trPr>
          <w:tblHeader w:val="false"/>
        </w:trPr>
        <w:tc>
          <w:tcPr>
            <w:tcW w:type="dxa" w:w="33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modeles_courriers.csv (8)</w:t>
            </w:r>
          </w:p>
        </w:tc>
        <w:tc>
          <w:tcPr>
            <w:tcW w:type="dxa" w:w="3100"/>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Relances 1-3, recouvrement, devis FR/EN, clarification, alertes</w:t>
            </w:r>
          </w:p>
        </w:tc>
        <w:tc>
          <w:tcPr>
            <w:tcW w:type="dxa" w:w="2626"/>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Non</w:t>
            </w:r>
          </w:p>
        </w:tc>
      </w:tr>
    </w:tbl>
    <w:p>
      <w:pPr>
        <w:pBdr>
          <w:top w:val="single" w:color="B8860B" w:sz="2" w:space="5"/>
          <w:bottom w:val="single" w:color="B8860B" w:sz="2" w:space="5"/>
          <w:left w:val="single" w:color="B8860B" w:sz="16" w:space="9"/>
          <w:right w:val="single" w:color="B8860B" w:sz="2" w:space="5"/>
        </w:pBdr>
        <w:shd w:fill="FBF3DD" w:val="clear"/>
        <w:spacing w:after="120" w:before="60" w:line="258"/>
        <w:ind w:left="110" w:right="110"/>
      </w:pPr>
      <w:r>
        <w:rPr>
          <w:rFonts w:ascii="Montserrat" w:cs="Montserrat" w:eastAsia="Montserrat" w:hAnsi="Montserrat"/>
          <w:b/>
          <w:bCs/>
          <w:color w:val="8A6400"/>
          <w:sz w:val="20"/>
          <w:szCs w:val="20"/>
        </w:rPr>
        <w:t xml:space="preserve">Règle d'or de l'épreuve — </w:t>
      </w:r>
      <w:r>
        <w:rPr>
          <w:rFonts w:ascii="Montserrat" w:cs="Montserrat" w:eastAsia="Montserrat" w:hAnsi="Montserrat"/>
          <w:sz w:val="19"/>
          <w:szCs w:val="19"/>
        </w:rPr>
        <w:br/>
        <w:t xml:space="preserve">Les données sont fictives mais DOIVENT être traitées comme réelles : pas d'envoi en clair vers un service d'IA public non maîtrisé (anonymisation ou traitement local requis), pas de coordonnées bancaires dans les journaux, pas de secrets en dur dans le workflow. Le respect de cette règle fait partie de l'évaluation.</w:t>
      </w:r>
    </w:p>
    <w:p>
      <w:pPr>
        <w:pStyle w:val="Heading1"/>
      </w:pPr>
      <w:r>
        <w:t xml:space="preserve">7. Volumétrie</w:t>
      </w:r>
    </w:p>
    <w:p>
      <w:pPr>
        <w:spacing w:after="90" w:line="254"/>
      </w:pPr>
      <w:r>
        <w:rPr>
          <w:rFonts w:ascii="Montserrat" w:cs="Montserrat" w:eastAsia="Montserrat" w:hAnsi="Montserrat"/>
        </w:rPr>
        <w:t xml:space="preserve">Jeu fourni : </w:t>
      </w:r>
      <w:r>
        <w:rPr>
          <w:rFonts w:ascii="Montserrat" w:cs="Montserrat" w:eastAsia="Montserrat" w:hAnsi="Montserrat"/>
          <w:b/>
          <w:bCs/>
        </w:rPr>
        <w:t xml:space="preserve">141 factures, 75 paiements, 22 demandes de devis</w:t>
      </w:r>
      <w:r>
        <w:rPr>
          <w:rFonts w:ascii="Montserrat" w:cs="Montserrat" w:eastAsia="Montserrat" w:hAnsi="Montserrat"/>
        </w:rPr>
        <w:t xml:space="preserve">. En production : ~600 factures actives et ~15 devis/jour. Contrainte forte : </w:t>
      </w:r>
      <w:r>
        <w:rPr>
          <w:rFonts w:ascii="Montserrat" w:cs="Montserrat" w:eastAsia="Montserrat" w:hAnsi="Montserrat"/>
          <w:b/>
          <w:bCs/>
        </w:rPr>
        <w:t xml:space="preserve">l'exécution doit être rejouable</w:t>
      </w:r>
      <w:r>
        <w:rPr>
          <w:rFonts w:ascii="Montserrat" w:cs="Montserrat" w:eastAsia="Montserrat" w:hAnsi="Montserrat"/>
        </w:rPr>
        <w:t xml:space="preserve"> — relancer le traitement sur les mêmes données ne doit générer ni double relance ni double devis (idempotence).</w:t>
      </w:r>
    </w:p>
    <w:p>
      <w:pPr>
        <w:pStyle w:val="Heading1"/>
      </w:pPr>
      <w:r>
        <w:t xml:space="preserve">8. Cas d'erreur &amp; reprise humaine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EEA" w:sz="4"/>
              <w:left w:val="single" w:color="D5DEEA" w:sz="4"/>
              <w:bottom w:val="single" w:color="D5DEEA" w:sz="4"/>
              <w:right w:val="single" w:color="D5DEEA" w:sz="4"/>
            </w:tcBorders>
            <w:shd w:fill="0E1A38" w:val="clear"/>
            <w:tcMar>
              <w:top w:type="dxa" w:w="55"/>
              <w:left w:type="dxa" w:w="95"/>
              <w:bottom w:type="dxa" w:w="55"/>
              <w:right w:type="dxa" w:w="95"/>
            </w:tcMar>
            <w:vAlign w:val="top"/>
          </w:tcPr>
          <w:p>
            <w:pPr>
              <w:spacing w:after="0" w:line="242"/>
              <w:jc w:val="left"/>
            </w:pPr>
            <w:r>
              <w:rPr>
                <w:rFonts w:ascii="Montserrat" w:cs="Montserrat" w:eastAsia="Montserrat" w:hAnsi="Montserrat"/>
                <w:b/>
                <w:bCs/>
                <w:color w:val="FFFFFF"/>
                <w:sz w:val="18"/>
                <w:szCs w:val="18"/>
              </w:rPr>
              <w:t xml:space="preserve">Si ça se produit…</w:t>
            </w:r>
          </w:p>
        </w:tc>
        <w:tc>
          <w:tcPr>
            <w:tcW w:type="dxa" w:w="4513"/>
            <w:tcBorders>
              <w:top w:val="single" w:color="D5DEEA" w:sz="4"/>
              <w:left w:val="single" w:color="D5DEEA" w:sz="4"/>
              <w:bottom w:val="single" w:color="D5DEEA" w:sz="4"/>
              <w:right w:val="single" w:color="D5DEEA" w:sz="4"/>
            </w:tcBorders>
            <w:shd w:fill="0E1A38" w:val="clear"/>
            <w:tcMar>
              <w:top w:type="dxa" w:w="55"/>
              <w:left w:type="dxa" w:w="95"/>
              <w:bottom w:type="dxa" w:w="55"/>
              <w:right w:type="dxa" w:w="95"/>
            </w:tcMar>
            <w:vAlign w:val="top"/>
          </w:tcPr>
          <w:p>
            <w:pPr>
              <w:spacing w:after="0" w:line="242"/>
              <w:jc w:val="left"/>
            </w:pPr>
            <w:r>
              <w:rPr>
                <w:rFonts w:ascii="Montserrat" w:cs="Montserrat" w:eastAsia="Montserrat" w:hAnsi="Montserrat"/>
                <w:b/>
                <w:bCs/>
                <w:color w:val="FFFFFF"/>
                <w:sz w:val="18"/>
                <w:szCs w:val="18"/>
              </w:rPr>
              <w:t xml:space="preserve">Alors…</w:t>
            </w:r>
          </w:p>
        </w:tc>
      </w:tr>
      <w:tr>
        <w:trPr>
          <w:tblHeader w:val="false"/>
        </w:trPr>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Échéance manquante</w:t>
            </w:r>
          </w:p>
        </w:tc>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Calcul selon R4 + trace de la valeur calculée</w:t>
            </w:r>
          </w:p>
        </w:tc>
      </w:tr>
      <w:tr>
        <w:trPr>
          <w:tblHeader w:val="false"/>
        </w:trPr>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Facture en double, TTC incohérent, échéance &lt; émission</w:t>
            </w:r>
          </w:p>
        </w:tc>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File Anomalies, pas de relance (R7)</w:t>
            </w:r>
          </w:p>
        </w:tc>
      </w:tr>
      <w:tr>
        <w:trPr>
          <w:tblHeader w:val="false"/>
        </w:trPr>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Paiement orphelin ou trop-perçu</w:t>
            </w:r>
          </w:p>
        </w:tc>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Signalement comptable, facture concernée gelée (R7)</w:t>
            </w:r>
          </w:p>
        </w:tc>
      </w:tr>
      <w:tr>
        <w:trPr>
          <w:tblHeader w:val="false"/>
        </w:trPr>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Litige ouvert</w:t>
            </w:r>
          </w:p>
        </w:tc>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Aucune relance (R3)</w:t>
            </w:r>
          </w:p>
        </w:tc>
      </w:tr>
      <w:tr>
        <w:trPr>
          <w:tblHeader w:val="false"/>
        </w:trPr>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Solde &lt; 15 €</w:t>
            </w:r>
          </w:p>
        </w:tc>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Pas de relance individuelle, agrégat (R5)</w:t>
            </w:r>
          </w:p>
        </w:tc>
      </w:tr>
      <w:tr>
        <w:trPr>
          <w:tblHeader w:val="false"/>
        </w:trPr>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Produit de devis introuvable / ambigu</w:t>
            </w:r>
          </w:p>
        </w:tc>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Ligne à clarifier, reste chiffré (R8)</w:t>
            </w:r>
          </w:p>
        </w:tc>
      </w:tr>
      <w:tr>
        <w:trPr>
          <w:tblHeader w:val="false"/>
        </w:trPr>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Remise hors grille demandée</w:t>
            </w:r>
          </w:p>
        </w:tc>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8"/>
                <w:szCs w:val="18"/>
              </w:rPr>
              <w:t xml:space="preserve">Validation humaine, pas de devis auto (R10)</w:t>
            </w:r>
          </w:p>
        </w:tc>
      </w:tr>
      <w:tr>
        <w:trPr>
          <w:tblHeader w:val="false"/>
        </w:trPr>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Client inconnu · message vide · contenu manipulateur ou donnée bancaire</w:t>
            </w:r>
          </w:p>
        </w:tc>
        <w:tc>
          <w:tcPr>
            <w:tcW w:type="dxa" w:w="4513"/>
            <w:tcBorders>
              <w:top w:val="single" w:color="D5DEEA" w:sz="4"/>
              <w:left w:val="single" w:color="D5DEEA" w:sz="4"/>
              <w:bottom w:val="single" w:color="D5DEEA" w:sz="4"/>
              <w:right w:val="single" w:color="D5DEEA" w:sz="4"/>
            </w:tcBorders>
            <w:tcMar>
              <w:top w:type="dxa" w:w="55"/>
              <w:left w:type="dxa" w:w="95"/>
              <w:bottom w:type="dxa" w:w="55"/>
              <w:right w:type="dxa" w:w="95"/>
            </w:tcMar>
            <w:vAlign w:val="top"/>
          </w:tcPr>
          <w:p>
            <w:pPr>
              <w:spacing w:after="0" w:line="242"/>
              <w:jc w:val="left"/>
            </w:pPr>
            <w:r>
              <w:rPr>
                <w:rFonts w:ascii="Montserrat" w:cs="Montserrat" w:eastAsia="Montserrat" w:hAnsi="Montserrat"/>
                <w:b w:val="false"/>
                <w:bCs w:val="false"/>
                <w:color w:val="222831"/>
                <w:sz w:val="17"/>
                <w:szCs w:val="17"/>
              </w:rPr>
              <w:t xml:space="preserve">Prospect à qualifier · demande de précisions · R12 (masquage, aucune application, signalement)</w:t>
            </w:r>
          </w:p>
        </w:tc>
      </w:tr>
    </w:tbl>
    <w:p>
      <w:pPr>
        <w:pStyle w:val="Heading1"/>
      </w:pPr>
      <w:r>
        <w:t xml:space="preserve">9. Résultat attendu &amp; notifications</w:t>
      </w:r>
    </w:p>
    <w:p>
      <w:pPr>
        <w:spacing w:after="90" w:line="254"/>
      </w:pPr>
      <w:r>
        <w:rPr>
          <w:rFonts w:ascii="Montserrat" w:cs="Montserrat" w:eastAsia="Montserrat" w:hAnsi="Montserrat"/>
        </w:rPr>
        <w:t xml:space="preserve">En sortie : </w:t>
      </w:r>
      <w:r>
        <w:rPr>
          <w:rFonts w:ascii="Montserrat" w:cs="Montserrat" w:eastAsia="Montserrat" w:hAnsi="Montserrat"/>
          <w:b/>
          <w:bCs/>
        </w:rPr>
        <w:t xml:space="preserve">la table des décisions de relance</w:t>
      </w:r>
      <w:r>
        <w:rPr>
          <w:rFonts w:ascii="Montserrat" w:cs="Montserrat" w:eastAsia="Montserrat" w:hAnsi="Montserrat"/>
        </w:rPr>
        <w:t xml:space="preserve"> (facture, client, solde, stade appliqué ou motif d'écartement, échéance recalculée le cas échéant) · </w:t>
      </w:r>
      <w:r>
        <w:rPr>
          <w:rFonts w:ascii="Montserrat" w:cs="Montserrat" w:eastAsia="Montserrat" w:hAnsi="Montserrat"/>
          <w:b/>
          <w:bCs/>
        </w:rPr>
        <w:t xml:space="preserve">l'outbox</w:t>
      </w:r>
      <w:r>
        <w:rPr>
          <w:rFonts w:ascii="Montserrat" w:cs="Montserrat" w:eastAsia="Montserrat" w:hAnsi="Montserrat"/>
        </w:rPr>
        <w:t xml:space="preserve"> des courriers de relance et des devis, horodatés · </w:t>
      </w:r>
      <w:r>
        <w:rPr>
          <w:rFonts w:ascii="Montserrat" w:cs="Montserrat" w:eastAsia="Montserrat" w:hAnsi="Montserrat"/>
          <w:b/>
          <w:bCs/>
        </w:rPr>
        <w:t xml:space="preserve">les devis générés</w:t>
      </w:r>
      <w:r>
        <w:rPr>
          <w:rFonts w:ascii="Montserrat" w:cs="Montserrat" w:eastAsia="Montserrat" w:hAnsi="Montserrat"/>
        </w:rPr>
        <w:t xml:space="preserve"> (numéro, lignes chiffrées, remise appliquée et sa justification, totaux HT/TVA/TTC, validité 30 jours) · </w:t>
      </w:r>
      <w:r>
        <w:rPr>
          <w:rFonts w:ascii="Montserrat" w:cs="Montserrat" w:eastAsia="Montserrat" w:hAnsi="Montserrat"/>
          <w:b/>
          <w:bCs/>
        </w:rPr>
        <w:t xml:space="preserve">les alertes</w:t>
      </w:r>
      <w:r>
        <w:rPr>
          <w:rFonts w:ascii="Montserrat" w:cs="Montserrat" w:eastAsia="Montserrat" w:hAnsi="Montserrat"/>
        </w:rPr>
        <w:t xml:space="preserve"> validation humaine (grands comptes R3+, remises hors grille, anomalies, sécurité) · </w:t>
      </w:r>
      <w:r>
        <w:rPr>
          <w:rFonts w:ascii="Montserrat" w:cs="Montserrat" w:eastAsia="Montserrat" w:hAnsi="Montserrat"/>
          <w:b/>
          <w:bCs/>
        </w:rPr>
        <w:t xml:space="preserve">un journal d'exécution</w:t>
      </w:r>
      <w:r>
        <w:rPr>
          <w:rFonts w:ascii="Montserrat" w:cs="Montserrat" w:eastAsia="Montserrat" w:hAnsi="Montserrat"/>
        </w:rPr>
        <w:t xml:space="preserve"> complet · </w:t>
      </w:r>
      <w:r>
        <w:rPr>
          <w:rFonts w:ascii="Montserrat" w:cs="Montserrat" w:eastAsia="Montserrat" w:hAnsi="Montserrat"/>
          <w:b/>
          <w:bCs/>
        </w:rPr>
        <w:t xml:space="preserve">un tableau de bord</w:t>
      </w:r>
      <w:r>
        <w:rPr>
          <w:rFonts w:ascii="Montserrat" w:cs="Montserrat" w:eastAsia="Montserrat" w:hAnsi="Montserrat"/>
        </w:rPr>
        <w:t xml:space="preserve"> (libre) : encours par stade, DSO simulé, devis générés/en attente/à clarifier.</w:t>
      </w:r>
    </w:p>
    <w:p>
      <w:pPr>
        <w:pStyle w:val="Heading1"/>
      </w:pPr>
      <w:r>
        <w:t xml:space="preserve">10. Critères de réussite</w:t>
      </w:r>
    </w:p>
    <w:p>
      <w:pPr>
        <w:spacing w:after="55" w:line="248"/>
      </w:pPr>
      <w:r>
        <w:rPr>
          <w:rFonts w:ascii="Montserrat" w:cs="Montserrat" w:eastAsia="Montserrat" w:hAnsi="Montserrat"/>
          <w:b/>
          <w:bCs/>
        </w:rPr>
        <w:t xml:space="preserve">1. </w:t>
      </w:r>
      <w:r>
        <w:rPr>
          <w:rFonts w:ascii="Montserrat" w:cs="Montserrat" w:eastAsia="Montserrat" w:hAnsi="Montserrat"/>
        </w:rPr>
        <w:t xml:space="preserve">100 % des 141 factures évaluées, chacune avec une décision tracée (relance n° X / écartée : motif).</w:t>
      </w:r>
    </w:p>
    <w:p>
      <w:pPr>
        <w:spacing w:after="55" w:line="248"/>
      </w:pPr>
      <w:r>
        <w:rPr>
          <w:rFonts w:ascii="Montserrat" w:cs="Montserrat" w:eastAsia="Montserrat" w:hAnsi="Montserrat"/>
          <w:b/>
          <w:bCs/>
        </w:rPr>
        <w:t xml:space="preserve">2. </w:t>
      </w:r>
      <w:r>
        <w:rPr>
          <w:rFonts w:ascii="Montserrat" w:cs="Montserrat" w:eastAsia="Montserrat" w:hAnsi="Montserrat"/>
        </w:rPr>
        <w:t xml:space="preserve">ZÉRO relance sur facture soldée ou en litige ouvert.</w:t>
      </w:r>
    </w:p>
    <w:p>
      <w:pPr>
        <w:spacing w:after="55" w:line="248"/>
      </w:pPr>
      <w:r>
        <w:rPr>
          <w:rFonts w:ascii="Montserrat" w:cs="Montserrat" w:eastAsia="Montserrat" w:hAnsi="Montserrat"/>
          <w:b/>
          <w:bCs/>
        </w:rPr>
        <w:t xml:space="preserve">3. </w:t>
      </w:r>
      <w:r>
        <w:rPr>
          <w:rFonts w:ascii="Montserrat" w:cs="Montserrat" w:eastAsia="Montserrat" w:hAnsi="Montserrat"/>
        </w:rPr>
        <w:t xml:space="preserve">Soldes exacts au centime (paiements partiels et multiples correctement sommés) — vérifiés contre le corrigé du jury.</w:t>
      </w:r>
    </w:p>
    <w:p>
      <w:pPr>
        <w:spacing w:after="55" w:line="248"/>
      </w:pPr>
      <w:r>
        <w:rPr>
          <w:rFonts w:ascii="Montserrat" w:cs="Montserrat" w:eastAsia="Montserrat" w:hAnsi="Montserrat"/>
          <w:b/>
          <w:bCs/>
        </w:rPr>
        <w:t xml:space="preserve">4. </w:t>
      </w:r>
      <w:r>
        <w:rPr>
          <w:rFonts w:ascii="Montserrat" w:cs="Montserrat" w:eastAsia="Montserrat" w:hAnsi="Montserrat"/>
        </w:rPr>
        <w:t xml:space="preserve">Idempotence démontrée : deux exécutions successives, zéro courrier en double.</w:t>
      </w:r>
    </w:p>
    <w:p>
      <w:pPr>
        <w:spacing w:after="55" w:line="248"/>
      </w:pPr>
      <w:r>
        <w:rPr>
          <w:rFonts w:ascii="Montserrat" w:cs="Montserrat" w:eastAsia="Montserrat" w:hAnsi="Montserrat"/>
          <w:b/>
          <w:bCs/>
        </w:rPr>
        <w:t xml:space="preserve">5. </w:t>
      </w:r>
      <w:r>
        <w:rPr>
          <w:rFonts w:ascii="Montserrat" w:cs="Montserrat" w:eastAsia="Montserrat" w:hAnsi="Montserrat"/>
        </w:rPr>
        <w:t xml:space="preserve">≥ 90 % des lignes de devis correctement rapprochées et chiffrées (remise et TVA exactes).</w:t>
      </w:r>
    </w:p>
    <w:p>
      <w:pPr>
        <w:spacing w:after="55" w:line="248"/>
      </w:pPr>
      <w:r>
        <w:rPr>
          <w:rFonts w:ascii="Montserrat" w:cs="Montserrat" w:eastAsia="Montserrat" w:hAnsi="Montserrat"/>
          <w:b/>
          <w:bCs/>
        </w:rPr>
        <w:t xml:space="preserve">6. </w:t>
      </w:r>
      <w:r>
        <w:rPr>
          <w:rFonts w:ascii="Montserrat" w:cs="Montserrat" w:eastAsia="Montserrat" w:hAnsi="Montserrat"/>
        </w:rPr>
        <w:t xml:space="preserve">Zéro coordonnée bancaire en clair dans les journaux, prompts ou sorties.</w:t>
      </w:r>
    </w:p>
    <w:p>
      <w:pPr>
        <w:spacing w:after="55" w:line="248"/>
      </w:pPr>
      <w:r>
        <w:rPr>
          <w:rFonts w:ascii="Montserrat" w:cs="Montserrat" w:eastAsia="Montserrat" w:hAnsi="Montserrat"/>
          <w:b/>
          <w:bCs/>
        </w:rPr>
        <w:t xml:space="preserve">7. </w:t>
      </w:r>
      <w:r>
        <w:rPr>
          <w:rFonts w:ascii="Montserrat" w:cs="Montserrat" w:eastAsia="Montserrat" w:hAnsi="Montserrat"/>
        </w:rPr>
        <w:t xml:space="preserve">Démonstration de bout en bout rejouable devant le jury.</w:t>
      </w:r>
    </w:p>
    <w:p>
      <w:pPr>
        <w:pStyle w:val="Heading1"/>
      </w:pPr>
      <w:r>
        <w:t xml:space="preserve">11. Pièces jointes</w:t>
      </w:r>
    </w:p>
    <w:p>
      <w:pPr>
        <w:spacing w:after="90" w:line="254"/>
      </w:pPr>
      <w:r>
        <w:rPr>
          <w:rFonts w:ascii="Montserrat" w:cs="Montserrat" w:eastAsia="Montserrat" w:hAnsi="Montserrat"/>
        </w:rPr>
        <w:t xml:space="preserve">clients.csv · factures.csv · paiements.csv · litiges.csv · catalogue.csv · grille_remises_volume.csv · demandes_devis.csv · modeles_courriers.csv · fournitex_adv.sql (dump MySQL) · LISEZMOI_donnees.txt</w:t>
      </w:r>
    </w:p>
    <w:p>
      <w:r>
        <w:br w:type="page"/>
      </w:r>
    </w:p>
    <w:p>
      <w:pPr>
        <w:pStyle w:val="Heading1"/>
      </w:pPr>
      <w:r>
        <w:t xml:space="preserve">Modalités de l'épreuve</w:t>
      </w:r>
    </w:p>
    <w:p>
      <w:pPr>
        <w:spacing w:after="90" w:line="254"/>
      </w:pPr>
      <w:r>
        <w:rPr>
          <w:rFonts w:ascii="Montserrat" w:cs="Montserrat" w:eastAsia="Montserrat" w:hAnsi="Montserrat"/>
          <w:b/>
          <w:bCs/>
        </w:rPr>
        <w:t xml:space="preserve">Durée : </w:t>
      </w:r>
      <w:r>
        <w:rPr>
          <w:rFonts w:ascii="Montserrat" w:cs="Montserrat" w:eastAsia="Montserrat" w:hAnsi="Montserrat"/>
        </w:rPr>
        <w:t xml:space="preserve">3 jours. </w:t>
      </w:r>
      <w:r>
        <w:rPr>
          <w:rFonts w:ascii="Montserrat" w:cs="Montserrat" w:eastAsia="Montserrat" w:hAnsi="Montserrat"/>
          <w:b/>
          <w:bCs/>
        </w:rPr>
        <w:t xml:space="preserve">Outillage : </w:t>
      </w:r>
      <w:r>
        <w:rPr>
          <w:rFonts w:ascii="Montserrat" w:cs="Montserrat" w:eastAsia="Montserrat" w:hAnsi="Montserrat"/>
        </w:rPr>
        <w:t xml:space="preserve">n8n obligatoire comme orchestrateur ; nœuds Code et scripts externes (Python, JS…) autorisés et valorisés à bon escient. Base de données et outils annexes libres.</w:t>
      </w:r>
    </w:p>
    <w:p>
      <w:pPr>
        <w:spacing w:after="90" w:line="254"/>
      </w:pPr>
      <w:r>
        <w:rPr>
          <w:rFonts w:ascii="Montserrat" w:cs="Montserrat" w:eastAsia="Montserrat" w:hAnsi="Montserrat"/>
          <w:b/>
          <w:bCs/>
        </w:rPr>
        <w:t xml:space="preserve">Jalons conseillés — </w:t>
      </w:r>
      <w:r>
        <w:rPr>
          <w:rFonts w:ascii="Montserrat" w:cs="Montserrat" w:eastAsia="Montserrat" w:hAnsi="Montserrat"/>
        </w:rPr>
        <w:t xml:space="preserve">J1 : ingestion complète + soldes et échéances justes (le socle : si les soldes sont faux, tout est faux). J2 : moteur de relances complet (stades, litiges, seuil, grands comptes, anomalies) + idempotence. J3 : flux devis, robustesse, tableau de bord, répétition de la démo.</w:t>
      </w:r>
    </w:p>
    <w:p>
      <w:pPr>
        <w:spacing w:after="90" w:line="254"/>
      </w:pPr>
      <w:r>
        <w:rPr>
          <w:rFonts w:ascii="Montserrat" w:cs="Montserrat" w:eastAsia="Montserrat" w:hAnsi="Montserrat"/>
          <w:b/>
          <w:bCs/>
        </w:rPr>
        <w:t xml:space="preserve">Livrables attendus en fin de J3 : </w:t>
      </w:r>
      <w:r>
        <w:rPr>
          <w:rFonts w:ascii="Montserrat" w:cs="Montserrat" w:eastAsia="Montserrat" w:hAnsi="Montserrat"/>
        </w:rPr>
        <w:t xml:space="preserve">① export du workflow n8n (.json) + code annexe · ② note d'architecture d'1 à 2 pages (choix, limites, suite avec une semaine de plus) · ③ démonstration de 20 minutes + questions · ④ journal des anomalies détectées et de leur traitement.</w:t>
      </w:r>
    </w:p>
    <w:p>
      <w:pPr>
        <w:pBdr>
          <w:top w:val="single" w:color="5BBFCC" w:sz="2" w:space="5"/>
          <w:bottom w:val="single" w:color="5BBFCC" w:sz="2" w:space="5"/>
          <w:left w:val="single" w:color="5BBFCC" w:sz="16" w:space="9"/>
          <w:right w:val="single" w:color="5BBFCC" w:sz="2" w:space="5"/>
        </w:pBdr>
        <w:shd w:fill="EAF6F9" w:val="clear"/>
        <w:spacing w:after="120" w:before="60" w:line="258"/>
        <w:ind w:left="110" w:right="110"/>
      </w:pPr>
      <w:r>
        <w:rPr>
          <w:rFonts w:ascii="Montserrat" w:cs="Montserrat" w:eastAsia="Montserrat" w:hAnsi="Montserrat"/>
          <w:b/>
          <w:bCs/>
          <w:color w:val="1C7E8C"/>
          <w:sz w:val="20"/>
          <w:szCs w:val="20"/>
        </w:rPr>
        <w:t xml:space="preserve">À lire attentivement — </w:t>
      </w:r>
      <w:r>
        <w:rPr>
          <w:rFonts w:ascii="Montserrat" w:cs="Montserrat" w:eastAsia="Montserrat" w:hAnsi="Montserrat"/>
          <w:sz w:val="19"/>
          <w:szCs w:val="19"/>
        </w:rPr>
        <w:br/>
        <w:t xml:space="preserve">Le jeu de données contient volontairement des anomalies et des cas limites — les détecter, les journaliser et les traiter selon ce cahier des charges fait partie intégrante de l'épreuve. En cas de doute sur une règle : appliquer le CDC et documenter votre interprétation.</w:t>
      </w:r>
    </w:p>
    <w:p>
      <w:pPr>
        <w:pBdr>
          <w:top w:val="single" w:color="B8860B" w:sz="2" w:space="5"/>
          <w:bottom w:val="single" w:color="B8860B" w:sz="2" w:space="5"/>
          <w:left w:val="single" w:color="B8860B" w:sz="16" w:space="9"/>
          <w:right w:val="single" w:color="B8860B" w:sz="2" w:space="5"/>
        </w:pBdr>
        <w:shd w:fill="FBF3DD" w:val="clear"/>
        <w:spacing w:after="60" w:before="40" w:line="256"/>
        <w:ind w:left="110" w:right="110"/>
      </w:pPr>
      <w:r>
        <w:rPr>
          <w:rFonts w:ascii="Montserrat" w:cs="Montserrat" w:eastAsia="Montserrat" w:hAnsi="Montserrat"/>
          <w:b/>
          <w:bCs/>
          <w:color w:val="8A6400"/>
          <w:sz w:val="18"/>
          <w:szCs w:val="18"/>
        </w:rPr>
        <w:t xml:space="preserve">Réservé youmanIT — </w:t>
      </w:r>
      <w:r>
        <w:rPr>
          <w:rFonts w:ascii="Montserrat" w:cs="Montserrat" w:eastAsia="Montserrat" w:hAnsi="Montserrat"/>
          <w:sz w:val="18"/>
          <w:szCs w:val="18"/>
        </w:rPr>
        <w:t xml:space="preserve">CDC validé : ☑ Prêt à builder   ·   Document d'épreuve — ne pas diffuser hors session de recrutement.</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EEA" w:sz="4" w:space="4"/>
      </w:pBdr>
      <w:jc w:val="center"/>
    </w:pPr>
    <w:r>
      <w:rPr>
        <w:rFonts w:ascii="Montserrat" w:cs="Montserrat" w:eastAsia="Montserrat" w:hAnsi="Montserrat"/>
        <w:color w:val="5B6B86"/>
        <w:sz w:val="14"/>
        <w:szCs w:val="14"/>
      </w:rPr>
      <w:t xml:space="preserve">youmanIT — Human &amp; Technology   ·   page </w:t>
    </w:r>
    <w:r>
      <w:rPr>
        <w:rFonts w:ascii="Montserrat" w:cs="Montserrat" w:eastAsia="Montserrat" w:hAnsi="Montserrat"/>
        <w:color w:val="5B6B8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color w:val="5B6B86"/>
        <w:sz w:val="15"/>
        <w:szCs w:val="15"/>
      </w:rPr>
      <w:t xml:space="preserve">youmanIT · Épreuve Fournitex — CDC candidat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22283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BFCC" w:sz="11" w:space="4"/>
      </w:pBdr>
      <w:spacing w:after="80" w:before="210"/>
    </w:pPr>
    <w:rPr>
      <w:rFonts w:ascii="Montserrat" w:cs="Montserrat" w:eastAsia="Montserrat" w:hAnsi="Montserrat"/>
      <w:b/>
      <w:bCs/>
      <w:color w:val="0E1A3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fc7eaded43d2e389d751d0f2605485258fad69.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2026-07-21T13:11:20.073Z</dcterms:created>
  <dcterms:modified xsi:type="dcterms:W3CDTF">2026-07-21T13:11:20.198Z</dcterms:modified>
</cp:coreProperties>
</file>

<file path=docProps/custom.xml><?xml version="1.0" encoding="utf-8"?>
<Properties xmlns="http://schemas.openxmlformats.org/officeDocument/2006/custom-properties" xmlns:vt="http://schemas.openxmlformats.org/officeDocument/2006/docPropsVTypes"/>
</file>