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3.2.3 Intégration des modules V2I et Fail-Safe</w:t>
      </w:r>
    </w:p>
    <w:p>
      <w:pPr>
        <w:spacing w:before="200" w:after="200"/>
        <w:jc w:val="both"/>
      </w:pPr>
      <w:r>
        <w:t xml:space="preserve">Cette section présente l'architecture d'intégration de deux modules critiques du système Urban Flow : le module V2I (Vehicle-to-Infrastructure) assurant la priorité aux véhicules d'urgence, et le module Fail-Safe garantissant la sûreté de fonctionnement du système en cas de défaillance. Ces modules constituent les piliers de la fiabilité et de la sécurité du jumeau numérique.</w:t>
      </w:r>
    </w:p>
    <w:p>
      <w:pPr>
        <w:pStyle w:val="Heading2"/>
      </w:pPr>
      <w:r>
        <w:t xml:space="preserve">A. Module V2I (Vehicle-to-Infrastructure)</w:t>
      </w:r>
    </w:p>
    <w:p>
      <w:pPr>
        <w:pStyle w:val="Heading3"/>
      </w:pPr>
      <w:r>
        <w:t xml:space="preserve">1. Architecture du système V2I</w:t>
      </w:r>
    </w:p>
    <w:p>
      <w:pPr>
        <w:spacing w:before="100" w:after="100"/>
        <w:jc w:val="both"/>
      </w:pPr>
      <w:r>
        <w:t xml:space="preserve">Le module V2I établit une communication bidirectionnelle entre les véhicules d'urgence (ambulances, pompiers, police) et l'infrastructure routière intelligente. Cette architecture repose sur trois composantes principales :</w:t>
      </w:r>
    </w:p>
    <w:p>
      <w:pPr>
        <w:pStyle w:val="ListParagraph"/>
        <w:numPr>
          <w:ilvl w:val="0"/>
          <w:numId w:val="2"/>
        </w:numPr>
      </w:pPr>
      <w:r>
        <w:t xml:space="preserve">Unité embarquée (OBU - On-Board Unit) : Équipement installé dans les véhicules d'urgence, comprenant un module GPS, un émetteur-récepteur radio et une interface de signalisation.</w:t>
      </w:r>
    </w:p>
    <w:p>
      <w:pPr>
        <w:pStyle w:val="ListParagraph"/>
        <w:numPr>
          <w:ilvl w:val="0"/>
          <w:numId w:val="2"/>
        </w:numPr>
      </w:pPr>
      <w:r>
        <w:t xml:space="preserve">Unité de bord de route (RSU - Road-Side Unit) : Infrastructure déployée aux intersections, intégrant des antennes de communication, des processeurs de traitement temps réel et des interfaces avec les contrôleurs de feux.</w:t>
      </w:r>
    </w:p>
    <w:p>
      <w:pPr>
        <w:pStyle w:val="ListParagraph"/>
        <w:numPr>
          <w:ilvl w:val="0"/>
          <w:numId w:val="2"/>
        </w:numPr>
      </w:pPr>
      <w:r>
        <w:t xml:space="preserve">Centre de gestion du trafic (TMC - Traffic Management Center) : Backend centralisé effectuant la supervision globale, l'orchestration des priorités et la coordination multi-intersections.</w:t>
      </w:r>
    </w:p>
    <w:p>
      <w:pPr>
        <w:pStyle w:val="Heading3"/>
        <w:spacing w:before="200" w:after="100"/>
      </w:pPr>
      <w:r>
        <w:t xml:space="preserve">2. Protocole de communication</w:t>
      </w:r>
    </w:p>
    <w:p>
      <w:pPr>
        <w:spacing w:before="100" w:after="100"/>
        <w:jc w:val="both"/>
      </w:pPr>
      <w:r>
        <w:t xml:space="preserve">La communication V2I dans Urban Flow utilise le protocole DSRC (Dedicated Short-Range Communications) sur la bande de fréquence 5.9 GHz, avec un rayon de portée effectif de 300 mètres. Le format des messages suit la norme SAE J2735 avec les structures suivantes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Type de Message</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Contenu</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Fréquence</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Priorité</w:t>
            </w:r>
          </w:p>
        </w:tc>
      </w:tr>
      <w:tr>
        <w:tc>
          <w:tcPr>
            <w:tcW w:type="dxa" w:w="2340"/>
            <w:tcBorders>
              <w:top w:val="single" w:color="000000" w:sz="1"/>
              <w:left w:val="single" w:color="000000" w:sz="1"/>
              <w:bottom w:val="single" w:color="000000" w:sz="1"/>
              <w:right w:val="single" w:color="000000" w:sz="1"/>
            </w:tcBorders>
          </w:tcPr>
          <w:p>
            <w:r>
              <w:t xml:space="preserve">BSM (Basic Safety Message)</w:t>
            </w:r>
          </w:p>
        </w:tc>
        <w:tc>
          <w:tcPr>
            <w:tcW w:type="dxa" w:w="2340"/>
            <w:tcBorders>
              <w:top w:val="single" w:color="000000" w:sz="1"/>
              <w:left w:val="single" w:color="000000" w:sz="1"/>
              <w:bottom w:val="single" w:color="000000" w:sz="1"/>
              <w:right w:val="single" w:color="000000" w:sz="1"/>
            </w:tcBorders>
          </w:tcPr>
          <w:p>
            <w:r>
              <w:t xml:space="preserve">Position, vitesse, direction, statut d'urgence</w:t>
            </w:r>
          </w:p>
        </w:tc>
        <w:tc>
          <w:tcPr>
            <w:tcW w:type="dxa" w:w="2340"/>
            <w:tcBorders>
              <w:top w:val="single" w:color="000000" w:sz="1"/>
              <w:left w:val="single" w:color="000000" w:sz="1"/>
              <w:bottom w:val="single" w:color="000000" w:sz="1"/>
              <w:right w:val="single" w:color="000000" w:sz="1"/>
            </w:tcBorders>
          </w:tcPr>
          <w:p>
            <w:r>
              <w:t xml:space="preserve">10 Hz (100 ms)</w:t>
            </w:r>
          </w:p>
        </w:tc>
        <w:tc>
          <w:tcPr>
            <w:tcW w:type="dxa" w:w="2340"/>
            <w:tcBorders>
              <w:top w:val="single" w:color="000000" w:sz="1"/>
              <w:left w:val="single" w:color="000000" w:sz="1"/>
              <w:bottom w:val="single" w:color="000000" w:sz="1"/>
              <w:right w:val="single" w:color="000000" w:sz="1"/>
            </w:tcBorders>
          </w:tcPr>
          <w:p>
            <w:r>
              <w:t xml:space="preserve">Critique</w:t>
            </w:r>
          </w:p>
        </w:tc>
      </w:tr>
      <w:tr>
        <w:tc>
          <w:tcPr>
            <w:tcW w:type="dxa" w:w="2340"/>
            <w:tcBorders>
              <w:top w:val="single" w:color="000000" w:sz="1"/>
              <w:left w:val="single" w:color="000000" w:sz="1"/>
              <w:bottom w:val="single" w:color="000000" w:sz="1"/>
              <w:right w:val="single" w:color="000000" w:sz="1"/>
            </w:tcBorders>
          </w:tcPr>
          <w:p>
            <w:r>
              <w:t xml:space="preserve">SRM (Signal Request Message)</w:t>
            </w:r>
          </w:p>
        </w:tc>
        <w:tc>
          <w:tcPr>
            <w:tcW w:type="dxa" w:w="2340"/>
            <w:tcBorders>
              <w:top w:val="single" w:color="000000" w:sz="1"/>
              <w:left w:val="single" w:color="000000" w:sz="1"/>
              <w:bottom w:val="single" w:color="000000" w:sz="1"/>
              <w:right w:val="single" w:color="000000" w:sz="1"/>
            </w:tcBorders>
          </w:tcPr>
          <w:p>
            <w:r>
              <w:t xml:space="preserve">Requête de priorité, itinéraire prévu, ETA</w:t>
            </w:r>
          </w:p>
        </w:tc>
        <w:tc>
          <w:tcPr>
            <w:tcW w:type="dxa" w:w="2340"/>
            <w:tcBorders>
              <w:top w:val="single" w:color="000000" w:sz="1"/>
              <w:left w:val="single" w:color="000000" w:sz="1"/>
              <w:bottom w:val="single" w:color="000000" w:sz="1"/>
              <w:right w:val="single" w:color="000000" w:sz="1"/>
            </w:tcBorders>
          </w:tcPr>
          <w:p>
            <w:r>
              <w:t xml:space="preserve">2 Hz (500 ms)</w:t>
            </w:r>
          </w:p>
        </w:tc>
        <w:tc>
          <w:tcPr>
            <w:tcW w:type="dxa" w:w="2340"/>
            <w:tcBorders>
              <w:top w:val="single" w:color="000000" w:sz="1"/>
              <w:left w:val="single" w:color="000000" w:sz="1"/>
              <w:bottom w:val="single" w:color="000000" w:sz="1"/>
              <w:right w:val="single" w:color="000000" w:sz="1"/>
            </w:tcBorders>
          </w:tcPr>
          <w:p>
            <w:r>
              <w:t xml:space="preserve">Haute</w:t>
            </w:r>
          </w:p>
        </w:tc>
      </w:tr>
      <w:tr>
        <w:tc>
          <w:tcPr>
            <w:tcW w:type="dxa" w:w="2340"/>
            <w:tcBorders>
              <w:top w:val="single" w:color="000000" w:sz="1"/>
              <w:left w:val="single" w:color="000000" w:sz="1"/>
              <w:bottom w:val="single" w:color="000000" w:sz="1"/>
              <w:right w:val="single" w:color="000000" w:sz="1"/>
            </w:tcBorders>
          </w:tcPr>
          <w:p>
            <w:r>
              <w:t xml:space="preserve">SSM (Signal Status Message)</w:t>
            </w:r>
          </w:p>
        </w:tc>
        <w:tc>
          <w:tcPr>
            <w:tcW w:type="dxa" w:w="2340"/>
            <w:tcBorders>
              <w:top w:val="single" w:color="000000" w:sz="1"/>
              <w:left w:val="single" w:color="000000" w:sz="1"/>
              <w:bottom w:val="single" w:color="000000" w:sz="1"/>
              <w:right w:val="single" w:color="000000" w:sz="1"/>
            </w:tcBorders>
          </w:tcPr>
          <w:p>
            <w:r>
              <w:t xml:space="preserve">État des feux, confirmation de priorité, temps restant</w:t>
            </w:r>
          </w:p>
        </w:tc>
        <w:tc>
          <w:tcPr>
            <w:tcW w:type="dxa" w:w="2340"/>
            <w:tcBorders>
              <w:top w:val="single" w:color="000000" w:sz="1"/>
              <w:left w:val="single" w:color="000000" w:sz="1"/>
              <w:bottom w:val="single" w:color="000000" w:sz="1"/>
              <w:right w:val="single" w:color="000000" w:sz="1"/>
            </w:tcBorders>
          </w:tcPr>
          <w:p>
            <w:r>
              <w:t xml:space="preserve">1 Hz (1000 ms)</w:t>
            </w:r>
          </w:p>
        </w:tc>
        <w:tc>
          <w:tcPr>
            <w:tcW w:type="dxa" w:w="2340"/>
            <w:tcBorders>
              <w:top w:val="single" w:color="000000" w:sz="1"/>
              <w:left w:val="single" w:color="000000" w:sz="1"/>
              <w:bottom w:val="single" w:color="000000" w:sz="1"/>
              <w:right w:val="single" w:color="000000" w:sz="1"/>
            </w:tcBorders>
          </w:tcPr>
          <w:p>
            <w:r>
              <w:t xml:space="preserve">Moyenne</w:t>
            </w:r>
          </w:p>
        </w:tc>
      </w:tr>
    </w:tbl>
    <w:p>
      <w:pPr>
        <w:pStyle w:val="Heading3"/>
        <w:spacing w:before="200" w:after="100"/>
      </w:pPr>
      <w:r>
        <w:t xml:space="preserve">3. Algorithme de « Vague Verte » adaptative</w:t>
      </w:r>
    </w:p>
    <w:p>
      <w:pPr>
        <w:spacing w:before="100" w:after="100"/>
        <w:jc w:val="both"/>
      </w:pPr>
      <w:r>
        <w:t xml:space="preserve">L'algorithme de vague verte implémenté dans Urban Flow optimise dynamiquement la séquence de feux pour minimiser le temps de parcours des véhicules d'urgence tout en assurant la sécurité des autres usagers. Le processus se déroule en quatre étapes :</w:t>
      </w:r>
    </w:p>
    <w:p>
      <w:pPr>
        <w:pStyle w:val="ListParagraph"/>
        <w:numPr>
          <w:ilvl w:val="0"/>
          <w:numId w:val="3"/>
        </w:numPr>
      </w:pPr>
      <w:r>
        <w:t xml:space="preserve">Détection et prédiction : Dès réception du BSM, le système calcule la trajectoire prévue du véhicule d'urgence en utilisant l'algorithme de Kalman pour prédire sa position future à t+5s, t+10s, t+15s.</w:t>
      </w:r>
    </w:p>
    <w:p>
      <w:pPr>
        <w:pStyle w:val="ListParagraph"/>
        <w:numPr>
          <w:ilvl w:val="0"/>
          <w:numId w:val="3"/>
        </w:numPr>
      </w:pPr>
      <w:r>
        <w:t xml:space="preserve">Planification de corridor : L'algorithme identifie toutes les intersections sur le trajet (algorithme de Dijkstra) et réserve une fenêtre temporelle verte d'au moins 20 secondes pour chaque passage.</w:t>
      </w:r>
    </w:p>
    <w:p>
      <w:pPr>
        <w:pStyle w:val="ListParagraph"/>
        <w:numPr>
          <w:ilvl w:val="0"/>
          <w:numId w:val="3"/>
        </w:numPr>
      </w:pPr>
      <w:r>
        <w:t xml:space="preserve">Évacuation sécurisée : Avant passage au vert du corridor d'urgence, le système impose une phase rouge totale de 3 secondes (all-red) pour garantir l'évacuation complète de l'intersection.</w:t>
      </w:r>
    </w:p>
    <w:p>
      <w:pPr>
        <w:pStyle w:val="ListParagraph"/>
        <w:numPr>
          <w:ilvl w:val="0"/>
          <w:numId w:val="3"/>
        </w:numPr>
      </w:pPr>
      <w:r>
        <w:t xml:space="preserve">Retour progressif : Après passage du véhicule d'urgence, l'algorithme Max-Pressure reprend graduellement le contrôle avec une transition lissée sur 15 secondes pour éviter les perturbations.</w:t>
      </w:r>
    </w:p>
    <w:p>
      <w:pPr>
        <w:pStyle w:val="Heading3"/>
        <w:spacing w:before="200" w:after="100"/>
      </w:pPr>
      <w:r>
        <w:t xml:space="preserve">4. Gestion des conflits de priorité</w:t>
      </w:r>
    </w:p>
    <w:p>
      <w:pPr>
        <w:spacing w:before="100" w:after="100"/>
        <w:jc w:val="both"/>
      </w:pPr>
      <w:r>
        <w:t xml:space="preserve">Dans le cas de requêtes multiples simultanées, le système implémente un mécanisme de résolution basé sur trois critères hiérarchiques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Niveau de Priorité</w:t>
            </w:r>
          </w:p>
        </w:tc>
        <w:tc>
          <w:tcPr>
            <w:tcW w:type="dxa" w:w="312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Type de Véhicule</w:t>
            </w:r>
          </w:p>
        </w:tc>
        <w:tc>
          <w:tcPr>
            <w:tcW w:type="dxa" w:w="312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Règle de Résolution</w:t>
            </w:r>
          </w:p>
        </w:tc>
      </w:tr>
      <w:tr>
        <w:tc>
          <w:tcPr>
            <w:tcW w:type="dxa" w:w="3120"/>
            <w:tcBorders>
              <w:top w:val="single" w:color="000000" w:sz="1"/>
              <w:left w:val="single" w:color="000000" w:sz="1"/>
              <w:bottom w:val="single" w:color="000000" w:sz="1"/>
              <w:right w:val="single" w:color="000000" w:sz="1"/>
            </w:tcBorders>
          </w:tcPr>
          <w:p>
            <w:pPr>
              <w:jc w:val="center"/>
            </w:pPr>
            <w:r>
              <w:rPr>
                <w:b/>
                <w:bCs/>
              </w:rPr>
              <w:t xml:space="preserve">P1 - Critique</w:t>
            </w:r>
          </w:p>
        </w:tc>
        <w:tc>
          <w:tcPr>
            <w:tcW w:type="dxa" w:w="3120"/>
            <w:tcBorders>
              <w:top w:val="single" w:color="000000" w:sz="1"/>
              <w:left w:val="single" w:color="000000" w:sz="1"/>
              <w:bottom w:val="single" w:color="000000" w:sz="1"/>
              <w:right w:val="single" w:color="000000" w:sz="1"/>
            </w:tcBorders>
          </w:tcPr>
          <w:p>
            <w:r>
              <w:t xml:space="preserve">Ambulance avec patient critique, pompiers</w:t>
            </w:r>
          </w:p>
        </w:tc>
        <w:tc>
          <w:tcPr>
            <w:tcW w:type="dxa" w:w="3120"/>
            <w:tcBorders>
              <w:top w:val="single" w:color="000000" w:sz="1"/>
              <w:left w:val="single" w:color="000000" w:sz="1"/>
              <w:bottom w:val="single" w:color="000000" w:sz="1"/>
              <w:right w:val="single" w:color="000000" w:sz="1"/>
            </w:tcBorders>
          </w:tcPr>
          <w:p>
            <w:r>
              <w:t xml:space="preserve">Priorité absolue, vague verte immédiate</w:t>
            </w:r>
          </w:p>
        </w:tc>
      </w:tr>
      <w:tr>
        <w:tc>
          <w:tcPr>
            <w:tcW w:type="dxa" w:w="3120"/>
            <w:tcBorders>
              <w:top w:val="single" w:color="000000" w:sz="1"/>
              <w:left w:val="single" w:color="000000" w:sz="1"/>
              <w:bottom w:val="single" w:color="000000" w:sz="1"/>
              <w:right w:val="single" w:color="000000" w:sz="1"/>
            </w:tcBorders>
          </w:tcPr>
          <w:p>
            <w:pPr>
              <w:jc w:val="center"/>
            </w:pPr>
            <w:r>
              <w:rPr>
                <w:b/>
                <w:bCs/>
              </w:rPr>
              <w:t xml:space="preserve">P2 - Haute</w:t>
            </w:r>
          </w:p>
        </w:tc>
        <w:tc>
          <w:tcPr>
            <w:tcW w:type="dxa" w:w="3120"/>
            <w:tcBorders>
              <w:top w:val="single" w:color="000000" w:sz="1"/>
              <w:left w:val="single" w:color="000000" w:sz="1"/>
              <w:bottom w:val="single" w:color="000000" w:sz="1"/>
              <w:right w:val="single" w:color="000000" w:sz="1"/>
            </w:tcBorders>
          </w:tcPr>
          <w:p>
            <w:r>
              <w:t xml:space="preserve">Police en intervention urgente</w:t>
            </w:r>
          </w:p>
        </w:tc>
        <w:tc>
          <w:tcPr>
            <w:tcW w:type="dxa" w:w="3120"/>
            <w:tcBorders>
              <w:top w:val="single" w:color="000000" w:sz="1"/>
              <w:left w:val="single" w:color="000000" w:sz="1"/>
              <w:bottom w:val="single" w:color="000000" w:sz="1"/>
              <w:right w:val="single" w:color="000000" w:sz="1"/>
            </w:tcBorders>
          </w:tcPr>
          <w:p>
            <w:r>
              <w:t xml:space="preserve">Priorité si pas de P1, sinon séquencement</w:t>
            </w:r>
          </w:p>
        </w:tc>
      </w:tr>
      <w:tr>
        <w:tc>
          <w:tcPr>
            <w:tcW w:type="dxa" w:w="3120"/>
            <w:tcBorders>
              <w:top w:val="single" w:color="000000" w:sz="1"/>
              <w:left w:val="single" w:color="000000" w:sz="1"/>
              <w:bottom w:val="single" w:color="000000" w:sz="1"/>
              <w:right w:val="single" w:color="000000" w:sz="1"/>
            </w:tcBorders>
          </w:tcPr>
          <w:p>
            <w:pPr>
              <w:jc w:val="center"/>
            </w:pPr>
            <w:r>
              <w:rPr>
                <w:b/>
                <w:bCs/>
              </w:rPr>
              <w:t xml:space="preserve">P3 - Standard</w:t>
            </w:r>
          </w:p>
        </w:tc>
        <w:tc>
          <w:tcPr>
            <w:tcW w:type="dxa" w:w="3120"/>
            <w:tcBorders>
              <w:top w:val="single" w:color="000000" w:sz="1"/>
              <w:left w:val="single" w:color="000000" w:sz="1"/>
              <w:bottom w:val="single" w:color="000000" w:sz="1"/>
              <w:right w:val="single" w:color="000000" w:sz="1"/>
            </w:tcBorders>
          </w:tcPr>
          <w:p>
            <w:r>
              <w:t xml:space="preserve">Ambulance non critique, maintenance</w:t>
            </w:r>
          </w:p>
        </w:tc>
        <w:tc>
          <w:tcPr>
            <w:tcW w:type="dxa" w:w="3120"/>
            <w:tcBorders>
              <w:top w:val="single" w:color="000000" w:sz="1"/>
              <w:left w:val="single" w:color="000000" w:sz="1"/>
              <w:bottom w:val="single" w:color="000000" w:sz="1"/>
              <w:right w:val="single" w:color="000000" w:sz="1"/>
            </w:tcBorders>
          </w:tcPr>
          <w:p>
            <w:r>
              <w:t xml:space="preserve">Optimisation best-effort, pas de blocage</w:t>
            </w:r>
          </w:p>
        </w:tc>
      </w:tr>
    </w:tbl>
    <w:p>
      <w:r>
        <w:br w:type="page"/>
      </w:r>
    </w:p>
    <w:p>
      <w:pPr>
        <w:pStyle w:val="Heading2"/>
      </w:pPr>
      <w:r>
        <w:t xml:space="preserve">B. Module Fail-Safe (Sûreté de Fonctionnement)</w:t>
      </w:r>
    </w:p>
    <w:p>
      <w:pPr>
        <w:spacing w:before="100" w:after="100"/>
        <w:jc w:val="both"/>
      </w:pPr>
      <w:r>
        <w:t xml:space="preserve">Le module Fail-Safe constitue le garde-fou ultime du système Urban Flow, assurant que toute défaillance système n'entraîne jamais de situation dangereuse pour les usagers. Sa conception repose sur les principes de la sûreté de fonctionnement selon la norme IEC 61508 (SIL 3 - Safety Integrity Level 3).</w:t>
      </w:r>
    </w:p>
    <w:p>
      <w:pPr>
        <w:pStyle w:val="Heading3"/>
        <w:spacing w:before="200" w:after="100"/>
      </w:pPr>
      <w:r>
        <w:t xml:space="preserve">1. Architecture redondante</w:t>
      </w:r>
    </w:p>
    <w:p>
      <w:pPr>
        <w:spacing w:before="100" w:after="100"/>
        <w:jc w:val="both"/>
      </w:pPr>
      <w:r>
        <w:t xml:space="preserve">Le système implémente une architecture triple-redondante (TMR - Triple Modular Redundancy) pour les composants critiques :</w:t>
      </w:r>
    </w:p>
    <w:p>
      <w:pPr>
        <w:pStyle w:val="ListParagraph"/>
        <w:numPr>
          <w:ilvl w:val="0"/>
          <w:numId w:val="2"/>
        </w:numPr>
      </w:pPr>
      <w:r>
        <w:t xml:space="preserve">Contrôleurs primaires (3 unités) : Trois processeurs indépendants exécutent parallèlement l'algorithme de gestion des feux avec vote majoritaire à 2/3.</w:t>
      </w:r>
    </w:p>
    <w:p>
      <w:pPr>
        <w:pStyle w:val="ListParagraph"/>
        <w:numPr>
          <w:ilvl w:val="0"/>
          <w:numId w:val="2"/>
        </w:numPr>
      </w:pPr>
      <w:r>
        <w:t xml:space="preserve">Capteurs redondants : Chaque voie dispose de deux capteurs de détection (boucle inductive + caméra) avec logique de fusion de données.</w:t>
      </w:r>
    </w:p>
    <w:p>
      <w:pPr>
        <w:pStyle w:val="ListParagraph"/>
        <w:numPr>
          <w:ilvl w:val="0"/>
          <w:numId w:val="2"/>
        </w:numPr>
      </w:pPr>
      <w:r>
        <w:t xml:space="preserve">Alimentation sécurisée : Système d'alimentation principal + UPS (Uninterruptible Power Supply) garantissant 4 heures d'autonomie + générateur diesel de secours.</w:t>
      </w:r>
    </w:p>
    <w:p>
      <w:pPr>
        <w:pStyle w:val="Heading3"/>
        <w:spacing w:before="200" w:after="100"/>
      </w:pPr>
      <w:r>
        <w:t xml:space="preserve">2. Détection des défaillances</w:t>
      </w:r>
    </w:p>
    <w:p>
      <w:pPr>
        <w:spacing w:before="100" w:after="100"/>
        <w:jc w:val="both"/>
      </w:pPr>
      <w:r>
        <w:t xml:space="preserve">Le système surveille en continu 12 paramètres critiques avec des seuils d'alerte prédéfinis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Type de Défaillance</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Méthode de Détection</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Temps de Réaction</w:t>
            </w:r>
          </w:p>
        </w:tc>
        <w:tc>
          <w:tcPr>
            <w:tcW w:type="dxa" w:w="2340"/>
            <w:tcBorders>
              <w:top w:val="single" w:color="000000" w:sz="1"/>
              <w:left w:val="single" w:color="000000" w:sz="1"/>
              <w:bottom w:val="single" w:color="000000" w:sz="1"/>
              <w:right w:val="single" w:color="000000" w:sz="1"/>
            </w:tcBorders>
            <w:shd w:fill="2E5C8A" w:val="clear"/>
          </w:tcPr>
          <w:p>
            <w:pPr>
              <w:jc w:val="center"/>
            </w:pPr>
            <w:r>
              <w:rPr>
                <w:b/>
                <w:bCs/>
                <w:color w:val="FFFFFF"/>
              </w:rPr>
              <w:t xml:space="preserve">Mode de Repli</w:t>
            </w:r>
          </w:p>
        </w:tc>
      </w:tr>
      <w:tr>
        <w:tc>
          <w:tcPr>
            <w:tcW w:type="dxa" w:w="2340"/>
            <w:tcBorders>
              <w:top w:val="single" w:color="000000" w:sz="1"/>
              <w:left w:val="single" w:color="000000" w:sz="1"/>
              <w:bottom w:val="single" w:color="000000" w:sz="1"/>
              <w:right w:val="single" w:color="000000" w:sz="1"/>
            </w:tcBorders>
          </w:tcPr>
          <w:p>
            <w:r>
              <w:t xml:space="preserve">Perte de communication SUMO</w:t>
            </w:r>
          </w:p>
        </w:tc>
        <w:tc>
          <w:tcPr>
            <w:tcW w:type="dxa" w:w="2340"/>
            <w:tcBorders>
              <w:top w:val="single" w:color="000000" w:sz="1"/>
              <w:left w:val="single" w:color="000000" w:sz="1"/>
              <w:bottom w:val="single" w:color="000000" w:sz="1"/>
              <w:right w:val="single" w:color="000000" w:sz="1"/>
            </w:tcBorders>
          </w:tcPr>
          <w:p>
            <w:r>
              <w:t xml:space="preserve">Heartbeat timeout (3s)</w:t>
            </w:r>
          </w:p>
        </w:tc>
        <w:tc>
          <w:tcPr>
            <w:tcW w:type="dxa" w:w="2340"/>
            <w:tcBorders>
              <w:top w:val="single" w:color="000000" w:sz="1"/>
              <w:left w:val="single" w:color="000000" w:sz="1"/>
              <w:bottom w:val="single" w:color="000000" w:sz="1"/>
              <w:right w:val="single" w:color="000000" w:sz="1"/>
            </w:tcBorders>
          </w:tcPr>
          <w:p>
            <w:pPr>
              <w:jc w:val="center"/>
            </w:pPr>
            <w:r>
              <w:t xml:space="preserve">&lt; 5s</w:t>
            </w:r>
          </w:p>
        </w:tc>
        <w:tc>
          <w:tcPr>
            <w:tcW w:type="dxa" w:w="2340"/>
            <w:tcBorders>
              <w:top w:val="single" w:color="000000" w:sz="1"/>
              <w:left w:val="single" w:color="000000" w:sz="1"/>
              <w:bottom w:val="single" w:color="000000" w:sz="1"/>
              <w:right w:val="single" w:color="000000" w:sz="1"/>
            </w:tcBorders>
          </w:tcPr>
          <w:p>
            <w:r>
              <w:t xml:space="preserve">Mode fixe avec cycle conservatif</w:t>
            </w:r>
          </w:p>
        </w:tc>
      </w:tr>
      <w:tr>
        <w:tc>
          <w:tcPr>
            <w:tcW w:type="dxa" w:w="2340"/>
            <w:tcBorders>
              <w:top w:val="single" w:color="000000" w:sz="1"/>
              <w:left w:val="single" w:color="000000" w:sz="1"/>
              <w:bottom w:val="single" w:color="000000" w:sz="1"/>
              <w:right w:val="single" w:color="000000" w:sz="1"/>
            </w:tcBorders>
          </w:tcPr>
          <w:p>
            <w:r>
              <w:t xml:space="preserve">Défaillance capteur</w:t>
            </w:r>
          </w:p>
        </w:tc>
        <w:tc>
          <w:tcPr>
            <w:tcW w:type="dxa" w:w="2340"/>
            <w:tcBorders>
              <w:top w:val="single" w:color="000000" w:sz="1"/>
              <w:left w:val="single" w:color="000000" w:sz="1"/>
              <w:bottom w:val="single" w:color="000000" w:sz="1"/>
              <w:right w:val="single" w:color="000000" w:sz="1"/>
            </w:tcBorders>
          </w:tcPr>
          <w:p>
            <w:r>
              <w:t xml:space="preserve">Valeur aberrante ou données manquantes</w:t>
            </w:r>
          </w:p>
        </w:tc>
        <w:tc>
          <w:tcPr>
            <w:tcW w:type="dxa" w:w="2340"/>
            <w:tcBorders>
              <w:top w:val="single" w:color="000000" w:sz="1"/>
              <w:left w:val="single" w:color="000000" w:sz="1"/>
              <w:bottom w:val="single" w:color="000000" w:sz="1"/>
              <w:right w:val="single" w:color="000000" w:sz="1"/>
            </w:tcBorders>
          </w:tcPr>
          <w:p>
            <w:pPr>
              <w:jc w:val="center"/>
            </w:pPr>
            <w:r>
              <w:t xml:space="preserve">&lt; 1s</w:t>
            </w:r>
          </w:p>
        </w:tc>
        <w:tc>
          <w:tcPr>
            <w:tcW w:type="dxa" w:w="2340"/>
            <w:tcBorders>
              <w:top w:val="single" w:color="000000" w:sz="1"/>
              <w:left w:val="single" w:color="000000" w:sz="1"/>
              <w:bottom w:val="single" w:color="000000" w:sz="1"/>
              <w:right w:val="single" w:color="000000" w:sz="1"/>
            </w:tcBorders>
          </w:tcPr>
          <w:p>
            <w:r>
              <w:t xml:space="preserve">Basculement sur capteur redondant</w:t>
            </w:r>
          </w:p>
        </w:tc>
      </w:tr>
      <w:tr>
        <w:tc>
          <w:tcPr>
            <w:tcW w:type="dxa" w:w="2340"/>
            <w:tcBorders>
              <w:top w:val="single" w:color="000000" w:sz="1"/>
              <w:left w:val="single" w:color="000000" w:sz="1"/>
              <w:bottom w:val="single" w:color="000000" w:sz="1"/>
              <w:right w:val="single" w:color="000000" w:sz="1"/>
            </w:tcBorders>
          </w:tcPr>
          <w:p>
            <w:r>
              <w:t xml:space="preserve">Incohérence algorithme</w:t>
            </w:r>
          </w:p>
        </w:tc>
        <w:tc>
          <w:tcPr>
            <w:tcW w:type="dxa" w:w="2340"/>
            <w:tcBorders>
              <w:top w:val="single" w:color="000000" w:sz="1"/>
              <w:left w:val="single" w:color="000000" w:sz="1"/>
              <w:bottom w:val="single" w:color="000000" w:sz="1"/>
              <w:right w:val="single" w:color="000000" w:sz="1"/>
            </w:tcBorders>
          </w:tcPr>
          <w:p>
            <w:r>
              <w:t xml:space="preserve">Vote majoritaire TMR (2/3)</w:t>
            </w:r>
          </w:p>
        </w:tc>
        <w:tc>
          <w:tcPr>
            <w:tcW w:type="dxa" w:w="2340"/>
            <w:tcBorders>
              <w:top w:val="single" w:color="000000" w:sz="1"/>
              <w:left w:val="single" w:color="000000" w:sz="1"/>
              <w:bottom w:val="single" w:color="000000" w:sz="1"/>
              <w:right w:val="single" w:color="000000" w:sz="1"/>
            </w:tcBorders>
          </w:tcPr>
          <w:p>
            <w:pPr>
              <w:jc w:val="center"/>
            </w:pPr>
            <w:r>
              <w:t xml:space="preserve">&lt; 100ms</w:t>
            </w:r>
          </w:p>
        </w:tc>
        <w:tc>
          <w:tcPr>
            <w:tcW w:type="dxa" w:w="2340"/>
            <w:tcBorders>
              <w:top w:val="single" w:color="000000" w:sz="1"/>
              <w:left w:val="single" w:color="000000" w:sz="1"/>
              <w:bottom w:val="single" w:color="000000" w:sz="1"/>
              <w:right w:val="single" w:color="000000" w:sz="1"/>
            </w:tcBorders>
          </w:tcPr>
          <w:p>
            <w:r>
              <w:t xml:space="preserve">Isolation du contrôleur défaillant</w:t>
            </w:r>
          </w:p>
        </w:tc>
      </w:tr>
      <w:tr>
        <w:tc>
          <w:tcPr>
            <w:tcW w:type="dxa" w:w="2340"/>
            <w:tcBorders>
              <w:top w:val="single" w:color="000000" w:sz="1"/>
              <w:left w:val="single" w:color="000000" w:sz="1"/>
              <w:bottom w:val="single" w:color="000000" w:sz="1"/>
              <w:right w:val="single" w:color="000000" w:sz="1"/>
            </w:tcBorders>
          </w:tcPr>
          <w:p>
            <w:r>
              <w:t xml:space="preserve">Coupure électrique</w:t>
            </w:r>
          </w:p>
        </w:tc>
        <w:tc>
          <w:tcPr>
            <w:tcW w:type="dxa" w:w="2340"/>
            <w:tcBorders>
              <w:top w:val="single" w:color="000000" w:sz="1"/>
              <w:left w:val="single" w:color="000000" w:sz="1"/>
              <w:bottom w:val="single" w:color="000000" w:sz="1"/>
              <w:right w:val="single" w:color="000000" w:sz="1"/>
            </w:tcBorders>
          </w:tcPr>
          <w:p>
            <w:r>
              <w:t xml:space="preserve">Surveillance tension primaire</w:t>
            </w:r>
          </w:p>
        </w:tc>
        <w:tc>
          <w:tcPr>
            <w:tcW w:type="dxa" w:w="2340"/>
            <w:tcBorders>
              <w:top w:val="single" w:color="000000" w:sz="1"/>
              <w:left w:val="single" w:color="000000" w:sz="1"/>
              <w:bottom w:val="single" w:color="000000" w:sz="1"/>
              <w:right w:val="single" w:color="000000" w:sz="1"/>
            </w:tcBorders>
          </w:tcPr>
          <w:p>
            <w:pPr>
              <w:jc w:val="center"/>
            </w:pPr>
            <w:r>
              <w:t xml:space="preserve">&lt; 10ms</w:t>
            </w:r>
          </w:p>
        </w:tc>
        <w:tc>
          <w:tcPr>
            <w:tcW w:type="dxa" w:w="2340"/>
            <w:tcBorders>
              <w:top w:val="single" w:color="000000" w:sz="1"/>
              <w:left w:val="single" w:color="000000" w:sz="1"/>
              <w:bottom w:val="single" w:color="000000" w:sz="1"/>
              <w:right w:val="single" w:color="000000" w:sz="1"/>
            </w:tcBorders>
          </w:tcPr>
          <w:p>
            <w:r>
              <w:t xml:space="preserve">Basculement UPS automatique</w:t>
            </w:r>
          </w:p>
        </w:tc>
      </w:tr>
    </w:tbl>
    <w:p>
      <w:pPr>
        <w:pStyle w:val="Heading3"/>
        <w:spacing w:before="200" w:after="100"/>
      </w:pPr>
      <w:r>
        <w:t xml:space="preserve">3. Modes de fonctionnement dégradé</w:t>
      </w:r>
    </w:p>
    <w:p>
      <w:pPr>
        <w:spacing w:before="100" w:after="100"/>
        <w:jc w:val="both"/>
      </w:pPr>
      <w:r>
        <w:t xml:space="preserve">Le système Fail-Safe définit quatre niveaux de fonctionnement dégradé avec transition automatique :</w:t>
      </w:r>
    </w:p>
    <w:p>
      <w:pPr>
        <w:pStyle w:val="ListParagraph"/>
        <w:numPr>
          <w:ilvl w:val="0"/>
          <w:numId w:val="3"/>
        </w:numPr>
      </w:pPr>
      <w:r>
        <w:t xml:space="preserve">Mode Normal (100% capacité) : Fonctionnement optimal avec algorithme Max-Pressure et V2I actifs, tous les capteurs opérationnels, latence &lt; 50ms.</w:t>
      </w:r>
    </w:p>
    <w:p>
      <w:pPr>
        <w:pStyle w:val="ListParagraph"/>
        <w:numPr>
          <w:ilvl w:val="0"/>
          <w:numId w:val="3"/>
        </w:numPr>
      </w:pPr>
      <w:r>
        <w:t xml:space="preserve">Mode Dégradé 1 (80% capacité) : Perte d'un capteur ou d'un contrôleur, algorithme adaptatif maintenu avec données fusionnées, latence &lt; 100ms.</w:t>
      </w:r>
    </w:p>
    <w:p>
      <w:pPr>
        <w:pStyle w:val="ListParagraph"/>
        <w:numPr>
          <w:ilvl w:val="0"/>
          <w:numId w:val="3"/>
        </w:numPr>
      </w:pPr>
      <w:r>
        <w:t xml:space="preserve">Mode Dégradé 2 (60% capacité) : Perte de multiples capteurs, basculement sur plan de feux semi-adaptatif basé sur profils historiques, V2I maintenu.</w:t>
      </w:r>
    </w:p>
    <w:p>
      <w:pPr>
        <w:pStyle w:val="ListParagraph"/>
        <w:numPr>
          <w:ilvl w:val="0"/>
          <w:numId w:val="3"/>
        </w:numPr>
      </w:pPr>
      <w:r>
        <w:t xml:space="preserve">Mode Sécurisé (Mode d'Urgence) : Défaillance critique détectée, activation du mode feux fixes avec cycles longs conservatifs (60s rouge/30s vert), notification immédiate des opérateurs, priorité manuelle V2I uniquement.</w:t>
      </w:r>
    </w:p>
    <w:p>
      <w:pPr>
        <w:pStyle w:val="Heading3"/>
        <w:spacing w:before="200" w:after="100"/>
      </w:pPr>
      <w:r>
        <w:t xml:space="preserve">4. Procédures de test et validation</w:t>
      </w:r>
    </w:p>
    <w:p>
      <w:pPr>
        <w:spacing w:before="100" w:after="100"/>
        <w:jc w:val="both"/>
      </w:pPr>
      <w:r>
        <w:t xml:space="preserve">La validation du module Fail-Safe s'effectue selon un protocole rigoureux en trois phases :</w:t>
      </w:r>
    </w:p>
    <w:p>
      <w:pPr>
        <w:pStyle w:val="ListParagraph"/>
        <w:numPr>
          <w:ilvl w:val="0"/>
          <w:numId w:val="2"/>
        </w:numPr>
      </w:pPr>
      <w:r>
        <w:t xml:space="preserve">Tests unitaires automatisés : 150 scénarios de défaillance simulés avec injection de fautes (fault injection) dans l'environnement SUMO, vérification automatique du temps de détection et du mode de repli activé.</w:t>
      </w:r>
    </w:p>
    <w:p>
      <w:pPr>
        <w:pStyle w:val="ListParagraph"/>
        <w:numPr>
          <w:ilvl w:val="0"/>
          <w:numId w:val="2"/>
        </w:numPr>
      </w:pPr>
      <w:r>
        <w:t xml:space="preserve">Tests d'intégration HIL (Hardware-in-the-Loop) : Connexion du jumeau numérique à des contrôleurs physiques réels pour validation du comportement en conditions réelles.</w:t>
      </w:r>
    </w:p>
    <w:p>
      <w:pPr>
        <w:pStyle w:val="ListParagraph"/>
        <w:numPr>
          <w:ilvl w:val="0"/>
          <w:numId w:val="2"/>
        </w:numPr>
      </w:pPr>
      <w:r>
        <w:t xml:space="preserve">Tests de charge extrême : Simulation de pannes multiples simultanées (worst-case scenario) avec 1000 véhicules, 5 intersections, et défaillances cascades.</w:t>
      </w:r>
    </w:p>
    <w:p>
      <w:pPr>
        <w:pStyle w:val="Heading2"/>
        <w:spacing w:before="200" w:after="100"/>
      </w:pPr>
      <w:r>
        <w:t xml:space="preserve">C. Intégration et Synergie V2I - Fail-Safe</w:t>
      </w:r>
    </w:p>
    <w:p>
      <w:pPr>
        <w:spacing w:before="100" w:after="100"/>
        <w:jc w:val="both"/>
      </w:pPr>
      <w:r>
        <w:t xml:space="preserve">L'intégration des modules V2I et Fail-Safe au sein du jumeau numérique Urban Flow crée un système résilient capable de maintenir les fonctionnalités critiques même en mode dégradé. La synergie entre ces deux modules s'articule autour de trois mécanismes clés :</w:t>
      </w:r>
    </w:p>
    <w:p>
      <w:pPr>
        <w:pStyle w:val="ListParagraph"/>
        <w:numPr>
          <w:ilvl w:val="0"/>
          <w:numId w:val="3"/>
        </w:numPr>
      </w:pPr>
      <w:r>
        <w:t xml:space="preserve">Priorité garantie : En mode dégradé, le module Fail-Safe préserve systématiquement la fonctionnalité V2I pour les véhicules P1 (critiques), quitte à sacrifier l'optimisation du trafic ordinaire.</w:t>
      </w:r>
    </w:p>
    <w:p>
      <w:pPr>
        <w:pStyle w:val="ListParagraph"/>
        <w:numPr>
          <w:ilvl w:val="0"/>
          <w:numId w:val="3"/>
        </w:numPr>
      </w:pPr>
      <w:r>
        <w:t xml:space="preserve">Notification intelligente : Le système V2I informe proactivement les véhicules d'urgence du niveau de dégradation via les messages SSM, permettant une adaptation de leur conduite.</w:t>
      </w:r>
    </w:p>
    <w:p>
      <w:pPr>
        <w:pStyle w:val="ListParagraph"/>
        <w:numPr>
          <w:ilvl w:val="0"/>
          <w:numId w:val="3"/>
        </w:numPr>
      </w:pPr>
      <w:r>
        <w:t xml:space="preserve">Reprise progressive : Après correction d'une défaillance, le module Fail-Safe orchestre une réactivation graduelle des fonctionnalités (V2I → Max-Pressure → Mode normal) pour éviter les transitions brusques.</w:t>
      </w:r>
    </w:p>
    <w:p>
      <w:pPr>
        <w:spacing w:before="200" w:after="200"/>
        <w:jc w:val="both"/>
      </w:pPr>
      <w:r>
        <w:t xml:space="preserve">Cette architecture doublement sécurisée garantit que le système Urban Flow respecte les exigences de sûreté les plus strictes tout en maximisant la disponibilité opérationnelle. Les métriques de fiabilité cibles sont : MTBF (Mean Time Between Failures) ≥ 8760 heures (1 an), MTTR (Mean Time To Repair) ≤ 2 heures, et disponibilité ≥ 99.9%.</w:t>
      </w:r>
    </w:p>
    <w:p>
      <w:pPr>
        <w:spacing w:before="300" w:after="100"/>
        <w:jc w:val="both"/>
      </w:pPr>
      <w:r>
        <w:rPr>
          <w:i/>
          <w:iCs/>
          <w:sz w:val="20"/>
          <w:szCs w:val="20"/>
        </w:rPr>
        <w:t xml:space="preserve">Note : Les diagrammes d'architecture détaillés (diagramme de séquence V2I, machine d'états Fail-Safe, et schéma d'intégration système) sont disponibles en annexe du rapport complet.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2025-12-27T17:12:07.590Z</dcterms:created>
  <dcterms:modified xsi:type="dcterms:W3CDTF">2025-12-27T17:12:07.591Z</dcterms:modified>
</cp:coreProperties>
</file>

<file path=docProps/custom.xml><?xml version="1.0" encoding="utf-8"?>
<Properties xmlns="http://schemas.openxmlformats.org/officeDocument/2006/custom-properties" xmlns:vt="http://schemas.openxmlformats.org/officeDocument/2006/docPropsVTypes"/>
</file>