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3.4.2 Métriques de performance</w:t>
      </w:r>
    </w:p>
    <w:p>
      <w:pPr>
        <w:spacing w:before="200" w:after="200"/>
        <w:jc w:val="both"/>
      </w:pPr>
      <w:r>
        <w:t xml:space="preserve">L'évaluation quantitative du système Urban Flow repose sur un ensemble de métriques de performance soigneusement sélectionnées pour mesurer l'efficacité du jumeau numérique dans différents scénarios de trafic. Ces indicateurs clés de performance (KPI) permettent de comparer objectivement les performances du système de gestion adaptative (algorithme Max-Pressure avec module V2I) par rapport à une approche conventionnelle à feux fixes. Cette section présente les définitions formelles, les méthodes de calcul et les objectifs cibles pour chaque métrique.</w:t>
      </w:r>
    </w:p>
    <w:p>
      <w:pPr>
        <w:pStyle w:val="Heading2"/>
      </w:pPr>
      <w:r>
        <w:t xml:space="preserve">A. Métriques temporelles</w:t>
      </w:r>
    </w:p>
    <w:p>
      <w:pPr>
        <w:pStyle w:val="Heading3"/>
      </w:pPr>
      <w:r>
        <w:t xml:space="preserve">1. Temps d'attente moyen (TAM)</w:t>
      </w:r>
    </w:p>
    <w:p>
      <w:pPr>
        <w:spacing w:before="100" w:after="100"/>
        <w:jc w:val="both"/>
      </w:pPr>
      <w:r>
        <w:t xml:space="preserve">Le temps d'attente moyen représente la durée moyenne pendant laquelle un véhicule reste immobilisé (vitesse &lt; 0.5 m/s) avant de traverser une intersection. Cette métrique constitue l'indicateur principal de la qualité de service perçue par les usagers.</w:t>
      </w:r>
    </w:p>
    <w:p>
      <w:pPr>
        <w:spacing w:before="100" w:after="100"/>
        <w:jc w:val="both"/>
      </w:pPr>
      <w:r>
        <w:rPr>
          <w:b/>
          <w:bCs/>
        </w:rPr>
        <w:t xml:space="preserve">Formule de calcul :</w:t>
      </w:r>
    </w:p>
    <w:p>
      <w:pPr>
        <w:spacing w:before="100" w:after="150"/>
        <w:jc w:val="center"/>
      </w:pPr>
      <w:r>
        <w:rPr>
          <w:sz w:val="26"/>
          <w:szCs w:val="26"/>
        </w:rPr>
        <w:t xml:space="preserve">TAM = (Σ t_attente_i) / N</w:t>
      </w:r>
    </w:p>
    <w:p>
      <w:pPr>
        <w:spacing w:before="50" w:after="100"/>
        <w:jc w:val="both"/>
      </w:pPr>
      <w:r>
        <w:t xml:space="preserve">où t_attente_i est le temps d'attente du véhicule i (en secondes), et N est le nombre total de véhicules ayant traversé l'intersection durant la période de simulation.</w:t>
      </w:r>
    </w:p>
    <w:p>
      <w:pPr>
        <w:pStyle w:val="ListParagraph"/>
        <w:numPr>
          <w:ilvl w:val="0"/>
          <w:numId w:val="2"/>
        </w:numPr>
      </w:pPr>
      <w:r>
        <w:t xml:space="preserve">Méthode de mesure : SUMO enregistre le temps cumulé pendant lequel chaque véhicule reste à vitesse &lt; 0.5 m/s dans une zone de 100m avant l'intersection.</w:t>
      </w:r>
    </w:p>
    <w:p>
      <w:pPr>
        <w:pStyle w:val="ListParagraph"/>
        <w:numPr>
          <w:ilvl w:val="0"/>
          <w:numId w:val="2"/>
        </w:numPr>
      </w:pPr>
      <w:r>
        <w:t xml:space="preserve">Objectif cible : TAM &lt; 30 secondes pour trafic normal, TAM &lt; 45 secondes pour trafic dense.</w:t>
      </w:r>
    </w:p>
    <w:p>
      <w:pPr>
        <w:pStyle w:val="ListParagraph"/>
        <w:numPr>
          <w:ilvl w:val="0"/>
          <w:numId w:val="2"/>
        </w:numPr>
      </w:pPr>
      <w:r>
        <w:t xml:space="preserve">Référence baseline (feux fixes) : TAM ≈ 45-60 secondes selon la densité.</w:t>
      </w:r>
    </w:p>
    <w:p>
      <w:pPr>
        <w:pStyle w:val="Heading3"/>
        <w:spacing w:before="200" w:after="100"/>
      </w:pPr>
      <w:r>
        <w:t xml:space="preserve">2. Temps de parcours (TP)</w:t>
      </w:r>
    </w:p>
    <w:p>
      <w:pPr>
        <w:spacing w:before="100" w:after="100"/>
        <w:jc w:val="both"/>
      </w:pPr>
      <w:r>
        <w:t xml:space="preserve">Le temps de parcours mesure la durée totale nécessaire à un véhicule pour traverser l'ensemble du réseau simulé, de son point d'entrée jusqu'à sa sortie. Cette métrique capture l'efficacité globale du système.</w:t>
      </w:r>
    </w:p>
    <w:p>
      <w:pPr>
        <w:spacing w:before="100" w:after="150"/>
        <w:jc w:val="center"/>
      </w:pPr>
      <w:r>
        <w:rPr>
          <w:sz w:val="26"/>
          <w:szCs w:val="26"/>
        </w:rPr>
        <w:t xml:space="preserve">TP = t_sortie - t_entrée</w:t>
      </w:r>
    </w:p>
    <w:p>
      <w:pPr>
        <w:pStyle w:val="ListParagraph"/>
        <w:numPr>
          <w:ilvl w:val="0"/>
          <w:numId w:val="2"/>
        </w:numPr>
      </w:pPr>
      <w:r>
        <w:t xml:space="preserve">Méthode de mesure : Horodatage à l'entrée et à la sortie du réseau pour chaque véhicule.</w:t>
      </w:r>
    </w:p>
    <w:p>
      <w:pPr>
        <w:pStyle w:val="ListParagraph"/>
        <w:numPr>
          <w:ilvl w:val="0"/>
          <w:numId w:val="2"/>
        </w:numPr>
      </w:pPr>
      <w:r>
        <w:t xml:space="preserve">Objectif cible : Réduction de 25-35% par rapport au système à feux fixes.</w:t>
      </w:r>
    </w:p>
    <w:p>
      <w:pPr>
        <w:pStyle w:val="Heading3"/>
        <w:spacing w:before="200" w:after="100"/>
      </w:pPr>
      <w:r>
        <w:t xml:space="preserve">3. Temps d'intervention véhicules d'urgence (TIVE)</w:t>
      </w:r>
    </w:p>
    <w:p>
      <w:pPr>
        <w:spacing w:before="100" w:after="100"/>
        <w:jc w:val="both"/>
      </w:pPr>
      <w:r>
        <w:t xml:space="preserve">Cette métrique spécifique au module V2I mesure le temps nécessaire pour qu'un véhicule d'urgence traverse l'intersection depuis sa détection par le système jusqu'à sa sortie complète de la zone de supervision.</w:t>
      </w:r>
    </w:p>
    <w:p>
      <w:pPr>
        <w:spacing w:before="100" w:after="150"/>
        <w:jc w:val="center"/>
      </w:pPr>
      <w:r>
        <w:rPr>
          <w:sz w:val="26"/>
          <w:szCs w:val="26"/>
        </w:rPr>
        <w:t xml:space="preserve">TIVE = t_sortie_intersection - t_détection_V2I</w:t>
      </w:r>
    </w:p>
    <w:p>
      <w:pPr>
        <w:pStyle w:val="ListParagraph"/>
        <w:numPr>
          <w:ilvl w:val="0"/>
          <w:numId w:val="2"/>
        </w:numPr>
      </w:pPr>
      <w:r>
        <w:t xml:space="preserve">Objectif cible : TIVE &lt; 15 secondes pour véhicules P1, TIVE &lt; 20 secondes pour P2.</w:t>
      </w:r>
    </w:p>
    <w:p>
      <w:pPr>
        <w:pStyle w:val="ListParagraph"/>
        <w:numPr>
          <w:ilvl w:val="0"/>
          <w:numId w:val="2"/>
        </w:numPr>
      </w:pPr>
      <w:r>
        <w:t xml:space="preserve">Référence baseline : TIVE ≈ 30-45 secondes sans module V2I.</w:t>
      </w:r>
    </w:p>
    <w:p>
      <w:pPr>
        <w:pStyle w:val="Heading2"/>
      </w:pPr>
      <w:r>
        <w:t xml:space="preserve">B. Métriques de débit et capacité</w:t>
      </w:r>
    </w:p>
    <w:p>
      <w:pPr>
        <w:pStyle w:val="Heading3"/>
      </w:pPr>
      <w:r>
        <w:t xml:space="preserve">1. Débit horaire (DH)</w:t>
      </w:r>
    </w:p>
    <w:p>
      <w:pPr>
        <w:spacing w:before="100" w:after="100"/>
        <w:jc w:val="both"/>
      </w:pPr>
      <w:r>
        <w:t xml:space="preserve">Le débit horaire quantifie le nombre de véhicules capables de traverser l'intersection par heure, mesurant ainsi la capacité effective du système.</w:t>
      </w:r>
    </w:p>
    <w:p>
      <w:pPr>
        <w:spacing w:before="100" w:after="150"/>
        <w:jc w:val="center"/>
      </w:pPr>
      <w:r>
        <w:rPr>
          <w:sz w:val="26"/>
          <w:szCs w:val="26"/>
        </w:rPr>
        <w:t xml:space="preserve">DH = (N_véhicules / T_simulation) × 3600</w:t>
      </w:r>
    </w:p>
    <w:p>
      <w:pPr>
        <w:spacing w:before="50" w:after="100"/>
        <w:jc w:val="both"/>
      </w:pPr>
      <w:r>
        <w:t xml:space="preserve">où N_véhicules est le nombre total de véhicules ayant traversé l'intersection, et T_simulation est la durée de simulation en secondes.</w:t>
      </w:r>
    </w:p>
    <w:p>
      <w:pPr>
        <w:pStyle w:val="ListParagraph"/>
        <w:numPr>
          <w:ilvl w:val="0"/>
          <w:numId w:val="2"/>
        </w:numPr>
      </w:pPr>
      <w:r>
        <w:t xml:space="preserve">Objectif cible : DH &gt; 1100 véhicules/heure pour trafic normal, DH &gt; 900 véhicules/heure pour trafic saturé.</w:t>
      </w:r>
    </w:p>
    <w:p>
      <w:pPr>
        <w:pStyle w:val="ListParagraph"/>
        <w:numPr>
          <w:ilvl w:val="0"/>
          <w:numId w:val="2"/>
        </w:numPr>
      </w:pPr>
      <w:r>
        <w:t xml:space="preserve">Référence baseline : DH ≈ 800-850 véhicules/heure avec feux fixes.</w:t>
      </w:r>
    </w:p>
    <w:p>
      <w:pPr>
        <w:pStyle w:val="Heading3"/>
        <w:spacing w:before="200" w:after="100"/>
      </w:pPr>
      <w:r>
        <w:t xml:space="preserve">2. Longueur moyenne de file d'attente (LMFA)</w:t>
      </w:r>
    </w:p>
    <w:p>
      <w:pPr>
        <w:spacing w:before="100" w:after="100"/>
        <w:jc w:val="both"/>
      </w:pPr>
      <w:r>
        <w:t xml:space="preserve">La longueur moyenne de file d'attente représente le nombre moyen de véhicules en attente sur chaque voie d'approche de l'intersection, échantillonné à intervalles réguliers.</w:t>
      </w:r>
    </w:p>
    <w:p>
      <w:pPr>
        <w:spacing w:before="100" w:after="150"/>
        <w:jc w:val="center"/>
      </w:pPr>
      <w:r>
        <w:rPr>
          <w:sz w:val="26"/>
          <w:szCs w:val="26"/>
        </w:rPr>
        <w:t xml:space="preserve">LMFA = (Σ L_t) / M</w:t>
      </w:r>
    </w:p>
    <w:p>
      <w:pPr>
        <w:spacing w:before="50" w:after="100"/>
        <w:jc w:val="both"/>
      </w:pPr>
      <w:r>
        <w:t xml:space="preserve">où L_t est la longueur de file à l'instant t, et M est le nombre de mesures effectuées durant la simulation (une mesure toutes les 10 secondes).</w:t>
      </w:r>
    </w:p>
    <w:p>
      <w:pPr>
        <w:pStyle w:val="ListParagraph"/>
        <w:numPr>
          <w:ilvl w:val="0"/>
          <w:numId w:val="2"/>
        </w:numPr>
      </w:pPr>
      <w:r>
        <w:t xml:space="preserve">Objectif cible : LMFA &lt; 5 véhicules pour trafic normal, LMFA &lt; 12 véhicules pour trafic dense.</w:t>
      </w:r>
    </w:p>
    <w:p>
      <w:r>
        <w:br w:type="page"/>
      </w:r>
    </w:p>
    <w:p>
      <w:pPr>
        <w:pStyle w:val="Heading2"/>
      </w:pPr>
      <w:r>
        <w:t xml:space="preserve">C. Métriques d'efficacité environnementale</w:t>
      </w:r>
    </w:p>
    <w:p>
      <w:pPr>
        <w:pStyle w:val="Heading3"/>
      </w:pPr>
      <w:r>
        <w:t xml:space="preserve">1. Consommation de carburant (CC)</w:t>
      </w:r>
    </w:p>
    <w:p>
      <w:pPr>
        <w:spacing w:before="100" w:after="100"/>
        <w:jc w:val="both"/>
      </w:pPr>
      <w:r>
        <w:t xml:space="preserve">La consommation de carburant est calculée via le modèle d'émission HBEFA (Handbook Emission Factors for Road Transport) intégré dans SUMO, qui estime la consommation en fonction de la vitesse, de l'accélération et du type de véhicule.</w:t>
      </w:r>
    </w:p>
    <w:p>
      <w:pPr>
        <w:spacing w:before="100" w:after="150"/>
        <w:jc w:val="center"/>
      </w:pPr>
      <w:r>
        <w:rPr>
          <w:sz w:val="26"/>
          <w:szCs w:val="26"/>
        </w:rPr>
        <w:t xml:space="preserve">CC = Σ (c_i × d_i)</w:t>
      </w:r>
    </w:p>
    <w:p>
      <w:pPr>
        <w:spacing w:before="50" w:after="100"/>
        <w:jc w:val="both"/>
      </w:pPr>
      <w:r>
        <w:t xml:space="preserve">où c_i est le taux de consommation instantané (L/km) du véhicule i, et d_i est la distance parcourue.</w:t>
      </w:r>
    </w:p>
    <w:p>
      <w:pPr>
        <w:pStyle w:val="ListParagraph"/>
        <w:numPr>
          <w:ilvl w:val="0"/>
          <w:numId w:val="2"/>
        </w:numPr>
      </w:pPr>
      <w:r>
        <w:t xml:space="preserve">Objectif cible : Réduction de 15-20% par rapport au système à feux fixes grâce à la diminution des arrêts complets et des accélérations brusques.</w:t>
      </w:r>
    </w:p>
    <w:p>
      <w:pPr>
        <w:pStyle w:val="Heading3"/>
        <w:spacing w:before="200" w:after="100"/>
      </w:pPr>
      <w:r>
        <w:t xml:space="preserve">2. Émissions de CO2 (ECO2)</w:t>
      </w:r>
    </w:p>
    <w:p>
      <w:pPr>
        <w:spacing w:before="100" w:after="100"/>
        <w:jc w:val="both"/>
      </w:pPr>
      <w:r>
        <w:t xml:space="preserve">Les émissions de CO2 sont directement corrélées à la consommation de carburant selon le facteur de conversion standard pour l'essence (2.31 kg CO2/L) et le diesel (2.68 kg CO2/L).</w:t>
      </w:r>
    </w:p>
    <w:p>
      <w:pPr>
        <w:pStyle w:val="ListParagraph"/>
        <w:numPr>
          <w:ilvl w:val="0"/>
          <w:numId w:val="2"/>
        </w:numPr>
      </w:pPr>
      <w:r>
        <w:t xml:space="preserve">Objectif cible : Réduction de 15-20% des émissions totales de CO2.</w:t>
      </w:r>
    </w:p>
    <w:p>
      <w:pPr>
        <w:pStyle w:val="Heading2"/>
      </w:pPr>
      <w:r>
        <w:t xml:space="preserve">D. Métriques système et fiabilité</w:t>
      </w:r>
    </w:p>
    <w:p>
      <w:pPr>
        <w:pStyle w:val="Heading3"/>
      </w:pPr>
      <w:r>
        <w:t xml:space="preserve">1. Taux de succès V2I (TSV)</w:t>
      </w:r>
    </w:p>
    <w:p>
      <w:pPr>
        <w:spacing w:before="100" w:after="150"/>
        <w:jc w:val="center"/>
      </w:pPr>
      <w:r>
        <w:rPr>
          <w:sz w:val="26"/>
          <w:szCs w:val="26"/>
        </w:rPr>
        <w:t xml:space="preserve">TSV = (N_accordées / N_requêtes) × 100</w:t>
      </w:r>
    </w:p>
    <w:p>
      <w:pPr>
        <w:pStyle w:val="ListParagraph"/>
        <w:numPr>
          <w:ilvl w:val="0"/>
          <w:numId w:val="2"/>
        </w:numPr>
      </w:pPr>
      <w:r>
        <w:t xml:space="preserve">Objectif cible : TSV &gt; 98% pour véhicules P1, TSV &gt; 95% pour P2/P3.</w:t>
      </w:r>
    </w:p>
    <w:p>
      <w:pPr>
        <w:pStyle w:val="Heading3"/>
        <w:spacing w:before="200" w:after="100"/>
      </w:pPr>
      <w:r>
        <w:t xml:space="preserve">2. Latence système (LS)</w:t>
      </w:r>
    </w:p>
    <w:p>
      <w:pPr>
        <w:spacing w:before="100" w:after="100"/>
        <w:jc w:val="both"/>
      </w:pPr>
      <w:r>
        <w:t xml:space="preserve">La latence système mesure le délai entre la détection d'un changement de l'état du trafic et l'exécution de l'action de contrôle correspondante.</w:t>
      </w:r>
    </w:p>
    <w:p>
      <w:pPr>
        <w:pStyle w:val="ListParagraph"/>
        <w:numPr>
          <w:ilvl w:val="0"/>
          <w:numId w:val="2"/>
        </w:numPr>
      </w:pPr>
      <w:r>
        <w:t xml:space="preserve">Objectif cible : LS &lt; 100ms pour garantir la réactivité temps réel.</w:t>
      </w:r>
    </w:p>
    <w:p>
      <w:pPr>
        <w:pStyle w:val="Heading2"/>
        <w:spacing w:before="300" w:after="150"/>
      </w:pPr>
      <w:r>
        <w:t xml:space="preserve">E. Tableau récapitulatif des métriques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Métrique</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Unité</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Baseline Feux Fixes</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Objectif Urban Flow</w:t>
            </w:r>
          </w:p>
        </w:tc>
      </w:tr>
      <w:tr>
        <w:tc>
          <w:tcPr>
            <w:tcW w:type="dxa" w:w="2340"/>
            <w:tcBorders>
              <w:top w:val="single" w:color="000000" w:sz="1"/>
              <w:left w:val="single" w:color="000000" w:sz="1"/>
              <w:bottom w:val="single" w:color="000000" w:sz="1"/>
              <w:right w:val="single" w:color="000000" w:sz="1"/>
            </w:tcBorders>
          </w:tcPr>
          <w:p>
            <w:r>
              <w:rPr>
                <w:b/>
                <w:bCs/>
              </w:rPr>
              <w:t xml:space="preserve">Temps attente moyen</w:t>
            </w:r>
          </w:p>
        </w:tc>
        <w:tc>
          <w:tcPr>
            <w:tcW w:type="dxa" w:w="2340"/>
            <w:tcBorders>
              <w:top w:val="single" w:color="000000" w:sz="1"/>
              <w:left w:val="single" w:color="000000" w:sz="1"/>
              <w:bottom w:val="single" w:color="000000" w:sz="1"/>
              <w:right w:val="single" w:color="000000" w:sz="1"/>
            </w:tcBorders>
          </w:tcPr>
          <w:p>
            <w:pPr>
              <w:jc w:val="center"/>
            </w:pPr>
            <w:r>
              <w:t xml:space="preserve">secondes</w:t>
            </w:r>
          </w:p>
        </w:tc>
        <w:tc>
          <w:tcPr>
            <w:tcW w:type="dxa" w:w="2340"/>
            <w:tcBorders>
              <w:top w:val="single" w:color="000000" w:sz="1"/>
              <w:left w:val="single" w:color="000000" w:sz="1"/>
              <w:bottom w:val="single" w:color="000000" w:sz="1"/>
              <w:right w:val="single" w:color="000000" w:sz="1"/>
            </w:tcBorders>
          </w:tcPr>
          <w:p>
            <w:pPr>
              <w:jc w:val="center"/>
            </w:pPr>
            <w:r>
              <w:t xml:space="preserve">45-60s</w:t>
            </w:r>
          </w:p>
        </w:tc>
        <w:tc>
          <w:tcPr>
            <w:tcW w:type="dxa" w:w="2340"/>
            <w:tcBorders>
              <w:top w:val="single" w:color="000000" w:sz="1"/>
              <w:left w:val="single" w:color="000000" w:sz="1"/>
              <w:bottom w:val="single" w:color="000000" w:sz="1"/>
              <w:right w:val="single" w:color="000000" w:sz="1"/>
            </w:tcBorders>
          </w:tcPr>
          <w:p>
            <w:pPr>
              <w:jc w:val="center"/>
            </w:pPr>
            <w:r>
              <w:t xml:space="preserve">&lt; 30s</w:t>
            </w:r>
          </w:p>
        </w:tc>
      </w:tr>
      <w:tr>
        <w:tc>
          <w:tcPr>
            <w:tcW w:type="dxa" w:w="2340"/>
            <w:tcBorders>
              <w:top w:val="single" w:color="000000" w:sz="1"/>
              <w:left w:val="single" w:color="000000" w:sz="1"/>
              <w:bottom w:val="single" w:color="000000" w:sz="1"/>
              <w:right w:val="single" w:color="000000" w:sz="1"/>
            </w:tcBorders>
          </w:tcPr>
          <w:p>
            <w:r>
              <w:rPr>
                <w:b/>
                <w:bCs/>
              </w:rPr>
              <w:t xml:space="preserve">Débit horaire</w:t>
            </w:r>
          </w:p>
        </w:tc>
        <w:tc>
          <w:tcPr>
            <w:tcW w:type="dxa" w:w="2340"/>
            <w:tcBorders>
              <w:top w:val="single" w:color="000000" w:sz="1"/>
              <w:left w:val="single" w:color="000000" w:sz="1"/>
              <w:bottom w:val="single" w:color="000000" w:sz="1"/>
              <w:right w:val="single" w:color="000000" w:sz="1"/>
            </w:tcBorders>
          </w:tcPr>
          <w:p>
            <w:pPr>
              <w:jc w:val="center"/>
            </w:pPr>
            <w:r>
              <w:t xml:space="preserve">véh/h</w:t>
            </w:r>
          </w:p>
        </w:tc>
        <w:tc>
          <w:tcPr>
            <w:tcW w:type="dxa" w:w="2340"/>
            <w:tcBorders>
              <w:top w:val="single" w:color="000000" w:sz="1"/>
              <w:left w:val="single" w:color="000000" w:sz="1"/>
              <w:bottom w:val="single" w:color="000000" w:sz="1"/>
              <w:right w:val="single" w:color="000000" w:sz="1"/>
            </w:tcBorders>
          </w:tcPr>
          <w:p>
            <w:pPr>
              <w:jc w:val="center"/>
            </w:pPr>
            <w:r>
              <w:t xml:space="preserve">800-850</w:t>
            </w:r>
          </w:p>
        </w:tc>
        <w:tc>
          <w:tcPr>
            <w:tcW w:type="dxa" w:w="2340"/>
            <w:tcBorders>
              <w:top w:val="single" w:color="000000" w:sz="1"/>
              <w:left w:val="single" w:color="000000" w:sz="1"/>
              <w:bottom w:val="single" w:color="000000" w:sz="1"/>
              <w:right w:val="single" w:color="000000" w:sz="1"/>
            </w:tcBorders>
          </w:tcPr>
          <w:p>
            <w:pPr>
              <w:jc w:val="center"/>
            </w:pPr>
            <w:r>
              <w:t xml:space="preserve">&gt; 1100</w:t>
            </w:r>
          </w:p>
        </w:tc>
      </w:tr>
      <w:tr>
        <w:tc>
          <w:tcPr>
            <w:tcW w:type="dxa" w:w="2340"/>
            <w:tcBorders>
              <w:top w:val="single" w:color="000000" w:sz="1"/>
              <w:left w:val="single" w:color="000000" w:sz="1"/>
              <w:bottom w:val="single" w:color="000000" w:sz="1"/>
              <w:right w:val="single" w:color="000000" w:sz="1"/>
            </w:tcBorders>
          </w:tcPr>
          <w:p>
            <w:r>
              <w:rPr>
                <w:b/>
                <w:bCs/>
              </w:rPr>
              <w:t xml:space="preserve">Longueur file attente</w:t>
            </w:r>
          </w:p>
        </w:tc>
        <w:tc>
          <w:tcPr>
            <w:tcW w:type="dxa" w:w="2340"/>
            <w:tcBorders>
              <w:top w:val="single" w:color="000000" w:sz="1"/>
              <w:left w:val="single" w:color="000000" w:sz="1"/>
              <w:bottom w:val="single" w:color="000000" w:sz="1"/>
              <w:right w:val="single" w:color="000000" w:sz="1"/>
            </w:tcBorders>
          </w:tcPr>
          <w:p>
            <w:pPr>
              <w:jc w:val="center"/>
            </w:pPr>
            <w:r>
              <w:t xml:space="preserve">véhicules</w:t>
            </w:r>
          </w:p>
        </w:tc>
        <w:tc>
          <w:tcPr>
            <w:tcW w:type="dxa" w:w="2340"/>
            <w:tcBorders>
              <w:top w:val="single" w:color="000000" w:sz="1"/>
              <w:left w:val="single" w:color="000000" w:sz="1"/>
              <w:bottom w:val="single" w:color="000000" w:sz="1"/>
              <w:right w:val="single" w:color="000000" w:sz="1"/>
            </w:tcBorders>
          </w:tcPr>
          <w:p>
            <w:pPr>
              <w:jc w:val="center"/>
            </w:pPr>
            <w:r>
              <w:t xml:space="preserve">8-15</w:t>
            </w:r>
          </w:p>
        </w:tc>
        <w:tc>
          <w:tcPr>
            <w:tcW w:type="dxa" w:w="2340"/>
            <w:tcBorders>
              <w:top w:val="single" w:color="000000" w:sz="1"/>
              <w:left w:val="single" w:color="000000" w:sz="1"/>
              <w:bottom w:val="single" w:color="000000" w:sz="1"/>
              <w:right w:val="single" w:color="000000" w:sz="1"/>
            </w:tcBorders>
          </w:tcPr>
          <w:p>
            <w:pPr>
              <w:jc w:val="center"/>
            </w:pPr>
            <w:r>
              <w:t xml:space="preserve">&lt; 5</w:t>
            </w:r>
          </w:p>
        </w:tc>
      </w:tr>
      <w:tr>
        <w:tc>
          <w:tcPr>
            <w:tcW w:type="dxa" w:w="2340"/>
            <w:tcBorders>
              <w:top w:val="single" w:color="000000" w:sz="1"/>
              <w:left w:val="single" w:color="000000" w:sz="1"/>
              <w:bottom w:val="single" w:color="000000" w:sz="1"/>
              <w:right w:val="single" w:color="000000" w:sz="1"/>
            </w:tcBorders>
          </w:tcPr>
          <w:p>
            <w:r>
              <w:rPr>
                <w:b/>
                <w:bCs/>
              </w:rPr>
              <w:t xml:space="preserve">Temps intervention urgence</w:t>
            </w:r>
          </w:p>
        </w:tc>
        <w:tc>
          <w:tcPr>
            <w:tcW w:type="dxa" w:w="2340"/>
            <w:tcBorders>
              <w:top w:val="single" w:color="000000" w:sz="1"/>
              <w:left w:val="single" w:color="000000" w:sz="1"/>
              <w:bottom w:val="single" w:color="000000" w:sz="1"/>
              <w:right w:val="single" w:color="000000" w:sz="1"/>
            </w:tcBorders>
          </w:tcPr>
          <w:p>
            <w:pPr>
              <w:jc w:val="center"/>
            </w:pPr>
            <w:r>
              <w:t xml:space="preserve">secondes</w:t>
            </w:r>
          </w:p>
        </w:tc>
        <w:tc>
          <w:tcPr>
            <w:tcW w:type="dxa" w:w="2340"/>
            <w:tcBorders>
              <w:top w:val="single" w:color="000000" w:sz="1"/>
              <w:left w:val="single" w:color="000000" w:sz="1"/>
              <w:bottom w:val="single" w:color="000000" w:sz="1"/>
              <w:right w:val="single" w:color="000000" w:sz="1"/>
            </w:tcBorders>
          </w:tcPr>
          <w:p>
            <w:pPr>
              <w:jc w:val="center"/>
            </w:pPr>
            <w:r>
              <w:t xml:space="preserve">30-45s</w:t>
            </w:r>
          </w:p>
        </w:tc>
        <w:tc>
          <w:tcPr>
            <w:tcW w:type="dxa" w:w="2340"/>
            <w:tcBorders>
              <w:top w:val="single" w:color="000000" w:sz="1"/>
              <w:left w:val="single" w:color="000000" w:sz="1"/>
              <w:bottom w:val="single" w:color="000000" w:sz="1"/>
              <w:right w:val="single" w:color="000000" w:sz="1"/>
            </w:tcBorders>
          </w:tcPr>
          <w:p>
            <w:pPr>
              <w:jc w:val="center"/>
            </w:pPr>
            <w:r>
              <w:t xml:space="preserve">&lt; 15s</w:t>
            </w:r>
          </w:p>
        </w:tc>
      </w:tr>
      <w:tr>
        <w:tc>
          <w:tcPr>
            <w:tcW w:type="dxa" w:w="2340"/>
            <w:tcBorders>
              <w:top w:val="single" w:color="000000" w:sz="1"/>
              <w:left w:val="single" w:color="000000" w:sz="1"/>
              <w:bottom w:val="single" w:color="000000" w:sz="1"/>
              <w:right w:val="single" w:color="000000" w:sz="1"/>
            </w:tcBorders>
          </w:tcPr>
          <w:p>
            <w:r>
              <w:rPr>
                <w:b/>
                <w:bCs/>
              </w:rPr>
              <w:t xml:space="preserve">Taux succès V2I</w:t>
            </w:r>
          </w:p>
        </w:tc>
        <w:tc>
          <w:tcPr>
            <w:tcW w:type="dxa" w:w="2340"/>
            <w:tcBorders>
              <w:top w:val="single" w:color="000000" w:sz="1"/>
              <w:left w:val="single" w:color="000000" w:sz="1"/>
              <w:bottom w:val="single" w:color="000000" w:sz="1"/>
              <w:right w:val="single" w:color="000000" w:sz="1"/>
            </w:tcBorders>
          </w:tcPr>
          <w:p>
            <w:pPr>
              <w:jc w:val="center"/>
            </w:pPr>
            <w:r>
              <w:t xml:space="preserve">%</w:t>
            </w:r>
          </w:p>
        </w:tc>
        <w:tc>
          <w:tcPr>
            <w:tcW w:type="dxa" w:w="2340"/>
            <w:tcBorders>
              <w:top w:val="single" w:color="000000" w:sz="1"/>
              <w:left w:val="single" w:color="000000" w:sz="1"/>
              <w:bottom w:val="single" w:color="000000" w:sz="1"/>
              <w:right w:val="single" w:color="000000" w:sz="1"/>
            </w:tcBorders>
          </w:tcPr>
          <w:p>
            <w:pPr>
              <w:jc w:val="center"/>
            </w:pPr>
            <w:r>
              <w:t xml:space="preserve">N/A</w:t>
            </w:r>
          </w:p>
        </w:tc>
        <w:tc>
          <w:tcPr>
            <w:tcW w:type="dxa" w:w="2340"/>
            <w:tcBorders>
              <w:top w:val="single" w:color="000000" w:sz="1"/>
              <w:left w:val="single" w:color="000000" w:sz="1"/>
              <w:bottom w:val="single" w:color="000000" w:sz="1"/>
              <w:right w:val="single" w:color="000000" w:sz="1"/>
            </w:tcBorders>
          </w:tcPr>
          <w:p>
            <w:pPr>
              <w:jc w:val="center"/>
            </w:pPr>
            <w:r>
              <w:t xml:space="preserve">&gt; 98%</w:t>
            </w:r>
          </w:p>
        </w:tc>
      </w:tr>
      <w:tr>
        <w:tc>
          <w:tcPr>
            <w:tcW w:type="dxa" w:w="2340"/>
            <w:tcBorders>
              <w:top w:val="single" w:color="000000" w:sz="1"/>
              <w:left w:val="single" w:color="000000" w:sz="1"/>
              <w:bottom w:val="single" w:color="000000" w:sz="1"/>
              <w:right w:val="single" w:color="000000" w:sz="1"/>
            </w:tcBorders>
          </w:tcPr>
          <w:p>
            <w:r>
              <w:rPr>
                <w:b/>
                <w:bCs/>
              </w:rPr>
              <w:t xml:space="preserve">Réduction CO2</w:t>
            </w:r>
          </w:p>
        </w:tc>
        <w:tc>
          <w:tcPr>
            <w:tcW w:type="dxa" w:w="2340"/>
            <w:tcBorders>
              <w:top w:val="single" w:color="000000" w:sz="1"/>
              <w:left w:val="single" w:color="000000" w:sz="1"/>
              <w:bottom w:val="single" w:color="000000" w:sz="1"/>
              <w:right w:val="single" w:color="000000" w:sz="1"/>
            </w:tcBorders>
          </w:tcPr>
          <w:p>
            <w:pPr>
              <w:jc w:val="center"/>
            </w:pPr>
            <w:r>
              <w:t xml:space="preserve">%</w:t>
            </w:r>
          </w:p>
        </w:tc>
        <w:tc>
          <w:tcPr>
            <w:tcW w:type="dxa" w:w="2340"/>
            <w:tcBorders>
              <w:top w:val="single" w:color="000000" w:sz="1"/>
              <w:left w:val="single" w:color="000000" w:sz="1"/>
              <w:bottom w:val="single" w:color="000000" w:sz="1"/>
              <w:right w:val="single" w:color="000000" w:sz="1"/>
            </w:tcBorders>
          </w:tcPr>
          <w:p>
            <w:pPr>
              <w:jc w:val="center"/>
            </w:pPr>
            <w:r>
              <w:t xml:space="preserve">0% (baseline)</w:t>
            </w:r>
          </w:p>
        </w:tc>
        <w:tc>
          <w:tcPr>
            <w:tcW w:type="dxa" w:w="2340"/>
            <w:tcBorders>
              <w:top w:val="single" w:color="000000" w:sz="1"/>
              <w:left w:val="single" w:color="000000" w:sz="1"/>
              <w:bottom w:val="single" w:color="000000" w:sz="1"/>
              <w:right w:val="single" w:color="000000" w:sz="1"/>
            </w:tcBorders>
          </w:tcPr>
          <w:p>
            <w:pPr>
              <w:jc w:val="center"/>
            </w:pPr>
            <w:r>
              <w:t xml:space="preserve">-15 à -20%</w:t>
            </w:r>
          </w:p>
        </w:tc>
      </w:tr>
    </w:tbl>
    <w:p>
      <w:r>
        <w:br w:type="page"/>
      </w:r>
    </w:p>
    <w:p>
      <w:pPr>
        <w:pStyle w:val="Heading1"/>
      </w:pPr>
      <w:r>
        <w:t xml:space="preserve">3.4.3 Analyse des résultats</w:t>
      </w:r>
    </w:p>
    <w:p>
      <w:pPr>
        <w:spacing w:before="200" w:after="200"/>
        <w:jc w:val="both"/>
      </w:pPr>
      <w:r>
        <w:t xml:space="preserve">Cette section présente les résultats expérimentaux obtenus lors de la validation du système Urban Flow dans différentes configurations de trafic. Les simulations ont été exécutées sur SUMO avec une topologie d'intersection à 4 branches (carrefour en croix) pendant des durées de 60 minutes par scénario. Quatre configurations ont été testées : (1) Baseline avec feux fixes, (2) Système adaptatif Max-Pressure, (3) Système adaptatif avec module V2I, et (4) Scénario de saturation à haute densité. Les résultats sont analysés de manière comparative et critique.</w:t>
      </w:r>
    </w:p>
    <w:p>
      <w:pPr>
        <w:pStyle w:val="Heading2"/>
      </w:pPr>
      <w:r>
        <w:t xml:space="preserve">A. Résultats quantitatifs comparatifs</w:t>
      </w:r>
    </w:p>
    <w:p>
      <w:pPr>
        <w:pStyle w:val="Heading3"/>
      </w:pPr>
      <w:r>
        <w:t xml:space="preserve">1. Performances en conditions de trafic normal</w:t>
      </w:r>
    </w:p>
    <w:p>
      <w:pPr>
        <w:spacing w:before="100" w:after="100"/>
        <w:jc w:val="both"/>
      </w:pPr>
      <w:r>
        <w:t xml:space="preserve">Le tableau ci-dessous présente les résultats obtenus pour un scénario de trafic normal avec une densité de 500 véhicules/heure (charge à 60% de la capacité théorique maximale).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Métrique</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Feux Fixes</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Max-Pressure</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Amélioration</w:t>
            </w:r>
          </w:p>
        </w:tc>
      </w:tr>
      <w:tr>
        <w:tc>
          <w:tcPr>
            <w:tcW w:type="dxa" w:w="2340"/>
            <w:tcBorders>
              <w:top w:val="single" w:color="000000" w:sz="1"/>
              <w:left w:val="single" w:color="000000" w:sz="1"/>
              <w:bottom w:val="single" w:color="000000" w:sz="1"/>
              <w:right w:val="single" w:color="000000" w:sz="1"/>
            </w:tcBorders>
          </w:tcPr>
          <w:p>
            <w:r>
              <w:t xml:space="preserve">Temps attente moyen (s)</w:t>
            </w:r>
          </w:p>
        </w:tc>
        <w:tc>
          <w:tcPr>
            <w:tcW w:type="dxa" w:w="2340"/>
            <w:tcBorders>
              <w:top w:val="single" w:color="000000" w:sz="1"/>
              <w:left w:val="single" w:color="000000" w:sz="1"/>
              <w:bottom w:val="single" w:color="000000" w:sz="1"/>
              <w:right w:val="single" w:color="000000" w:sz="1"/>
            </w:tcBorders>
          </w:tcPr>
          <w:p>
            <w:pPr>
              <w:jc w:val="center"/>
            </w:pPr>
            <w:r>
              <w:t xml:space="preserve">45.2</w:t>
            </w:r>
          </w:p>
        </w:tc>
        <w:tc>
          <w:tcPr>
            <w:tcW w:type="dxa" w:w="2340"/>
            <w:tcBorders>
              <w:top w:val="single" w:color="000000" w:sz="1"/>
              <w:left w:val="single" w:color="000000" w:sz="1"/>
              <w:bottom w:val="single" w:color="000000" w:sz="1"/>
              <w:right w:val="single" w:color="000000" w:sz="1"/>
            </w:tcBorders>
            <w:shd w:fill="E8F5E9" w:val="clear"/>
          </w:tcPr>
          <w:p>
            <w:pPr>
              <w:jc w:val="center"/>
            </w:pPr>
            <w:r>
              <w:rPr>
                <w:b/>
                <w:bCs/>
              </w:rPr>
              <w:t xml:space="preserve">28.4</w:t>
            </w:r>
          </w:p>
        </w:tc>
        <w:tc>
          <w:tcPr>
            <w:tcW w:type="dxa" w:w="2340"/>
            <w:tcBorders>
              <w:top w:val="single" w:color="000000" w:sz="1"/>
              <w:left w:val="single" w:color="000000" w:sz="1"/>
              <w:bottom w:val="single" w:color="000000" w:sz="1"/>
              <w:right w:val="single" w:color="000000" w:sz="1"/>
            </w:tcBorders>
          </w:tcPr>
          <w:p>
            <w:pPr>
              <w:jc w:val="center"/>
            </w:pPr>
            <w:r>
              <w:rPr>
                <w:b/>
                <w:bCs/>
                <w:color w:val="4CAF50"/>
              </w:rPr>
              <w:t xml:space="preserve">-37.2%</w:t>
            </w:r>
          </w:p>
        </w:tc>
      </w:tr>
      <w:tr>
        <w:tc>
          <w:tcPr>
            <w:tcW w:type="dxa" w:w="2340"/>
            <w:tcBorders>
              <w:top w:val="single" w:color="000000" w:sz="1"/>
              <w:left w:val="single" w:color="000000" w:sz="1"/>
              <w:bottom w:val="single" w:color="000000" w:sz="1"/>
              <w:right w:val="single" w:color="000000" w:sz="1"/>
            </w:tcBorders>
          </w:tcPr>
          <w:p>
            <w:r>
              <w:t xml:space="preserve">Débit horaire (véh/h)</w:t>
            </w:r>
          </w:p>
        </w:tc>
        <w:tc>
          <w:tcPr>
            <w:tcW w:type="dxa" w:w="2340"/>
            <w:tcBorders>
              <w:top w:val="single" w:color="000000" w:sz="1"/>
              <w:left w:val="single" w:color="000000" w:sz="1"/>
              <w:bottom w:val="single" w:color="000000" w:sz="1"/>
              <w:right w:val="single" w:color="000000" w:sz="1"/>
            </w:tcBorders>
          </w:tcPr>
          <w:p>
            <w:pPr>
              <w:jc w:val="center"/>
            </w:pPr>
            <w:r>
              <w:t xml:space="preserve">820</w:t>
            </w:r>
          </w:p>
        </w:tc>
        <w:tc>
          <w:tcPr>
            <w:tcW w:type="dxa" w:w="2340"/>
            <w:tcBorders>
              <w:top w:val="single" w:color="000000" w:sz="1"/>
              <w:left w:val="single" w:color="000000" w:sz="1"/>
              <w:bottom w:val="single" w:color="000000" w:sz="1"/>
              <w:right w:val="single" w:color="000000" w:sz="1"/>
            </w:tcBorders>
            <w:shd w:fill="E8F5E9" w:val="clear"/>
          </w:tcPr>
          <w:p>
            <w:pPr>
              <w:jc w:val="center"/>
            </w:pPr>
            <w:r>
              <w:rPr>
                <w:b/>
                <w:bCs/>
              </w:rPr>
              <w:t xml:space="preserve">1145</w:t>
            </w:r>
          </w:p>
        </w:tc>
        <w:tc>
          <w:tcPr>
            <w:tcW w:type="dxa" w:w="2340"/>
            <w:tcBorders>
              <w:top w:val="single" w:color="000000" w:sz="1"/>
              <w:left w:val="single" w:color="000000" w:sz="1"/>
              <w:bottom w:val="single" w:color="000000" w:sz="1"/>
              <w:right w:val="single" w:color="000000" w:sz="1"/>
            </w:tcBorders>
          </w:tcPr>
          <w:p>
            <w:pPr>
              <w:jc w:val="center"/>
            </w:pPr>
            <w:r>
              <w:rPr>
                <w:b/>
                <w:bCs/>
                <w:color w:val="4CAF50"/>
              </w:rPr>
              <w:t xml:space="preserve">+39.6%</w:t>
            </w:r>
          </w:p>
        </w:tc>
      </w:tr>
      <w:tr>
        <w:tc>
          <w:tcPr>
            <w:tcW w:type="dxa" w:w="2340"/>
            <w:tcBorders>
              <w:top w:val="single" w:color="000000" w:sz="1"/>
              <w:left w:val="single" w:color="000000" w:sz="1"/>
              <w:bottom w:val="single" w:color="000000" w:sz="1"/>
              <w:right w:val="single" w:color="000000" w:sz="1"/>
            </w:tcBorders>
          </w:tcPr>
          <w:p>
            <w:r>
              <w:t xml:space="preserve">Longueur file attente</w:t>
            </w:r>
          </w:p>
        </w:tc>
        <w:tc>
          <w:tcPr>
            <w:tcW w:type="dxa" w:w="2340"/>
            <w:tcBorders>
              <w:top w:val="single" w:color="000000" w:sz="1"/>
              <w:left w:val="single" w:color="000000" w:sz="1"/>
              <w:bottom w:val="single" w:color="000000" w:sz="1"/>
              <w:right w:val="single" w:color="000000" w:sz="1"/>
            </w:tcBorders>
          </w:tcPr>
          <w:p>
            <w:pPr>
              <w:jc w:val="center"/>
            </w:pPr>
            <w:r>
              <w:t xml:space="preserve">8.3</w:t>
            </w:r>
          </w:p>
        </w:tc>
        <w:tc>
          <w:tcPr>
            <w:tcW w:type="dxa" w:w="2340"/>
            <w:tcBorders>
              <w:top w:val="single" w:color="000000" w:sz="1"/>
              <w:left w:val="single" w:color="000000" w:sz="1"/>
              <w:bottom w:val="single" w:color="000000" w:sz="1"/>
              <w:right w:val="single" w:color="000000" w:sz="1"/>
            </w:tcBorders>
            <w:shd w:fill="E8F5E9" w:val="clear"/>
          </w:tcPr>
          <w:p>
            <w:pPr>
              <w:jc w:val="center"/>
            </w:pPr>
            <w:r>
              <w:rPr>
                <w:b/>
                <w:bCs/>
              </w:rPr>
              <w:t xml:space="preserve">4.6</w:t>
            </w:r>
          </w:p>
        </w:tc>
        <w:tc>
          <w:tcPr>
            <w:tcW w:type="dxa" w:w="2340"/>
            <w:tcBorders>
              <w:top w:val="single" w:color="000000" w:sz="1"/>
              <w:left w:val="single" w:color="000000" w:sz="1"/>
              <w:bottom w:val="single" w:color="000000" w:sz="1"/>
              <w:right w:val="single" w:color="000000" w:sz="1"/>
            </w:tcBorders>
          </w:tcPr>
          <w:p>
            <w:pPr>
              <w:jc w:val="center"/>
            </w:pPr>
            <w:r>
              <w:rPr>
                <w:b/>
                <w:bCs/>
                <w:color w:val="4CAF50"/>
              </w:rPr>
              <w:t xml:space="preserve">-44.6%</w:t>
            </w:r>
          </w:p>
        </w:tc>
      </w:tr>
      <w:tr>
        <w:tc>
          <w:tcPr>
            <w:tcW w:type="dxa" w:w="2340"/>
            <w:tcBorders>
              <w:top w:val="single" w:color="000000" w:sz="1"/>
              <w:left w:val="single" w:color="000000" w:sz="1"/>
              <w:bottom w:val="single" w:color="000000" w:sz="1"/>
              <w:right w:val="single" w:color="000000" w:sz="1"/>
            </w:tcBorders>
          </w:tcPr>
          <w:p>
            <w:r>
              <w:t xml:space="preserve">Temps parcours (s)</w:t>
            </w:r>
          </w:p>
        </w:tc>
        <w:tc>
          <w:tcPr>
            <w:tcW w:type="dxa" w:w="2340"/>
            <w:tcBorders>
              <w:top w:val="single" w:color="000000" w:sz="1"/>
              <w:left w:val="single" w:color="000000" w:sz="1"/>
              <w:bottom w:val="single" w:color="000000" w:sz="1"/>
              <w:right w:val="single" w:color="000000" w:sz="1"/>
            </w:tcBorders>
          </w:tcPr>
          <w:p>
            <w:pPr>
              <w:jc w:val="center"/>
            </w:pPr>
            <w:r>
              <w:t xml:space="preserve">142.8</w:t>
            </w:r>
          </w:p>
        </w:tc>
        <w:tc>
          <w:tcPr>
            <w:tcW w:type="dxa" w:w="2340"/>
            <w:tcBorders>
              <w:top w:val="single" w:color="000000" w:sz="1"/>
              <w:left w:val="single" w:color="000000" w:sz="1"/>
              <w:bottom w:val="single" w:color="000000" w:sz="1"/>
              <w:right w:val="single" w:color="000000" w:sz="1"/>
            </w:tcBorders>
            <w:shd w:fill="E8F5E9" w:val="clear"/>
          </w:tcPr>
          <w:p>
            <w:pPr>
              <w:jc w:val="center"/>
            </w:pPr>
            <w:r>
              <w:rPr>
                <w:b/>
                <w:bCs/>
              </w:rPr>
              <w:t xml:space="preserve">98.5</w:t>
            </w:r>
          </w:p>
        </w:tc>
        <w:tc>
          <w:tcPr>
            <w:tcW w:type="dxa" w:w="2340"/>
            <w:tcBorders>
              <w:top w:val="single" w:color="000000" w:sz="1"/>
              <w:left w:val="single" w:color="000000" w:sz="1"/>
              <w:bottom w:val="single" w:color="000000" w:sz="1"/>
              <w:right w:val="single" w:color="000000" w:sz="1"/>
            </w:tcBorders>
          </w:tcPr>
          <w:p>
            <w:pPr>
              <w:jc w:val="center"/>
            </w:pPr>
            <w:r>
              <w:rPr>
                <w:b/>
                <w:bCs/>
                <w:color w:val="4CAF50"/>
              </w:rPr>
              <w:t xml:space="preserve">-31.0%</w:t>
            </w:r>
          </w:p>
        </w:tc>
      </w:tr>
      <w:tr>
        <w:tc>
          <w:tcPr>
            <w:tcW w:type="dxa" w:w="2340"/>
            <w:tcBorders>
              <w:top w:val="single" w:color="000000" w:sz="1"/>
              <w:left w:val="single" w:color="000000" w:sz="1"/>
              <w:bottom w:val="single" w:color="000000" w:sz="1"/>
              <w:right w:val="single" w:color="000000" w:sz="1"/>
            </w:tcBorders>
          </w:tcPr>
          <w:p>
            <w:r>
              <w:t xml:space="preserve">CO2 total (kg)</w:t>
            </w:r>
          </w:p>
        </w:tc>
        <w:tc>
          <w:tcPr>
            <w:tcW w:type="dxa" w:w="2340"/>
            <w:tcBorders>
              <w:top w:val="single" w:color="000000" w:sz="1"/>
              <w:left w:val="single" w:color="000000" w:sz="1"/>
              <w:bottom w:val="single" w:color="000000" w:sz="1"/>
              <w:right w:val="single" w:color="000000" w:sz="1"/>
            </w:tcBorders>
          </w:tcPr>
          <w:p>
            <w:pPr>
              <w:jc w:val="center"/>
            </w:pPr>
            <w:r>
              <w:t xml:space="preserve">156.2</w:t>
            </w:r>
          </w:p>
        </w:tc>
        <w:tc>
          <w:tcPr>
            <w:tcW w:type="dxa" w:w="2340"/>
            <w:tcBorders>
              <w:top w:val="single" w:color="000000" w:sz="1"/>
              <w:left w:val="single" w:color="000000" w:sz="1"/>
              <w:bottom w:val="single" w:color="000000" w:sz="1"/>
              <w:right w:val="single" w:color="000000" w:sz="1"/>
            </w:tcBorders>
            <w:shd w:fill="E8F5E9" w:val="clear"/>
          </w:tcPr>
          <w:p>
            <w:pPr>
              <w:jc w:val="center"/>
            </w:pPr>
            <w:r>
              <w:rPr>
                <w:b/>
                <w:bCs/>
              </w:rPr>
              <w:t xml:space="preserve">128.7</w:t>
            </w:r>
          </w:p>
        </w:tc>
        <w:tc>
          <w:tcPr>
            <w:tcW w:type="dxa" w:w="2340"/>
            <w:tcBorders>
              <w:top w:val="single" w:color="000000" w:sz="1"/>
              <w:left w:val="single" w:color="000000" w:sz="1"/>
              <w:bottom w:val="single" w:color="000000" w:sz="1"/>
              <w:right w:val="single" w:color="000000" w:sz="1"/>
            </w:tcBorders>
          </w:tcPr>
          <w:p>
            <w:pPr>
              <w:jc w:val="center"/>
            </w:pPr>
            <w:r>
              <w:rPr>
                <w:b/>
                <w:bCs/>
                <w:color w:val="4CAF50"/>
              </w:rPr>
              <w:t xml:space="preserve">-17.6%</w:t>
            </w:r>
          </w:p>
        </w:tc>
      </w:tr>
    </w:tbl>
    <w:p>
      <w:pPr>
        <w:spacing w:before="200" w:after="100"/>
        <w:jc w:val="both"/>
      </w:pPr>
      <w:r>
        <w:t xml:space="preserve">Analyse : Les résultats démontrent une amélioration significative sur l'ensemble des métriques. Le temps d'attente moyen est réduit de 37.2%, atteignant 28.4 secondes contre 45.2 secondes pour le système à feux fixes. Le débit horaire augmente de 39.6%, permettant de traiter 1145 véhicules/heure contre 820 véhicules/heure. La réduction de 17.6% des émissions de CO2 résulte directement de la diminution des phases d'arrêt complet et des accélérations brusques.</w:t>
      </w:r>
    </w:p>
    <w:p>
      <w:pPr>
        <w:pStyle w:val="Heading3"/>
        <w:spacing w:before="200" w:after="100"/>
      </w:pPr>
      <w:r>
        <w:t xml:space="preserve">2. Impact du module V2I sur les véhicules d'urgence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3120"/>
        <w:gridCol w:w="3120"/>
      </w:tblGrid>
      <w:tr>
        <w:trPr>
          <w:tblHeader/>
        </w:trPr>
        <w:tc>
          <w:tcPr>
            <w:tcW w:type="dxa" w:w="312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Scénario</w:t>
            </w:r>
          </w:p>
        </w:tc>
        <w:tc>
          <w:tcPr>
            <w:tcW w:type="dxa" w:w="312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Temps Intervention (s)</w:t>
            </w:r>
          </w:p>
        </w:tc>
        <w:tc>
          <w:tcPr>
            <w:tcW w:type="dxa" w:w="312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Taux Succès V2I</w:t>
            </w:r>
          </w:p>
        </w:tc>
      </w:tr>
      <w:tr>
        <w:tc>
          <w:tcPr>
            <w:tcW w:type="dxa" w:w="3120"/>
            <w:tcBorders>
              <w:top w:val="single" w:color="000000" w:sz="1"/>
              <w:left w:val="single" w:color="000000" w:sz="1"/>
              <w:bottom w:val="single" w:color="000000" w:sz="1"/>
              <w:right w:val="single" w:color="000000" w:sz="1"/>
            </w:tcBorders>
          </w:tcPr>
          <w:p>
            <w:r>
              <w:t xml:space="preserve">Sans V2I (baseline)</w:t>
            </w:r>
          </w:p>
        </w:tc>
        <w:tc>
          <w:tcPr>
            <w:tcW w:type="dxa" w:w="3120"/>
            <w:tcBorders>
              <w:top w:val="single" w:color="000000" w:sz="1"/>
              <w:left w:val="single" w:color="000000" w:sz="1"/>
              <w:bottom w:val="single" w:color="000000" w:sz="1"/>
              <w:right w:val="single" w:color="000000" w:sz="1"/>
            </w:tcBorders>
          </w:tcPr>
          <w:p>
            <w:pPr>
              <w:jc w:val="center"/>
            </w:pPr>
            <w:r>
              <w:t xml:space="preserve">38.5</w:t>
            </w:r>
          </w:p>
        </w:tc>
        <w:tc>
          <w:tcPr>
            <w:tcW w:type="dxa" w:w="3120"/>
            <w:tcBorders>
              <w:top w:val="single" w:color="000000" w:sz="1"/>
              <w:left w:val="single" w:color="000000" w:sz="1"/>
              <w:bottom w:val="single" w:color="000000" w:sz="1"/>
              <w:right w:val="single" w:color="000000" w:sz="1"/>
            </w:tcBorders>
          </w:tcPr>
          <w:p>
            <w:pPr>
              <w:jc w:val="center"/>
            </w:pPr>
            <w:r>
              <w:t xml:space="preserve">N/A</w:t>
            </w:r>
          </w:p>
        </w:tc>
      </w:tr>
      <w:tr>
        <w:tc>
          <w:tcPr>
            <w:tcW w:type="dxa" w:w="3120"/>
            <w:tcBorders>
              <w:top w:val="single" w:color="000000" w:sz="1"/>
              <w:left w:val="single" w:color="000000" w:sz="1"/>
              <w:bottom w:val="single" w:color="000000" w:sz="1"/>
              <w:right w:val="single" w:color="000000" w:sz="1"/>
            </w:tcBorders>
          </w:tcPr>
          <w:p>
            <w:r>
              <w:t xml:space="preserve">Avec V2I - Véhicule P1</w:t>
            </w:r>
          </w:p>
        </w:tc>
        <w:tc>
          <w:tcPr>
            <w:tcW w:type="dxa" w:w="3120"/>
            <w:tcBorders>
              <w:top w:val="single" w:color="000000" w:sz="1"/>
              <w:left w:val="single" w:color="000000" w:sz="1"/>
              <w:bottom w:val="single" w:color="000000" w:sz="1"/>
              <w:right w:val="single" w:color="000000" w:sz="1"/>
            </w:tcBorders>
            <w:shd w:fill="E8F5E9" w:val="clear"/>
          </w:tcPr>
          <w:p>
            <w:pPr>
              <w:jc w:val="center"/>
            </w:pPr>
            <w:r>
              <w:rPr>
                <w:b/>
                <w:bCs/>
                <w:color w:val="4CAF50"/>
              </w:rPr>
              <w:t xml:space="preserve">12.3 (-68.1%)</w:t>
            </w:r>
          </w:p>
        </w:tc>
        <w:tc>
          <w:tcPr>
            <w:tcW w:type="dxa" w:w="3120"/>
            <w:tcBorders>
              <w:top w:val="single" w:color="000000" w:sz="1"/>
              <w:left w:val="single" w:color="000000" w:sz="1"/>
              <w:bottom w:val="single" w:color="000000" w:sz="1"/>
              <w:right w:val="single" w:color="000000" w:sz="1"/>
            </w:tcBorders>
          </w:tcPr>
          <w:p>
            <w:pPr>
              <w:jc w:val="center"/>
            </w:pPr>
            <w:r>
              <w:t xml:space="preserve">99.2%</w:t>
            </w:r>
          </w:p>
        </w:tc>
      </w:tr>
      <w:tr>
        <w:tc>
          <w:tcPr>
            <w:tcW w:type="dxa" w:w="3120"/>
            <w:tcBorders>
              <w:top w:val="single" w:color="000000" w:sz="1"/>
              <w:left w:val="single" w:color="000000" w:sz="1"/>
              <w:bottom w:val="single" w:color="000000" w:sz="1"/>
              <w:right w:val="single" w:color="000000" w:sz="1"/>
            </w:tcBorders>
          </w:tcPr>
          <w:p>
            <w:r>
              <w:t xml:space="preserve">Avec V2I - Véhicule P2</w:t>
            </w:r>
          </w:p>
        </w:tc>
        <w:tc>
          <w:tcPr>
            <w:tcW w:type="dxa" w:w="3120"/>
            <w:tcBorders>
              <w:top w:val="single" w:color="000000" w:sz="1"/>
              <w:left w:val="single" w:color="000000" w:sz="1"/>
              <w:bottom w:val="single" w:color="000000" w:sz="1"/>
              <w:right w:val="single" w:color="000000" w:sz="1"/>
            </w:tcBorders>
            <w:shd w:fill="E8F5E9" w:val="clear"/>
          </w:tcPr>
          <w:p>
            <w:pPr>
              <w:jc w:val="center"/>
            </w:pPr>
            <w:r>
              <w:rPr>
                <w:b/>
                <w:bCs/>
                <w:color w:val="4CAF50"/>
              </w:rPr>
              <w:t xml:space="preserve">17.8 (-53.8%)</w:t>
            </w:r>
          </w:p>
        </w:tc>
        <w:tc>
          <w:tcPr>
            <w:tcW w:type="dxa" w:w="3120"/>
            <w:tcBorders>
              <w:top w:val="single" w:color="000000" w:sz="1"/>
              <w:left w:val="single" w:color="000000" w:sz="1"/>
              <w:bottom w:val="single" w:color="000000" w:sz="1"/>
              <w:right w:val="single" w:color="000000" w:sz="1"/>
            </w:tcBorders>
          </w:tcPr>
          <w:p>
            <w:pPr>
              <w:jc w:val="center"/>
            </w:pPr>
            <w:r>
              <w:t xml:space="preserve">97.5%</w:t>
            </w:r>
          </w:p>
        </w:tc>
      </w:tr>
    </w:tbl>
    <w:p>
      <w:pPr>
        <w:spacing w:before="200" w:after="100"/>
        <w:jc w:val="both"/>
      </w:pPr>
      <w:r>
        <w:t xml:space="preserve">Analyse : Le module V2I démontre une efficacité remarquable pour les véhicules d'urgence. Les véhicules de priorité P1 (critiques) traversent l'intersection en moyenne en 12.3 secondes, représentant une réduction de 68.1% par rapport au scénario sans V2I. Le taux de succès V2I atteint 99.2% pour les P1 et 97.5% pour les P2, dépassant largement l'objectif de 98%. Ces résultats confirment la capacité du système à garantir une réponse d'urgence rapide tout en maintenant un flux de trafic normal pour les autres usagers.</w:t>
      </w:r>
    </w:p>
    <w:p>
      <w:r>
        <w:br w:type="page"/>
      </w:r>
    </w:p>
    <w:p>
      <w:pPr>
        <w:pStyle w:val="Heading3"/>
        <w:spacing w:before="200" w:after="100"/>
      </w:pPr>
      <w:r>
        <w:t xml:space="preserve">3. Performances en conditions de saturation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Métrique</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Feux Fixes</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Max-Pressure</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Amélioration</w:t>
            </w:r>
          </w:p>
        </w:tc>
      </w:tr>
      <w:tr>
        <w:tc>
          <w:tcPr>
            <w:tcW w:type="dxa" w:w="2340"/>
            <w:tcBorders>
              <w:top w:val="single" w:color="000000" w:sz="1"/>
              <w:left w:val="single" w:color="000000" w:sz="1"/>
              <w:bottom w:val="single" w:color="000000" w:sz="1"/>
              <w:right w:val="single" w:color="000000" w:sz="1"/>
            </w:tcBorders>
          </w:tcPr>
          <w:p>
            <w:r>
              <w:t xml:space="preserve">Temps attente moyen (s)</w:t>
            </w:r>
          </w:p>
        </w:tc>
        <w:tc>
          <w:tcPr>
            <w:tcW w:type="dxa" w:w="2340"/>
            <w:tcBorders>
              <w:top w:val="single" w:color="000000" w:sz="1"/>
              <w:left w:val="single" w:color="000000" w:sz="1"/>
              <w:bottom w:val="single" w:color="000000" w:sz="1"/>
              <w:right w:val="single" w:color="000000" w:sz="1"/>
            </w:tcBorders>
          </w:tcPr>
          <w:p>
            <w:pPr>
              <w:jc w:val="center"/>
            </w:pPr>
            <w:r>
              <w:t xml:space="preserve">78.6</w:t>
            </w:r>
          </w:p>
        </w:tc>
        <w:tc>
          <w:tcPr>
            <w:tcW w:type="dxa" w:w="2340"/>
            <w:tcBorders>
              <w:top w:val="single" w:color="000000" w:sz="1"/>
              <w:left w:val="single" w:color="000000" w:sz="1"/>
              <w:bottom w:val="single" w:color="000000" w:sz="1"/>
              <w:right w:val="single" w:color="000000" w:sz="1"/>
            </w:tcBorders>
            <w:shd w:fill="FFF3E0" w:val="clear"/>
          </w:tcPr>
          <w:p>
            <w:pPr>
              <w:jc w:val="center"/>
            </w:pPr>
            <w:r>
              <w:rPr>
                <w:b/>
                <w:bCs/>
              </w:rPr>
              <w:t xml:space="preserve">52.1</w:t>
            </w:r>
          </w:p>
        </w:tc>
        <w:tc>
          <w:tcPr>
            <w:tcW w:type="dxa" w:w="2340"/>
            <w:tcBorders>
              <w:top w:val="single" w:color="000000" w:sz="1"/>
              <w:left w:val="single" w:color="000000" w:sz="1"/>
              <w:bottom w:val="single" w:color="000000" w:sz="1"/>
              <w:right w:val="single" w:color="000000" w:sz="1"/>
            </w:tcBorders>
          </w:tcPr>
          <w:p>
            <w:pPr>
              <w:jc w:val="center"/>
            </w:pPr>
            <w:r>
              <w:rPr>
                <w:b/>
                <w:bCs/>
                <w:color w:val="FF9800"/>
              </w:rPr>
              <w:t xml:space="preserve">-33.7%</w:t>
            </w:r>
          </w:p>
        </w:tc>
      </w:tr>
      <w:tr>
        <w:tc>
          <w:tcPr>
            <w:tcW w:type="dxa" w:w="2340"/>
            <w:tcBorders>
              <w:top w:val="single" w:color="000000" w:sz="1"/>
              <w:left w:val="single" w:color="000000" w:sz="1"/>
              <w:bottom w:val="single" w:color="000000" w:sz="1"/>
              <w:right w:val="single" w:color="000000" w:sz="1"/>
            </w:tcBorders>
          </w:tcPr>
          <w:p>
            <w:r>
              <w:t xml:space="preserve">Longueur file attente</w:t>
            </w:r>
          </w:p>
        </w:tc>
        <w:tc>
          <w:tcPr>
            <w:tcW w:type="dxa" w:w="2340"/>
            <w:tcBorders>
              <w:top w:val="single" w:color="000000" w:sz="1"/>
              <w:left w:val="single" w:color="000000" w:sz="1"/>
              <w:bottom w:val="single" w:color="000000" w:sz="1"/>
              <w:right w:val="single" w:color="000000" w:sz="1"/>
            </w:tcBorders>
          </w:tcPr>
          <w:p>
            <w:pPr>
              <w:jc w:val="center"/>
            </w:pPr>
            <w:r>
              <w:t xml:space="preserve">18.4</w:t>
            </w:r>
          </w:p>
        </w:tc>
        <w:tc>
          <w:tcPr>
            <w:tcW w:type="dxa" w:w="2340"/>
            <w:tcBorders>
              <w:top w:val="single" w:color="000000" w:sz="1"/>
              <w:left w:val="single" w:color="000000" w:sz="1"/>
              <w:bottom w:val="single" w:color="000000" w:sz="1"/>
              <w:right w:val="single" w:color="000000" w:sz="1"/>
            </w:tcBorders>
            <w:shd w:fill="FFF3E0" w:val="clear"/>
          </w:tcPr>
          <w:p>
            <w:pPr>
              <w:jc w:val="center"/>
            </w:pPr>
            <w:r>
              <w:rPr>
                <w:b/>
                <w:bCs/>
              </w:rPr>
              <w:t xml:space="preserve">11.2</w:t>
            </w:r>
          </w:p>
        </w:tc>
        <w:tc>
          <w:tcPr>
            <w:tcW w:type="dxa" w:w="2340"/>
            <w:tcBorders>
              <w:top w:val="single" w:color="000000" w:sz="1"/>
              <w:left w:val="single" w:color="000000" w:sz="1"/>
              <w:bottom w:val="single" w:color="000000" w:sz="1"/>
              <w:right w:val="single" w:color="000000" w:sz="1"/>
            </w:tcBorders>
          </w:tcPr>
          <w:p>
            <w:pPr>
              <w:jc w:val="center"/>
            </w:pPr>
            <w:r>
              <w:rPr>
                <w:b/>
                <w:bCs/>
                <w:color w:val="FF9800"/>
              </w:rPr>
              <w:t xml:space="preserve">-39.1%</w:t>
            </w:r>
          </w:p>
        </w:tc>
      </w:tr>
      <w:tr>
        <w:tc>
          <w:tcPr>
            <w:tcW w:type="dxa" w:w="2340"/>
            <w:tcBorders>
              <w:top w:val="single" w:color="000000" w:sz="1"/>
              <w:left w:val="single" w:color="000000" w:sz="1"/>
              <w:bottom w:val="single" w:color="000000" w:sz="1"/>
              <w:right w:val="single" w:color="000000" w:sz="1"/>
            </w:tcBorders>
          </w:tcPr>
          <w:p>
            <w:r>
              <w:t xml:space="preserve">Débit horaire (véh/h)</w:t>
            </w:r>
          </w:p>
        </w:tc>
        <w:tc>
          <w:tcPr>
            <w:tcW w:type="dxa" w:w="2340"/>
            <w:tcBorders>
              <w:top w:val="single" w:color="000000" w:sz="1"/>
              <w:left w:val="single" w:color="000000" w:sz="1"/>
              <w:bottom w:val="single" w:color="000000" w:sz="1"/>
              <w:right w:val="single" w:color="000000" w:sz="1"/>
            </w:tcBorders>
          </w:tcPr>
          <w:p>
            <w:pPr>
              <w:jc w:val="center"/>
            </w:pPr>
            <w:r>
              <w:t xml:space="preserve">685</w:t>
            </w:r>
          </w:p>
        </w:tc>
        <w:tc>
          <w:tcPr>
            <w:tcW w:type="dxa" w:w="2340"/>
            <w:tcBorders>
              <w:top w:val="single" w:color="000000" w:sz="1"/>
              <w:left w:val="single" w:color="000000" w:sz="1"/>
              <w:bottom w:val="single" w:color="000000" w:sz="1"/>
              <w:right w:val="single" w:color="000000" w:sz="1"/>
            </w:tcBorders>
            <w:shd w:fill="FFF3E0" w:val="clear"/>
          </w:tcPr>
          <w:p>
            <w:pPr>
              <w:jc w:val="center"/>
            </w:pPr>
            <w:r>
              <w:rPr>
                <w:b/>
                <w:bCs/>
              </w:rPr>
              <w:t xml:space="preserve">920</w:t>
            </w:r>
          </w:p>
        </w:tc>
        <w:tc>
          <w:tcPr>
            <w:tcW w:type="dxa" w:w="2340"/>
            <w:tcBorders>
              <w:top w:val="single" w:color="000000" w:sz="1"/>
              <w:left w:val="single" w:color="000000" w:sz="1"/>
              <w:bottom w:val="single" w:color="000000" w:sz="1"/>
              <w:right w:val="single" w:color="000000" w:sz="1"/>
            </w:tcBorders>
          </w:tcPr>
          <w:p>
            <w:pPr>
              <w:jc w:val="center"/>
            </w:pPr>
            <w:r>
              <w:rPr>
                <w:b/>
                <w:bCs/>
                <w:color w:val="FF9800"/>
              </w:rPr>
              <w:t xml:space="preserve">+34.3%</w:t>
            </w:r>
          </w:p>
        </w:tc>
      </w:tr>
    </w:tbl>
    <w:p>
      <w:pPr>
        <w:spacing w:before="200" w:after="100"/>
        <w:jc w:val="both"/>
      </w:pPr>
      <w:r>
        <w:t xml:space="preserve">Analyse : En conditions de saturation (1000 véhicules/heure, charge à 95%), le système Urban Flow maintient des performances significativement supérieures au système à feux fixes, bien que les gains soient légèrement inférieurs à ceux observés en trafic normal. Le temps d'attente moyen augmente à 52.1 secondes (contre 78.6s pour feux fixes), mais reste dans les objectifs acceptables. La longueur moyenne des files d'attente atteint 11.2 véhicules, proche de la limite de 12 véhicules fixée. Ces résultats démontrent la robustesse de l'algorithme Max-Pressure même dans des conditions extrêmes.</w:t>
      </w:r>
    </w:p>
    <w:p>
      <w:pPr>
        <w:pStyle w:val="Heading2"/>
        <w:spacing w:before="300" w:after="150"/>
      </w:pPr>
      <w:r>
        <w:t xml:space="preserve">B. Analyse critique et limitations</w:t>
      </w:r>
    </w:p>
    <w:p>
      <w:pPr>
        <w:pStyle w:val="Heading3"/>
      </w:pPr>
      <w:r>
        <w:t xml:space="preserve">1. Points forts du système</w:t>
      </w:r>
    </w:p>
    <w:p>
      <w:pPr>
        <w:pStyle w:val="ListParagraph"/>
        <w:numPr>
          <w:ilvl w:val="0"/>
          <w:numId w:val="2"/>
        </w:numPr>
      </w:pPr>
      <w:r>
        <w:t xml:space="preserve">Réactivité adaptative : Le système démontre une excellente capacité d'adaptation aux variations de trafic, avec une latence système moyenne de 45ms, bien en deçà de l'objectif de 100ms.</w:t>
      </w:r>
    </w:p>
    <w:p>
      <w:pPr>
        <w:pStyle w:val="ListParagraph"/>
        <w:numPr>
          <w:ilvl w:val="0"/>
          <w:numId w:val="2"/>
        </w:numPr>
      </w:pPr>
      <w:r>
        <w:t xml:space="preserve">Gains environnementaux : La réduction constante de 15-20% des émissions de CO2 sur tous les scénarios confirme l'impact positif du système sur l'environnement urbain.</w:t>
      </w:r>
    </w:p>
    <w:p>
      <w:pPr>
        <w:pStyle w:val="ListParagraph"/>
        <w:numPr>
          <w:ilvl w:val="0"/>
          <w:numId w:val="2"/>
        </w:numPr>
      </w:pPr>
      <w:r>
        <w:t xml:space="preserve">Module V2I performant : Le taux de succès supérieur à 98% pour les véhicules P1 valide l'efficacité du module de priorité d'urgence, avec un impact minimal sur le trafic normal.</w:t>
      </w:r>
    </w:p>
    <w:p>
      <w:pPr>
        <w:pStyle w:val="ListParagraph"/>
        <w:numPr>
          <w:ilvl w:val="0"/>
          <w:numId w:val="2"/>
        </w:numPr>
      </w:pPr>
      <w:r>
        <w:t xml:space="preserve">Robustesse en saturation : Le système maintient des performances acceptables même à 95% de capacité, là où les systèmes conventionnels s'effondrent rapidement.</w:t>
      </w:r>
    </w:p>
    <w:p>
      <w:pPr>
        <w:pStyle w:val="Heading3"/>
        <w:spacing w:before="200" w:after="100"/>
      </w:pPr>
      <w:r>
        <w:t xml:space="preserve">2. Limitations identifiées</w:t>
      </w:r>
    </w:p>
    <w:p>
      <w:pPr>
        <w:pStyle w:val="ListParagraph"/>
        <w:numPr>
          <w:ilvl w:val="0"/>
          <w:numId w:val="2"/>
        </w:numPr>
      </w:pPr>
      <w:r>
        <w:t xml:space="preserve">Dégradation en saturation extrême : Au-delà de 1100 véhicules/heure (&gt;100% capacité théorique), les performances se dégradent rapidement avec formation de files d'attente persistantes. Le système n'est pas conçu pour gérer durablement une demande excédant la capacité physique de l'infrastructure.</w:t>
      </w:r>
    </w:p>
    <w:p>
      <w:pPr>
        <w:pStyle w:val="ListParagraph"/>
        <w:numPr>
          <w:ilvl w:val="0"/>
          <w:numId w:val="2"/>
        </w:numPr>
      </w:pPr>
      <w:r>
        <w:t xml:space="preserve">Dépendance aux capteurs : Les performances du système sont directement corrélées à la qualité et la fiabilité des données de détection. Une défaillance de 30% des capteurs entraîne une baisse de performance de 15-20%, nécessitant l'activation du module Fail-Safe.</w:t>
      </w:r>
    </w:p>
    <w:p>
      <w:pPr>
        <w:pStyle w:val="ListParagraph"/>
        <w:numPr>
          <w:ilvl w:val="0"/>
          <w:numId w:val="2"/>
        </w:numPr>
      </w:pPr>
      <w:r>
        <w:t xml:space="preserve">Complexité calibration : L'algorithme Max-Pressure nécessite un réglage fin des paramètres (poids des voies, seuils de congestion) pour chaque topologie d'intersection, limitant la généralisation automatique.</w:t>
      </w:r>
    </w:p>
    <w:p>
      <w:pPr>
        <w:pStyle w:val="ListParagraph"/>
        <w:numPr>
          <w:ilvl w:val="0"/>
          <w:numId w:val="2"/>
        </w:numPr>
      </w:pPr>
      <w:r>
        <w:t xml:space="preserve">Équité entre usagers : En conditions de forte charge, certaines voies secondaires peuvent subir des temps d'attente disproportionnés (jusqu'à 90s) lorsque l'algorithme priorise systématiquement les axes principaux. Un mécanisme d'équité temporelle pourrait atténuer ce phénomène.</w:t>
      </w:r>
    </w:p>
    <w:p>
      <w:pPr>
        <w:pStyle w:val="Heading3"/>
        <w:spacing w:before="200" w:after="100"/>
      </w:pPr>
      <w:r>
        <w:t xml:space="preserve">3. Comparaison avec la littérature</w:t>
      </w:r>
    </w:p>
    <w:p>
      <w:pPr>
        <w:spacing w:before="100" w:after="100"/>
        <w:jc w:val="both"/>
      </w:pPr>
      <w:r>
        <w:t xml:space="preserve">Les performances observées sont cohérentes avec les résultats publiés dans la littérature scientifique sur les systèmes adaptatifs de gestion de trafic. Varaiya et al. (2013) rapportent des réductions de temps d'attente de 30-40% avec l'algorithme Max-Pressure sur des simulations similaires, alignées avec nos résultats de 37.2% en trafic normal. L'étude de Guler et al. (2016) sur les systèmes V2I montre des réductions de temps d'intervention pour véhicules d'urgence de 60-70%, comparable à notre résultat de 68.1% pour les P1. Cependant, notre système démontre une meilleure robustesse en saturation (+34.3% débit vs +25% dans la littérature), probablement grâce à l'intégration du module Fail-Safe qui maintient une dégradation progressive.</w:t>
      </w:r>
    </w:p>
    <w:p>
      <w:pPr>
        <w:pStyle w:val="Heading2"/>
        <w:spacing w:before="300" w:after="150"/>
      </w:pPr>
      <w:r>
        <w:t xml:space="preserve">C. Recommandations et perspectives</w:t>
      </w:r>
    </w:p>
    <w:p>
      <w:pPr>
        <w:pStyle w:val="Heading3"/>
      </w:pPr>
      <w:r>
        <w:t xml:space="preserve">1. Améliorations algorithmiques</w:t>
      </w:r>
    </w:p>
    <w:p>
      <w:pPr>
        <w:pStyle w:val="ListParagraph"/>
        <w:numPr>
          <w:ilvl w:val="0"/>
          <w:numId w:val="2"/>
        </w:numPr>
      </w:pPr>
      <w:r>
        <w:t xml:space="preserve">Apprentissage des patterns de trafic : Intégrer un module d'apprentissage automatique (Machine Learning) pour anticiper les pics de demande récurrents (heures de pointe, événements) et pré-optimiser les cycles de feux.</w:t>
      </w:r>
    </w:p>
    <w:p>
      <w:pPr>
        <w:pStyle w:val="ListParagraph"/>
        <w:numPr>
          <w:ilvl w:val="0"/>
          <w:numId w:val="2"/>
        </w:numPr>
      </w:pPr>
      <w:r>
        <w:t xml:space="preserve">Coordination multi-intersections : Étendre l'algorithme Max-Pressure à un réseau de plusieurs intersections pour créer des "vagues vertes" coordonnées sur des axes majeurs.</w:t>
      </w:r>
    </w:p>
    <w:p>
      <w:pPr>
        <w:pStyle w:val="ListParagraph"/>
        <w:numPr>
          <w:ilvl w:val="0"/>
          <w:numId w:val="2"/>
        </w:numPr>
      </w:pPr>
      <w:r>
        <w:t xml:space="preserve">Équité adaptative : Implémenter un mécanisme de garantie de service minimal (temps d'attente maximal de 120s) pour toutes les voies, même secondaires.</w:t>
      </w:r>
    </w:p>
    <w:p>
      <w:pPr>
        <w:pStyle w:val="Heading3"/>
        <w:spacing w:before="200" w:after="100"/>
      </w:pPr>
      <w:r>
        <w:t xml:space="preserve">2. Extensions techniques</w:t>
      </w:r>
    </w:p>
    <w:p>
      <w:pPr>
        <w:pStyle w:val="ListParagraph"/>
        <w:numPr>
          <w:ilvl w:val="0"/>
          <w:numId w:val="2"/>
        </w:numPr>
      </w:pPr>
      <w:r>
        <w:t xml:space="preserve">Intégration piétons et cyclistes : Ajouter des phases dédiées avec détection automatique des traversées piétonnes via caméras de vision par ordinateur.</w:t>
      </w:r>
    </w:p>
    <w:p>
      <w:pPr>
        <w:pStyle w:val="ListParagraph"/>
        <w:numPr>
          <w:ilvl w:val="0"/>
          <w:numId w:val="2"/>
        </w:numPr>
      </w:pPr>
      <w:r>
        <w:t xml:space="preserve">Module prédictif météo : Adapter les paramètres du système en fonction des conditions météorologiques (pluie, brouillard) qui impactent les comportements de conduite.</w:t>
      </w:r>
    </w:p>
    <w:p>
      <w:pPr>
        <w:pStyle w:val="ListParagraph"/>
        <w:numPr>
          <w:ilvl w:val="0"/>
          <w:numId w:val="2"/>
        </w:numPr>
      </w:pPr>
      <w:r>
        <w:t xml:space="preserve">Blockchain pour audit V2I : Utiliser une blockchain pour tracer de manière immuable toutes les décisions de priorité V2I, garantissant transparence et responsabilité.</w:t>
      </w:r>
    </w:p>
    <w:p>
      <w:pPr>
        <w:spacing w:before="200" w:after="200"/>
        <w:jc w:val="both"/>
      </w:pPr>
      <w:r>
        <w:t xml:space="preserve">En conclusion, les résultats de validation confirment que le système Urban Flow atteint et dépasse les objectifs fixés pour l'ensemble des métriques clés. Les gains de performance sont substantiels (30-40% sur les indicateurs temporels) tout en maintenant une robustesse acceptable en conditions extrêmes. Le module V2I se révèle particulièrement efficace avec un taux de succès supérieur à 98%. Les limitations identifiées concernent principalement les scénarios de saturation extrême et la dépendance à la qualité des capteurs, points qui peuvent être adressés dans les évolutions futures du système.</w:t>
      </w:r>
    </w:p>
    <w:p>
      <w:pPr>
        <w:spacing w:before="300" w:after="100"/>
        <w:jc w:val="both"/>
      </w:pPr>
      <w:r>
        <w:rPr>
          <w:i/>
          <w:iCs/>
          <w:sz w:val="20"/>
          <w:szCs w:val="20"/>
        </w:rPr>
        <w:t xml:space="preserve">Note : Les graphiques détaillés (évolution temporelle des métriques, distributions statistiques, heatmaps de congestion) et les logs complets de simulation sont disponibles en annexe du rapport.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2025-12-27T17:32:52.202Z</dcterms:created>
  <dcterms:modified xsi:type="dcterms:W3CDTF">2025-12-27T17:32:52.203Z</dcterms:modified>
</cp:coreProperties>
</file>

<file path=docProps/custom.xml><?xml version="1.0" encoding="utf-8"?>
<Properties xmlns="http://schemas.openxmlformats.org/officeDocument/2006/custom-properties" xmlns:vt="http://schemas.openxmlformats.org/officeDocument/2006/docPropsVTypes"/>
</file>