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Clusteer — Platform Overview</w:t>
      </w:r>
    </w:p>
    <w:p>
      <w:r>
        <w:t>Clusteer is a stablecoin-to-Naira exchange platform serving the Nigerian market. Users buy and sell USDT against NGN with instant bank payouts, powered by Quidax as the custodial ramp partner.</w:t>
      </w:r>
    </w:p>
    <w:p>
      <w:pPr>
        <w:pStyle w:val="Heading1"/>
      </w:pPr>
      <w:r>
        <w:t>Core Use Cases</w:t>
      </w:r>
    </w:p>
    <w:p>
      <w:r>
        <w:rPr>
          <w:b/>
        </w:rPr>
        <w:t>1. Buy USDT with Naira</w:t>
      </w:r>
      <w:r>
        <w:t xml:space="preserve"> — User pays NGN via bank transfer → receives USDT to their wallet address (TRC-20, BEP-20, or ERC-20)</w:t>
      </w:r>
    </w:p>
    <w:p>
      <w:r>
        <w:rPr>
          <w:b/>
        </w:rPr>
        <w:t>2. Sell USDT for Naira</w:t>
      </w:r>
      <w:r>
        <w:t xml:space="preserve"> — User sends USDT to a deposit address → receives NGN directly to their Nigerian bank account (NIP instant settlement, typically under 5 minutes)</w:t>
      </w:r>
    </w:p>
    <w:p>
      <w:r>
        <w:rPr>
          <w:b/>
        </w:rPr>
        <w:t>3. Hedge against Naira depreciation</w:t>
      </w:r>
      <w:r>
        <w:t xml:space="preserve"> — Users hold stablecoins as a store of value, converting salary or savings to USDT</w:t>
      </w:r>
    </w:p>
    <w:p>
      <w:r>
        <w:rPr>
          <w:b/>
        </w:rPr>
        <w:t>4. Cross-border receipts</w:t>
      </w:r>
      <w:r>
        <w:t xml:space="preserve"> — Diaspora/international clients send USDT; recipients convert to NGN and withdraw to bank</w:t>
      </w:r>
    </w:p>
    <w:p>
      <w:pPr>
        <w:pStyle w:val="Heading1"/>
      </w:pPr>
      <w:r>
        <w:t>User Base Profile</w:t>
      </w:r>
    </w:p>
    <w:p>
      <w:r>
        <w:rPr>
          <w:b/>
        </w:rPr>
        <w:t xml:space="preserve">Primary market: </w:t>
      </w:r>
      <w:r>
        <w:t>Nigeria (Lagos, Abuja, Port Harcourt, Ibadan)</w:t>
      </w:r>
    </w:p>
    <w:p>
      <w:r>
        <w:rPr>
          <w:b/>
        </w:rPr>
        <w:t xml:space="preserve">User personas: </w:t>
      </w:r>
      <w:r>
        <w:t>Salaried workers hedging FX risk, freelancers receiving international payments, SMEs accepting stablecoin payments, remittance receivers</w:t>
      </w:r>
    </w:p>
    <w:p>
      <w:r>
        <w:rPr>
          <w:b/>
        </w:rPr>
        <w:t xml:space="preserve">Supported assets: </w:t>
      </w:r>
      <w:r>
        <w:t>USDT, USDC</w:t>
      </w:r>
    </w:p>
    <w:p>
      <w:r>
        <w:rPr>
          <w:b/>
        </w:rPr>
        <w:t xml:space="preserve">Supported networks: </w:t>
      </w:r>
      <w:r>
        <w:t>TRC-20 (Tron), BEP-20 (BSC), ERC-20 (Ethereum)</w:t>
      </w:r>
    </w:p>
    <w:p>
      <w:r>
        <w:rPr>
          <w:b/>
        </w:rPr>
        <w:t xml:space="preserve">Fiat currency: </w:t>
      </w:r>
      <w:r>
        <w:t>Nigerian Naira (NGN)</w:t>
      </w:r>
    </w:p>
    <w:p>
      <w:pPr>
        <w:pStyle w:val="Heading1"/>
      </w:pPr>
      <w:r>
        <w:t>KYC/AML Verification Tiers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Daily Limit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Monthly Limit</w:t>
            </w:r>
          </w:p>
        </w:tc>
      </w:tr>
      <w:tr>
        <w:tc>
          <w:tcPr>
            <w:tcW w:type="dxa" w:w="2160"/>
          </w:tcPr>
          <w:p>
            <w:r>
              <w:t>Tier 1 — Starter</w:t>
            </w:r>
          </w:p>
        </w:tc>
        <w:tc>
          <w:tcPr>
            <w:tcW w:type="dxa" w:w="2160"/>
          </w:tcPr>
          <w:p>
            <w:r>
              <w:t>BVN only</w:t>
            </w:r>
          </w:p>
        </w:tc>
        <w:tc>
          <w:tcPr>
            <w:tcW w:type="dxa" w:w="2160"/>
          </w:tcPr>
          <w:p>
            <w:r>
              <w:t>₦10,000,000</w:t>
            </w:r>
          </w:p>
        </w:tc>
        <w:tc>
          <w:tcPr>
            <w:tcW w:type="dxa" w:w="2160"/>
          </w:tcPr>
          <w:p>
            <w:r>
              <w:t>₦50,000,000</w:t>
            </w:r>
          </w:p>
        </w:tc>
      </w:tr>
      <w:tr>
        <w:tc>
          <w:tcPr>
            <w:tcW w:type="dxa" w:w="2160"/>
          </w:tcPr>
          <w:p>
            <w:r>
              <w:t>Tier 2 — Pro</w:t>
            </w:r>
          </w:p>
        </w:tc>
        <w:tc>
          <w:tcPr>
            <w:tcW w:type="dxa" w:w="2160"/>
          </w:tcPr>
          <w:p>
            <w:r>
              <w:t>BVN + NIN + Government ID + Selfie</w:t>
            </w:r>
          </w:p>
        </w:tc>
        <w:tc>
          <w:tcPr>
            <w:tcW w:type="dxa" w:w="2160"/>
          </w:tcPr>
          <w:p>
            <w:r>
              <w:t>₦50,000,000</w:t>
            </w:r>
          </w:p>
        </w:tc>
        <w:tc>
          <w:tcPr>
            <w:tcW w:type="dxa" w:w="2160"/>
          </w:tcPr>
          <w:p>
            <w:r>
              <w:t>₦300,000,000</w:t>
            </w:r>
          </w:p>
        </w:tc>
      </w:tr>
      <w:tr>
        <w:tc>
          <w:tcPr>
            <w:tcW w:type="dxa" w:w="2160"/>
          </w:tcPr>
          <w:p>
            <w:r>
              <w:t>Tier 3 — Institution</w:t>
            </w:r>
          </w:p>
        </w:tc>
        <w:tc>
          <w:tcPr>
            <w:tcW w:type="dxa" w:w="2160"/>
          </w:tcPr>
          <w:p>
            <w:r>
              <w:t>Tier 2 + Proof of Address + Source of Funds</w:t>
            </w:r>
          </w:p>
        </w:tc>
        <w:tc>
          <w:tcPr>
            <w:tcW w:type="dxa" w:w="2160"/>
          </w:tcPr>
          <w:p>
            <w:r>
              <w:t>₦500,000,000</w:t>
            </w:r>
          </w:p>
        </w:tc>
        <w:tc>
          <w:tcPr>
            <w:tcW w:type="dxa" w:w="2160"/>
          </w:tcPr>
          <w:p>
            <w:r>
              <w:t>₦5,000,000,000</w:t>
            </w:r>
          </w:p>
        </w:tc>
      </w:tr>
    </w:tbl>
    <w:p>
      <w:pPr>
        <w:pStyle w:val="Heading1"/>
      </w:pPr>
      <w:r>
        <w:t>Expected Verification Volume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Monthly Estimate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Annual Estimate</w:t>
            </w:r>
          </w:p>
        </w:tc>
      </w:tr>
      <w:tr>
        <w:tc>
          <w:tcPr>
            <w:tcW w:type="dxa" w:w="2880"/>
          </w:tcPr>
          <w:p>
            <w:r>
              <w:t>New user registrations</w:t>
            </w:r>
          </w:p>
        </w:tc>
        <w:tc>
          <w:tcPr>
            <w:tcW w:type="dxa" w:w="2880"/>
          </w:tcPr>
          <w:p>
            <w:r>
              <w:t>3,000 – 8,000</w:t>
            </w:r>
          </w:p>
        </w:tc>
        <w:tc>
          <w:tcPr>
            <w:tcW w:type="dxa" w:w="2880"/>
          </w:tcPr>
          <w:p>
            <w:r>
              <w:t>36,000 – 96,000</w:t>
            </w:r>
          </w:p>
        </w:tc>
      </w:tr>
      <w:tr>
        <w:tc>
          <w:tcPr>
            <w:tcW w:type="dxa" w:w="2880"/>
          </w:tcPr>
          <w:p>
            <w:r>
              <w:t>Tier 1 verifications (BVN)</w:t>
            </w:r>
          </w:p>
        </w:tc>
        <w:tc>
          <w:tcPr>
            <w:tcW w:type="dxa" w:w="2880"/>
          </w:tcPr>
          <w:p>
            <w:r>
              <w:t>2,500 – 7,000</w:t>
            </w:r>
          </w:p>
        </w:tc>
        <w:tc>
          <w:tcPr>
            <w:tcW w:type="dxa" w:w="2880"/>
          </w:tcPr>
          <w:p>
            <w:r>
              <w:t>30,000 – 84,000</w:t>
            </w:r>
          </w:p>
        </w:tc>
      </w:tr>
      <w:tr>
        <w:tc>
          <w:tcPr>
            <w:tcW w:type="dxa" w:w="2880"/>
          </w:tcPr>
          <w:p>
            <w:r>
              <w:t>Tier 2 verifications (NIN + ID + Selfie)</w:t>
            </w:r>
          </w:p>
        </w:tc>
        <w:tc>
          <w:tcPr>
            <w:tcW w:type="dxa" w:w="2880"/>
          </w:tcPr>
          <w:p>
            <w:r>
              <w:t>800 – 2,500</w:t>
            </w:r>
          </w:p>
        </w:tc>
        <w:tc>
          <w:tcPr>
            <w:tcW w:type="dxa" w:w="2880"/>
          </w:tcPr>
          <w:p>
            <w:r>
              <w:t>9,600 – 30,000</w:t>
            </w:r>
          </w:p>
        </w:tc>
      </w:tr>
      <w:tr>
        <w:tc>
          <w:tcPr>
            <w:tcW w:type="dxa" w:w="2880"/>
          </w:tcPr>
          <w:p>
            <w:r>
              <w:t>Tier 3 verifications (Address + Source of Funds)</w:t>
            </w:r>
          </w:p>
        </w:tc>
        <w:tc>
          <w:tcPr>
            <w:tcW w:type="dxa" w:w="2880"/>
          </w:tcPr>
          <w:p>
            <w:r>
              <w:t>50 – 200</w:t>
            </w:r>
          </w:p>
        </w:tc>
        <w:tc>
          <w:tcPr>
            <w:tcW w:type="dxa" w:w="2880"/>
          </w:tcPr>
          <w:p>
            <w:r>
              <w:t>600 – 2,400</w:t>
            </w:r>
          </w:p>
        </w:tc>
      </w:tr>
      <w:tr>
        <w:tc>
          <w:tcPr>
            <w:tcW w:type="dxa" w:w="2880"/>
          </w:tcPr>
          <w:p>
            <w:r>
              <w:t>Re-verification / periodic review</w:t>
            </w:r>
          </w:p>
        </w:tc>
        <w:tc>
          <w:tcPr>
            <w:tcW w:type="dxa" w:w="2880"/>
          </w:tcPr>
          <w:p>
            <w:r>
              <w:t>200 – 500</w:t>
            </w:r>
          </w:p>
        </w:tc>
        <w:tc>
          <w:tcPr>
            <w:tcW w:type="dxa" w:w="2880"/>
          </w:tcPr>
          <w:p>
            <w:r>
              <w:t>2,400 – 6,000</w:t>
            </w:r>
          </w:p>
        </w:tc>
      </w:tr>
    </w:tbl>
    <w:p>
      <w:r>
        <w:rPr>
          <w:i/>
        </w:rPr>
        <w:t>Estimates based on projected growth from current 12K+ user base toward 100K within 12 months.</w:t>
      </w:r>
    </w:p>
    <w:p>
      <w:pPr>
        <w:pStyle w:val="Heading1"/>
      </w:pPr>
      <w:r>
        <w:t>Verification Checks Required</w:t>
      </w:r>
    </w:p>
    <w:p>
      <w:pPr>
        <w:pStyle w:val="ListBullet"/>
      </w:pPr>
      <w:r>
        <w:t>BVN validation (Bank Verification Number — 11 digits, NIBSS/NIMC match)</w:t>
      </w:r>
    </w:p>
    <w:p>
      <w:pPr>
        <w:pStyle w:val="ListBullet"/>
      </w:pPr>
      <w:r>
        <w:t>NIN validation (National Identification Number — 11 digits, NIMC match)</w:t>
      </w:r>
    </w:p>
    <w:p>
      <w:pPr>
        <w:pStyle w:val="ListBullet"/>
      </w:pPr>
      <w:r>
        <w:t>Government ID verification (Driver's license, International passport, Voter's card, National ID)</w:t>
      </w:r>
    </w:p>
    <w:p>
      <w:pPr>
        <w:pStyle w:val="ListBullet"/>
      </w:pPr>
      <w:r>
        <w:t>Liveness/selfie check (Active liveness — turn head, blink prompts)</w:t>
      </w:r>
    </w:p>
    <w:p>
      <w:pPr>
        <w:pStyle w:val="ListBullet"/>
      </w:pPr>
      <w:r>
        <w:t>Proof of address (Utility bill, bank statement, tenancy agreement — under 3 months)</w:t>
      </w:r>
    </w:p>
    <w:p>
      <w:pPr>
        <w:pStyle w:val="ListBullet"/>
      </w:pPr>
      <w:r>
        <w:t>Name resolution / match scoring (BVN name vs. provided name confidence score)</w:t>
      </w:r>
    </w:p>
    <w:p>
      <w:pPr>
        <w:pStyle w:val="ListBullet"/>
      </w:pPr>
      <w:r>
        <w:t>Sanctions / PEP screening (Ongoing, not just at onboarding)</w:t>
      </w:r>
    </w:p>
    <w:p>
      <w:pPr>
        <w:pStyle w:val="ListBullet"/>
      </w:pPr>
      <w:r>
        <w:t>Duplicate document detection (Same BVN/NIN across multiple accounts)</w:t>
      </w:r>
    </w:p>
    <w:p>
      <w:pPr>
        <w:pStyle w:val="Heading1"/>
      </w:pPr>
      <w:r>
        <w:t>Current KYC Integration</w:t>
      </w:r>
    </w:p>
    <w:p>
      <w:r>
        <w:t>Currently using Smile Identity (primary) with Youverify as fallback. Looking to evaluate additional or replacement partners for better coverage, pricing, and liveness accuracy in the Nigerian market.</w:t>
      </w:r>
    </w:p>
    <w:p>
      <w:pPr>
        <w:pStyle w:val="Heading1"/>
      </w:pPr>
      <w:r>
        <w:t>Technical Integration</w:t>
      </w:r>
    </w:p>
    <w:p>
      <w:r>
        <w:rPr>
          <w:b/>
        </w:rPr>
        <w:t xml:space="preserve">Backend: </w:t>
      </w:r>
      <w:r>
        <w:t>Spring Boot 3.3 / Java 21 (REST API)</w:t>
      </w:r>
    </w:p>
    <w:p>
      <w:r>
        <w:rPr>
          <w:b/>
        </w:rPr>
        <w:t xml:space="preserve">Verification trigger: </w:t>
      </w:r>
      <w:r>
        <w:t>PUT /v1/user/identity/update (multipart — ID doc + selfie)</w:t>
      </w:r>
    </w:p>
    <w:p>
      <w:r>
        <w:rPr>
          <w:b/>
        </w:rPr>
        <w:t xml:space="preserve">Status webhook: </w:t>
      </w:r>
      <w:r>
        <w:t>Callback on verification completion (approved/rejected/pending)</w:t>
      </w:r>
    </w:p>
    <w:p>
      <w:r>
        <w:rPr>
          <w:b/>
        </w:rPr>
        <w:t xml:space="preserve">Data handling: </w:t>
      </w:r>
      <w:r>
        <w:t>PII encrypted at rest (Jasypt), BVN/NIN stored as one-way hashes for dedup, original values encrypted</w:t>
      </w:r>
    </w:p>
    <w:p>
      <w:r>
        <w:rPr>
          <w:b/>
        </w:rPr>
        <w:t xml:space="preserve">Compliance: </w:t>
      </w:r>
      <w:r>
        <w:t>NDPR-compliant data export, audit trail on every verification action</w:t>
      </w:r>
    </w:p>
    <w:p/>
    <w:p>
      <w:r>
        <w:rPr>
          <w:i/>
        </w:rPr>
        <w:t>Confidential — Clusteer / Outbuild HQ</w:t>
      </w:r>
      <w:r>
        <w:rPr>
          <w:i/>
        </w:rPr>
        <w:t xml:space="preserve"> | June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